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bCs/>
          <w:sz w:val="32"/>
          <w:szCs w:val="32"/>
        </w:rPr>
      </w:pPr>
      <w:r>
        <w:rPr>
          <w:rFonts w:ascii="Times New Roman" w:hAnsi="Times New Roman" w:eastAsia="黑体" w:cs="Times New Roman"/>
          <w:sz w:val="32"/>
          <w:szCs w:val="32"/>
        </w:rPr>
        <w:t>北证公告〔2024〕234 号附件</w:t>
      </w:r>
    </w:p>
    <w:p>
      <w:pPr>
        <w:spacing w:line="600" w:lineRule="exact"/>
        <w:jc w:val="left"/>
        <w:rPr>
          <w:rFonts w:hint="eastAsia" w:ascii="Times New Roman" w:hAnsi="Times New Roman" w:eastAsia="方正大标宋简体" w:cs="Times New Roman"/>
          <w:bCs/>
          <w:sz w:val="28"/>
          <w:szCs w:val="28"/>
        </w:rPr>
      </w:pPr>
    </w:p>
    <w:p>
      <w:pPr>
        <w:spacing w:line="600" w:lineRule="exact"/>
        <w:jc w:val="center"/>
        <w:rPr>
          <w:rFonts w:ascii="Times New Roman" w:hAnsi="Times New Roman" w:eastAsia="方正大标宋简体" w:cs="Times New Roman"/>
          <w:bCs/>
          <w:sz w:val="44"/>
          <w:szCs w:val="44"/>
        </w:rPr>
      </w:pPr>
      <w:r>
        <w:rPr>
          <w:rFonts w:hint="eastAsia" w:ascii="Times New Roman" w:hAnsi="Times New Roman" w:eastAsia="方正大标宋简体" w:cs="Times New Roman"/>
          <w:bCs/>
          <w:sz w:val="44"/>
          <w:szCs w:val="44"/>
        </w:rPr>
        <w:t>北京证券交易所上市公司持续监管指引</w:t>
      </w:r>
    </w:p>
    <w:p>
      <w:pPr>
        <w:spacing w:line="600" w:lineRule="exact"/>
        <w:jc w:val="center"/>
        <w:rPr>
          <w:rFonts w:ascii="Times New Roman" w:hAnsi="Times New Roman" w:eastAsia="方正大标宋简体" w:cs="Times New Roman"/>
          <w:bCs/>
          <w:sz w:val="44"/>
          <w:szCs w:val="44"/>
        </w:rPr>
      </w:pPr>
      <w:r>
        <w:rPr>
          <w:rFonts w:hint="eastAsia" w:ascii="Times New Roman" w:hAnsi="Times New Roman" w:eastAsia="方正大标宋简体" w:cs="Times New Roman"/>
          <w:bCs/>
          <w:sz w:val="44"/>
          <w:szCs w:val="44"/>
        </w:rPr>
        <w:t>第12号——信息披露工作评价</w:t>
      </w:r>
    </w:p>
    <w:p>
      <w:pPr>
        <w:spacing w:line="600" w:lineRule="exact"/>
        <w:jc w:val="center"/>
        <w:rPr>
          <w:rFonts w:ascii="Times New Roman" w:hAnsi="Times New Roman" w:eastAsia="方正大标宋简体" w:cs="Times New Roman"/>
          <w:sz w:val="44"/>
          <w:szCs w:val="44"/>
        </w:rPr>
      </w:pPr>
    </w:p>
    <w:p>
      <w:pPr>
        <w:spacing w:before="240" w:after="24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keepNext w:val="0"/>
        <w:keepLines w:val="0"/>
        <w:pageBreakBefore w:val="0"/>
        <w:widowControl w:val="0"/>
        <w:tabs>
          <w:tab w:val="left" w:pos="187"/>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 w:cs="Times New Roman"/>
          <w:sz w:val="32"/>
          <w:szCs w:val="32"/>
        </w:rPr>
        <w:t>为了规范北京证券交易所（以下简称本所）上市公司</w:t>
      </w:r>
      <w:r>
        <w:rPr>
          <w:rFonts w:ascii="仿宋_GB2312" w:hAnsi="宋体" w:eastAsia="仿宋_GB2312"/>
          <w:color w:val="000000"/>
          <w:kern w:val="0"/>
          <w:sz w:val="32"/>
          <w:szCs w:val="32"/>
        </w:rPr>
        <w:t>信息披露工作评价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引导</w:t>
      </w:r>
      <w:r>
        <w:rPr>
          <w:rFonts w:ascii="Times New Roman" w:hAnsi="Times New Roman" w:eastAsia="仿宋" w:cs="Times New Roman"/>
          <w:sz w:val="32"/>
          <w:szCs w:val="32"/>
        </w:rPr>
        <w:t>和督促上市公司及相关信息披露义务人做好信息披露及其相关工作，提高信息披露质量，</w:t>
      </w:r>
      <w:r>
        <w:rPr>
          <w:rFonts w:ascii="仿宋_GB2312" w:hAnsi="宋体" w:eastAsia="仿宋_GB2312"/>
          <w:color w:val="000000"/>
          <w:kern w:val="0"/>
          <w:sz w:val="32"/>
          <w:szCs w:val="32"/>
        </w:rPr>
        <w:t>保护投资者合法权益，</w:t>
      </w:r>
      <w:r>
        <w:rPr>
          <w:rFonts w:ascii="Times New Roman" w:hAnsi="Times New Roman" w:eastAsia="仿宋" w:cs="Times New Roman"/>
          <w:sz w:val="32"/>
          <w:szCs w:val="32"/>
        </w:rPr>
        <w:t>根据《北京证券交易所股票上市规则（试行）》等有关规定，制定本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 xml:space="preserve">第二条 </w:t>
      </w:r>
      <w:r>
        <w:rPr>
          <w:rFonts w:hint="eastAsia" w:ascii="Times New Roman" w:hAnsi="Times New Roman" w:eastAsia="仿宋" w:cs="Times New Roman"/>
          <w:sz w:val="32"/>
          <w:szCs w:val="32"/>
        </w:rPr>
        <w:t>本指引适用于本所上市公司信息披露及其相关工作（以下简称信息披露工作）的评价。信息披露工作包括上市公司与信息披露相关的规范运作情况，以及上市公司控股股东、实际控制人、董事、监事（如有）和高级管理人员等相关主体与上市公司有关的信息披露及规范运作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 xml:space="preserve">第三条 </w:t>
      </w:r>
      <w:r>
        <w:rPr>
          <w:rFonts w:hint="eastAsia" w:ascii="Times New Roman" w:hAnsi="Times New Roman" w:eastAsia="仿宋" w:cs="Times New Roman"/>
          <w:sz w:val="32"/>
          <w:szCs w:val="32"/>
        </w:rPr>
        <w:t>每年上市公司年度报告披露工作结束后，本所对上年12月31日前（含当日）已在本所上市的公司信息披露工作进行评价，评价期间为上年7月1日至当年6月30日。</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 xml:space="preserve">第四条 </w:t>
      </w:r>
      <w:r>
        <w:rPr>
          <w:rFonts w:hint="eastAsia" w:ascii="Times New Roman" w:hAnsi="Times New Roman" w:eastAsia="仿宋" w:cs="Times New Roman"/>
          <w:sz w:val="32"/>
          <w:szCs w:val="32"/>
        </w:rPr>
        <w:t>上市公司信息披露工作评价结果不代表本所对上市公司投资价值的任何判断，也不代表任何投资建议。</w:t>
      </w:r>
    </w:p>
    <w:p>
      <w:pPr>
        <w:spacing w:before="240" w:after="24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rPr>
        <w:t>评价</w:t>
      </w:r>
      <w:r>
        <w:rPr>
          <w:rFonts w:ascii="Times New Roman" w:hAnsi="Times New Roman" w:eastAsia="黑体" w:cs="Times New Roman"/>
          <w:sz w:val="32"/>
          <w:szCs w:val="32"/>
        </w:rPr>
        <w:t>内容</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第五条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本所对上市公司信息披露工作进行评价的内容</w:t>
      </w:r>
      <w:r>
        <w:rPr>
          <w:rFonts w:hint="eastAsia" w:ascii="仿宋" w:hAnsi="仿宋" w:eastAsia="仿宋"/>
          <w:color w:val="000000"/>
          <w:kern w:val="0"/>
          <w:sz w:val="32"/>
          <w:szCs w:val="32"/>
        </w:rPr>
        <w:t>包括</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（一）信息披露的规范性、有效性情况，以及信息披露业务操作、信息披露事务管理情况；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（二）投资者关系和</w:t>
      </w:r>
      <w:r>
        <w:rPr>
          <w:rFonts w:ascii="仿宋" w:hAnsi="仿宋" w:eastAsia="仿宋"/>
          <w:color w:val="000000"/>
          <w:kern w:val="0"/>
          <w:sz w:val="32"/>
          <w:szCs w:val="32"/>
        </w:rPr>
        <w:t>公共关系</w:t>
      </w:r>
      <w:r>
        <w:rPr>
          <w:rFonts w:hint="eastAsia" w:ascii="仿宋" w:hAnsi="仿宋" w:eastAsia="仿宋"/>
          <w:color w:val="000000"/>
          <w:kern w:val="0"/>
          <w:sz w:val="32"/>
          <w:szCs w:val="32"/>
        </w:rPr>
        <w:t>管理情况；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（三）履行社会责任的披露情况；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（四）被处罚、处分及采取监管措施情况；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（五）上市公司支持本所工作情况；</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（六）本所认定的其他情况。</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第六条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本所对上市公司信息披露真实性情况进行评价，重点关注以下方面：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（一）披露的信息是否如实反映实际情况，是否存在虚假记载或不实陈述；</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（二）披露的信息是否以客观事实或者具有事实基础的判断和意见为依据；</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（三）相关备查文件是否存在伪造、变造等虚假情形。</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第七条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本所对上市公司信息披露准确性情况进行评价，重点关注以下方面：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（一）披露的信息是否客观，是否夸大其辞，是否存在歧义、误导性陈述；</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（二）披露的信息是否出现关键文字或者重要数据错误；</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（三）披露信息的格式是否符合规定要求。</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第八条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本所对上市公司信息披露完整性情况进行评价，重点关注以下方面：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（一）披露的信息是否内容完整，是否存在重大遗漏；</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（二）提供的文件是否齐备。</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第九条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本所对上市公司信息披露及时性情况进行评价，重点关注以下方面：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（一）是否在规定期限内以临时报告形式披露可能对公司股票及其衍生品种交易价格产生较大影响的重大事件；</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（二）是否在规定期限内披露年度报告、半年度报告、季度报告、业绩快报、业绩预告及其修正公告等（如需）；</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（三）是否及时核实市场关于公司的报道、传闻，主动澄清市场和投资者的问题。</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本所对上市公司信息披露公平性情况进行评价，重点关注以下方面：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（一）是否确保所有投资者可以平等地获取同一信息，不存在提前向特定对象单独披露、透露或者泄露未公开重大信息的</w:t>
      </w:r>
      <w:r>
        <w:rPr>
          <w:rFonts w:ascii="仿宋" w:hAnsi="仿宋" w:eastAsia="仿宋"/>
          <w:color w:val="000000"/>
          <w:kern w:val="0"/>
          <w:sz w:val="32"/>
          <w:szCs w:val="32"/>
        </w:rPr>
        <w:t>情形</w:t>
      </w:r>
      <w:r>
        <w:rPr>
          <w:rFonts w:hint="eastAsia"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（二）信息披露前公司股票及其衍生品种交易是否因信息泄露而出现异常波动；</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（三）重大信息是否提前泄露致使在本所网站和符合中国证监会规定条件的媒体外出现相关报道或者市场传闻；</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（四）同时有证券在境外证券交易所上市的公司，在境外披露的信息，是否同时在境内披露；</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（五）上市公司开展业绩说明会、分析师会议、路演等投资者关系活动，在活动结束后，是否及时披露或以本所规定的其他方式公开。</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本所对上市公司信息披露有效性情况进行评价，重点关注以下方面：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（一）是否以投资者需求为导向，有利于投资者作出价值判断和投资决策；信息披露内容是否简明清晰、通俗易懂，是否采用图文、音视频等创新形式披露定期报告，提高信息披露的可读性、实用性；</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否在定期报告中主动结合公司所在行业政策和市场动态，深入披露并比较分析公司的行业发展趋势、经营模式、核心竞争力、经营计划等行业及经营性信息；是否在临时报告中主动披露行业经营数据，业务开展的重要阶段性信息；</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（三）是否自愿披露与投资者作出价值判断和投资决策有关的信息，是否保持信息披露完整性、持续性</w:t>
      </w:r>
      <w:r>
        <w:rPr>
          <w:rFonts w:ascii="仿宋" w:hAnsi="仿宋" w:eastAsia="仿宋"/>
          <w:color w:val="000000"/>
          <w:kern w:val="0"/>
          <w:sz w:val="32"/>
          <w:szCs w:val="32"/>
        </w:rPr>
        <w:t>和</w:t>
      </w:r>
      <w:r>
        <w:rPr>
          <w:rFonts w:hint="eastAsia" w:ascii="仿宋" w:hAnsi="仿宋" w:eastAsia="仿宋"/>
          <w:color w:val="000000"/>
          <w:kern w:val="0"/>
          <w:sz w:val="32"/>
          <w:szCs w:val="32"/>
        </w:rPr>
        <w:t>一致性，不存在选择性披露、“蹭热点”等可能误导投资者的情形，是否以明确的警示文字，具体列明相关的风险因素，提示可能出现的不确定性和风险。</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hint="eastAsia" w:ascii="仿宋_GB2312" w:hAnsi="宋体" w:eastAsia="仿宋_GB2312"/>
          <w:b/>
          <w:color w:val="000000"/>
          <w:kern w:val="0"/>
          <w:sz w:val="32"/>
          <w:szCs w:val="32"/>
        </w:rPr>
        <w:t xml:space="preserve"> </w:t>
      </w:r>
      <w:r>
        <w:rPr>
          <w:rFonts w:hint="eastAsia" w:ascii="仿宋" w:hAnsi="仿宋" w:eastAsia="仿宋"/>
          <w:color w:val="000000"/>
          <w:kern w:val="0"/>
          <w:sz w:val="32"/>
          <w:szCs w:val="32"/>
        </w:rPr>
        <w:t>本所对上市公司提交业务操作申请、信息填报及文件报送的及时性、准确性情况进行评价，重点关注以下方面：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bookmarkStart w:id="0" w:name="_Hlk129898012"/>
      <w:r>
        <w:rPr>
          <w:rFonts w:hint="eastAsia" w:ascii="仿宋" w:hAnsi="仿宋" w:eastAsia="仿宋"/>
          <w:color w:val="000000"/>
          <w:kern w:val="0"/>
          <w:sz w:val="32"/>
          <w:szCs w:val="32"/>
        </w:rPr>
        <w:t>（一）</w:t>
      </w:r>
      <w:r>
        <w:rPr>
          <w:rFonts w:ascii="仿宋" w:hAnsi="仿宋" w:eastAsia="仿宋"/>
          <w:color w:val="000000"/>
          <w:kern w:val="0"/>
          <w:sz w:val="32"/>
          <w:szCs w:val="32"/>
        </w:rPr>
        <w:t>是否依据本所业务规则</w:t>
      </w:r>
      <w:r>
        <w:rPr>
          <w:rFonts w:hint="eastAsia" w:ascii="仿宋" w:hAnsi="仿宋" w:eastAsia="仿宋"/>
          <w:color w:val="000000"/>
          <w:kern w:val="0"/>
          <w:sz w:val="32"/>
          <w:szCs w:val="32"/>
        </w:rPr>
        <w:t>等</w:t>
      </w:r>
      <w:r>
        <w:rPr>
          <w:rFonts w:ascii="仿宋" w:hAnsi="仿宋" w:eastAsia="仿宋"/>
          <w:color w:val="000000"/>
          <w:kern w:val="0"/>
          <w:sz w:val="32"/>
          <w:szCs w:val="32"/>
        </w:rPr>
        <w:t>要求，在规定期限内及时提交业务操作申请</w:t>
      </w:r>
      <w:r>
        <w:rPr>
          <w:rFonts w:hint="eastAsia" w:ascii="仿宋" w:hAnsi="仿宋" w:eastAsia="仿宋"/>
          <w:color w:val="000000"/>
          <w:kern w:val="0"/>
          <w:sz w:val="32"/>
          <w:szCs w:val="32"/>
        </w:rPr>
        <w:t>或</w:t>
      </w:r>
      <w:r>
        <w:rPr>
          <w:rFonts w:ascii="仿宋" w:hAnsi="仿宋" w:eastAsia="仿宋"/>
          <w:color w:val="000000"/>
          <w:kern w:val="0"/>
          <w:sz w:val="32"/>
          <w:szCs w:val="32"/>
        </w:rPr>
        <w:t>信息披露文件；</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w:t>
      </w:r>
      <w:r>
        <w:rPr>
          <w:rFonts w:ascii="仿宋" w:hAnsi="仿宋" w:eastAsia="仿宋"/>
          <w:color w:val="000000"/>
          <w:kern w:val="0"/>
          <w:sz w:val="32"/>
          <w:szCs w:val="32"/>
        </w:rPr>
        <w:t>提交的业务操作申请是否内容完整、附件齐备，是否符合本所</w:t>
      </w:r>
      <w:r>
        <w:rPr>
          <w:rFonts w:hint="eastAsia" w:ascii="仿宋" w:hAnsi="仿宋" w:eastAsia="仿宋"/>
          <w:color w:val="000000"/>
          <w:kern w:val="0"/>
          <w:sz w:val="32"/>
          <w:szCs w:val="32"/>
        </w:rPr>
        <w:t>相关</w:t>
      </w:r>
      <w:r>
        <w:rPr>
          <w:rFonts w:ascii="仿宋" w:hAnsi="仿宋" w:eastAsia="仿宋"/>
          <w:color w:val="000000"/>
          <w:kern w:val="0"/>
          <w:sz w:val="32"/>
          <w:szCs w:val="32"/>
        </w:rPr>
        <w:t>业务操作规则的要求，是否存在重大错漏；</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（三）</w:t>
      </w:r>
      <w:r>
        <w:rPr>
          <w:rFonts w:ascii="仿宋" w:hAnsi="仿宋" w:eastAsia="仿宋"/>
          <w:color w:val="000000"/>
          <w:kern w:val="0"/>
          <w:sz w:val="32"/>
          <w:szCs w:val="32"/>
        </w:rPr>
        <w:t>是否在规定期限内填报</w:t>
      </w:r>
      <w:r>
        <w:rPr>
          <w:rFonts w:hint="eastAsia" w:ascii="仿宋" w:hAnsi="仿宋" w:eastAsia="仿宋"/>
          <w:color w:val="000000"/>
          <w:kern w:val="0"/>
          <w:sz w:val="32"/>
          <w:szCs w:val="32"/>
        </w:rPr>
        <w:t>并持续</w:t>
      </w:r>
      <w:r>
        <w:rPr>
          <w:rFonts w:ascii="仿宋" w:hAnsi="仿宋" w:eastAsia="仿宋"/>
          <w:color w:val="000000"/>
          <w:kern w:val="0"/>
          <w:sz w:val="32"/>
          <w:szCs w:val="32"/>
        </w:rPr>
        <w:t>维护公司</w:t>
      </w:r>
      <w:r>
        <w:rPr>
          <w:rFonts w:hint="eastAsia" w:ascii="仿宋" w:hAnsi="仿宋" w:eastAsia="仿宋"/>
          <w:color w:val="000000"/>
          <w:kern w:val="0"/>
          <w:sz w:val="32"/>
          <w:szCs w:val="32"/>
        </w:rPr>
        <w:t>及</w:t>
      </w:r>
      <w:r>
        <w:rPr>
          <w:rFonts w:ascii="仿宋" w:hAnsi="仿宋" w:eastAsia="仿宋"/>
          <w:color w:val="000000"/>
          <w:kern w:val="0"/>
          <w:sz w:val="32"/>
          <w:szCs w:val="32"/>
        </w:rPr>
        <w:t>关键人员信息、持股变动</w:t>
      </w:r>
      <w:r>
        <w:rPr>
          <w:rFonts w:hint="eastAsia" w:ascii="仿宋" w:hAnsi="仿宋" w:eastAsia="仿宋"/>
          <w:color w:val="000000"/>
          <w:kern w:val="0"/>
          <w:sz w:val="32"/>
          <w:szCs w:val="32"/>
        </w:rPr>
        <w:t>情况、</w:t>
      </w:r>
      <w:r>
        <w:rPr>
          <w:rFonts w:ascii="仿宋" w:hAnsi="仿宋" w:eastAsia="仿宋"/>
          <w:color w:val="000000"/>
          <w:kern w:val="0"/>
          <w:sz w:val="32"/>
          <w:szCs w:val="32"/>
        </w:rPr>
        <w:t>定期报告预约披露日期</w:t>
      </w:r>
      <w:r>
        <w:rPr>
          <w:rFonts w:hint="eastAsia" w:ascii="仿宋" w:hAnsi="仿宋" w:eastAsia="仿宋"/>
          <w:color w:val="000000"/>
          <w:kern w:val="0"/>
          <w:sz w:val="32"/>
          <w:szCs w:val="32"/>
        </w:rPr>
        <w:t>，</w:t>
      </w:r>
      <w:r>
        <w:rPr>
          <w:rFonts w:ascii="仿宋" w:hAnsi="仿宋" w:eastAsia="仿宋"/>
          <w:color w:val="000000"/>
          <w:kern w:val="0"/>
          <w:sz w:val="32"/>
          <w:szCs w:val="32"/>
        </w:rPr>
        <w:t>及时报备</w:t>
      </w:r>
      <w:r>
        <w:rPr>
          <w:rFonts w:hint="eastAsia" w:ascii="仿宋" w:hAnsi="仿宋" w:eastAsia="仿宋"/>
          <w:color w:val="000000"/>
          <w:kern w:val="0"/>
          <w:sz w:val="32"/>
          <w:szCs w:val="32"/>
        </w:rPr>
        <w:t>候选</w:t>
      </w:r>
      <w:r>
        <w:rPr>
          <w:rFonts w:ascii="仿宋" w:hAnsi="仿宋" w:eastAsia="仿宋"/>
          <w:color w:val="000000"/>
          <w:kern w:val="0"/>
          <w:sz w:val="32"/>
          <w:szCs w:val="32"/>
        </w:rPr>
        <w:t>独立董事、内幕信息知情人等资料。</w:t>
      </w:r>
    </w:p>
    <w:bookmarkEnd w:id="0"/>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本所对上市公司信息披露事务管理情况进行评价，重点关注以下方面：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（一）是否按照有关规定制定规范的信息披露事务管理制度，明确信息披露相关主体职责和内部问责机制，且得到有效执行；</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（二）控股股东、实际控制人、董事、监事（如有）、高级管理人员、各部门、控股子公司及分公司等是否积极配合信息披露相关工作，确保重大信息及时报告和披露；</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（三）公司是否充分重视信息披露工作，配置熟悉相关业务规则的工作人员从事信息披露工作；</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（四）是否</w:t>
      </w:r>
      <w:r>
        <w:rPr>
          <w:rFonts w:hint="eastAsia" w:ascii="仿宋_GB2312" w:hAnsi="宋体" w:eastAsia="仿宋_GB2312"/>
          <w:color w:val="000000"/>
          <w:kern w:val="0"/>
          <w:sz w:val="32"/>
          <w:szCs w:val="32"/>
        </w:rPr>
        <w:t>积极组织公司控股股东、实际控制人、董事、监事（如有）、高级管理人员及相关工作人员参加证券市场法律法规及专业知识培训。</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第十四条</w:t>
      </w:r>
      <w:r>
        <w:rPr>
          <w:rFonts w:hint="eastAsia"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本所对上市公司投资者关系</w:t>
      </w:r>
      <w:r>
        <w:rPr>
          <w:rFonts w:hint="eastAsia" w:ascii="仿宋" w:hAnsi="仿宋" w:eastAsia="仿宋"/>
          <w:color w:val="000000"/>
          <w:kern w:val="0"/>
          <w:sz w:val="32"/>
          <w:szCs w:val="32"/>
        </w:rPr>
        <w:t>和</w:t>
      </w:r>
      <w:r>
        <w:rPr>
          <w:rFonts w:ascii="仿宋" w:hAnsi="仿宋" w:eastAsia="仿宋"/>
          <w:color w:val="000000"/>
          <w:kern w:val="0"/>
          <w:sz w:val="32"/>
          <w:szCs w:val="32"/>
        </w:rPr>
        <w:t>公共关系管理情况进行评价，重点关注以下方面：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（一）除相关规则要求外，是否主动召开投资者说明会（如非年度业绩说明会、现金分红说明会、重大事项说明会等），向投资者介绍情况、回答问题；</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否接受证券研究机构对公司进行调研，并由证券研究机构出具研究报告，加强投资者对公司所在行业、商业模式、业务亮点等方面的理解；是否积极举办投资者接待日活动，组织投资者现场参观，并披露公告；</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是否在公司官网开设投资者关系专栏，配备专门工作人员负责投资者关系管理，及时更新投资者联系方式；是否多渠道、多平台、多方式针对性开展投资者关系管理工作，主动回应投资者的投诉、建议，是否定期向投资者征求意见，并相应改进信息披露等方面的工作；</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（四）是否建立提升投资价值长效机制，通过现金分红、股份回购等多种途径，提高投资者回报水平；</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（五）是否充分重视舆情管理工作，建立并有效执行舆情管理制度，指定高级管理人员与专门部门负责</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及时核实市场关于公司的报道、传闻并主动澄清市场和投资者关注的问题，最大限度降低负面影响。</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第十五条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本所对上市公司履行社会责任的披露情况进行评价，重点关注以下方面：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（一）是否</w:t>
      </w:r>
      <w:r>
        <w:rPr>
          <w:rFonts w:hint="eastAsia" w:ascii="仿宋_GB2312" w:hAnsi="宋体" w:eastAsia="仿宋_GB2312"/>
          <w:color w:val="000000"/>
          <w:kern w:val="0"/>
          <w:sz w:val="32"/>
          <w:szCs w:val="32"/>
        </w:rPr>
        <w:t>积极履行社会责任，将社会责任理念融入公司日常经营与发展战略，披露社会责任报告，报告内容充实、完整</w:t>
      </w:r>
      <w:r>
        <w:rPr>
          <w:rFonts w:hint="eastAsia" w:ascii="仿宋" w:hAnsi="仿宋" w:eastAsia="仿宋"/>
          <w:color w:val="000000"/>
          <w:kern w:val="0"/>
          <w:sz w:val="32"/>
          <w:szCs w:val="32"/>
        </w:rPr>
        <w:t>；</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（二）是否</w:t>
      </w:r>
      <w:r>
        <w:rPr>
          <w:rFonts w:hint="eastAsia" w:ascii="仿宋_GB2312" w:hAnsi="宋体" w:eastAsia="仿宋_GB2312"/>
          <w:color w:val="000000"/>
          <w:kern w:val="0"/>
          <w:sz w:val="32"/>
          <w:szCs w:val="32"/>
        </w:rPr>
        <w:t>根据《北京证券交易所上市公司持续监管指引第</w:t>
      </w:r>
      <w:r>
        <w:rPr>
          <w:rFonts w:hint="eastAsia" w:ascii="Times New Roman" w:hAnsi="Times New Roman" w:eastAsia="仿宋_GB2312"/>
          <w:color w:val="000000"/>
          <w:kern w:val="0"/>
          <w:sz w:val="32"/>
          <w:szCs w:val="32"/>
        </w:rPr>
        <w:t>11</w:t>
      </w:r>
      <w:r>
        <w:rPr>
          <w:rFonts w:hint="eastAsia" w:ascii="仿宋_GB2312" w:hAnsi="宋体" w:eastAsia="仿宋_GB2312"/>
          <w:color w:val="000000"/>
          <w:kern w:val="0"/>
          <w:sz w:val="32"/>
          <w:szCs w:val="32"/>
        </w:rPr>
        <w:t>号—可持续发展报告（试行）》，披露可持续发展报告，报告内容充实、完整。</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第十六条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对于上市公司</w:t>
      </w:r>
      <w:r>
        <w:rPr>
          <w:rFonts w:hint="eastAsia" w:ascii="仿宋" w:hAnsi="仿宋" w:eastAsia="仿宋"/>
          <w:color w:val="000000"/>
          <w:kern w:val="0"/>
          <w:sz w:val="32"/>
          <w:szCs w:val="32"/>
        </w:rPr>
        <w:t>因信息披露工作违反合规性要求</w:t>
      </w:r>
      <w:r>
        <w:rPr>
          <w:rFonts w:ascii="仿宋" w:hAnsi="仿宋" w:eastAsia="仿宋"/>
          <w:color w:val="000000"/>
          <w:kern w:val="0"/>
          <w:sz w:val="32"/>
          <w:szCs w:val="32"/>
        </w:rPr>
        <w:t>被处罚、处分及采取</w:t>
      </w:r>
      <w:r>
        <w:rPr>
          <w:rFonts w:hint="eastAsia" w:ascii="仿宋" w:hAnsi="仿宋" w:eastAsia="仿宋"/>
          <w:color w:val="000000"/>
          <w:kern w:val="0"/>
          <w:sz w:val="32"/>
          <w:szCs w:val="32"/>
        </w:rPr>
        <w:t>自律</w:t>
      </w:r>
      <w:r>
        <w:rPr>
          <w:rFonts w:ascii="仿宋" w:hAnsi="仿宋" w:eastAsia="仿宋"/>
          <w:color w:val="000000"/>
          <w:kern w:val="0"/>
          <w:sz w:val="32"/>
          <w:szCs w:val="32"/>
        </w:rPr>
        <w:t>监管措施情况，</w:t>
      </w:r>
      <w:r>
        <w:rPr>
          <w:rFonts w:hint="eastAsia" w:ascii="仿宋" w:hAnsi="仿宋" w:eastAsia="仿宋"/>
          <w:color w:val="000000"/>
          <w:kern w:val="0"/>
          <w:sz w:val="32"/>
          <w:szCs w:val="32"/>
        </w:rPr>
        <w:t>本所重点关注以下方面：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（一）中国证监会及其派出机构行政处罚或者采取的行政监管措施情况；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（二）本所公开谴责、通报批评等纪律处分的情况；</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（三）本所口头警示、出具警示函等自律监管措施的情况。</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第十七条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w:t>
      </w:r>
      <w:r>
        <w:rPr>
          <w:rFonts w:hint="eastAsia" w:ascii="仿宋" w:hAnsi="仿宋" w:eastAsia="仿宋"/>
          <w:color w:val="000000"/>
          <w:kern w:val="0"/>
          <w:sz w:val="32"/>
          <w:szCs w:val="32"/>
        </w:rPr>
        <w:t>支持</w:t>
      </w:r>
      <w:r>
        <w:rPr>
          <w:rFonts w:ascii="仿宋" w:hAnsi="仿宋" w:eastAsia="仿宋"/>
          <w:color w:val="000000"/>
          <w:kern w:val="0"/>
          <w:sz w:val="32"/>
          <w:szCs w:val="32"/>
        </w:rPr>
        <w:t>本所工作情况进行评价，重点关注以下方面：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（一）是否积极参与本所相关规则的制定及修订工作，并提出有效政策建议和意见；</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（二）是否积极配合本所组织的信息统计及调研等工作，或上市公司董事长、董事会秘书等在本所组织的培训中担任讲师；</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（三）是否能够较快地对监管动态作出反应，监管新规颁布后及时修订相关制度；</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（四）是否落实本所要求，如在规定期限内如实回复本所问询、按要求接受约谈、进行整改、完成本所要求的其他事项等；</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（五）公司董事会秘书等</w:t>
      </w:r>
      <w:r>
        <w:rPr>
          <w:rFonts w:ascii="仿宋" w:hAnsi="仿宋" w:eastAsia="仿宋"/>
          <w:color w:val="000000"/>
          <w:kern w:val="0"/>
          <w:sz w:val="32"/>
          <w:szCs w:val="32"/>
        </w:rPr>
        <w:t>人员</w:t>
      </w:r>
      <w:r>
        <w:rPr>
          <w:rFonts w:hint="eastAsia" w:ascii="仿宋" w:hAnsi="仿宋" w:eastAsia="仿宋"/>
          <w:color w:val="000000"/>
          <w:kern w:val="0"/>
          <w:sz w:val="32"/>
          <w:szCs w:val="32"/>
        </w:rPr>
        <w:t>是否与本所畅通联络渠道，与本所保持常态化的沟通交流；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仿宋" w:hAnsi="仿宋" w:eastAsia="仿宋"/>
          <w:color w:val="000000"/>
          <w:kern w:val="0"/>
          <w:sz w:val="32"/>
          <w:szCs w:val="32"/>
        </w:rPr>
        <w:t>（六）是否主动报告公司在提高上市公司信息披露质量等方面特色经验，且相关做法可以有效提升公司的规范运作水平和企业价值。</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第十八条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本所对上市公司信息披露工作进行评价，重点关注</w:t>
      </w:r>
      <w:r>
        <w:rPr>
          <w:rFonts w:hint="eastAsia" w:ascii="仿宋" w:hAnsi="仿宋" w:eastAsia="仿宋"/>
          <w:color w:val="000000"/>
          <w:kern w:val="0"/>
          <w:sz w:val="32"/>
          <w:szCs w:val="32"/>
        </w:rPr>
        <w:t>的其他内容包括</w:t>
      </w:r>
      <w:r>
        <w:rPr>
          <w:rFonts w:ascii="仿宋" w:hAnsi="仿宋" w:eastAsia="仿宋"/>
          <w:color w:val="000000"/>
          <w:kern w:val="0"/>
          <w:sz w:val="32"/>
          <w:szCs w:val="32"/>
        </w:rPr>
        <w:t>以下方面：</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（一）公司信息披露工作是否存在重大负面情形，是否存在损害投资者合法权益的情况，如存在重大投资损失、重组标的业绩承诺未达标等情形，公司是否积极采取有效手段保障自身权益；</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（二）公司控股股东、实际控制人规范运作情况，积极配合公司履行信息披露义务、解决同业竞争、履行承诺等方面情况；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（三）公司董事、监事（如有）和高级管理人员遵守法律法规、履职尽责等方面情况； </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（四）本所关注的其他情况。</w:t>
      </w:r>
    </w:p>
    <w:p>
      <w:pPr>
        <w:spacing w:before="240" w:after="24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w:t>
      </w:r>
      <w:r>
        <w:rPr>
          <w:rFonts w:hint="eastAsia" w:ascii="Times New Roman" w:hAnsi="Times New Roman" w:eastAsia="黑体" w:cs="Times New Roman"/>
          <w:sz w:val="32"/>
          <w:szCs w:val="32"/>
        </w:rPr>
        <w:t>评价方式和标准</w:t>
      </w:r>
    </w:p>
    <w:p>
      <w:pPr>
        <w:adjustRightInd w:val="0"/>
        <w:snapToGrid w:val="0"/>
        <w:spacing w:line="560" w:lineRule="exact"/>
        <w:ind w:firstLine="640" w:firstLineChars="200"/>
        <w:rPr>
          <w:rFonts w:ascii="仿宋_GB2312" w:hAnsi="宋体" w:eastAsia="仿宋_GB2312"/>
          <w:color w:val="000000"/>
          <w:kern w:val="0"/>
          <w:sz w:val="32"/>
          <w:szCs w:val="32"/>
        </w:rPr>
      </w:pPr>
      <w:r>
        <w:rPr>
          <w:rFonts w:ascii="Times New Roman" w:hAnsi="Times New Roman" w:eastAsia="黑体" w:cs="Times New Roman"/>
          <w:sz w:val="32"/>
          <w:szCs w:val="32"/>
        </w:rPr>
        <w:t>第十九条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本所结合上市公司日常信息披露实际情况</w:t>
      </w:r>
      <w:r>
        <w:rPr>
          <w:rFonts w:hint="eastAsia" w:ascii="仿宋" w:hAnsi="仿宋" w:eastAsia="仿宋"/>
          <w:color w:val="000000"/>
          <w:kern w:val="0"/>
          <w:sz w:val="32"/>
          <w:szCs w:val="32"/>
        </w:rPr>
        <w:t>，</w:t>
      </w:r>
      <w:r>
        <w:rPr>
          <w:rFonts w:ascii="仿宋" w:hAnsi="仿宋" w:eastAsia="仿宋"/>
          <w:color w:val="000000"/>
          <w:kern w:val="0"/>
          <w:sz w:val="32"/>
          <w:szCs w:val="32"/>
        </w:rPr>
        <w:t>对上市公司信息披露工作进行评价计分，并按下述</w:t>
      </w:r>
      <w:r>
        <w:rPr>
          <w:rFonts w:ascii="Times New Roman" w:hAnsi="Times New Roman" w:eastAsia="仿宋"/>
          <w:color w:val="000000"/>
          <w:kern w:val="0"/>
          <w:sz w:val="32"/>
          <w:szCs w:val="32"/>
        </w:rPr>
        <w:t>4</w:t>
      </w:r>
      <w:r>
        <w:rPr>
          <w:rFonts w:ascii="仿宋" w:hAnsi="仿宋" w:eastAsia="仿宋"/>
          <w:color w:val="000000"/>
          <w:kern w:val="0"/>
          <w:sz w:val="32"/>
          <w:szCs w:val="32"/>
        </w:rPr>
        <w:t>个类别确定上市公司的评价结果：</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（一）</w:t>
      </w:r>
      <w:r>
        <w:rPr>
          <w:rFonts w:ascii="Times New Roman" w:hAnsi="Times New Roman" w:eastAsia="仿宋"/>
          <w:color w:val="000000"/>
          <w:kern w:val="0"/>
          <w:sz w:val="32"/>
          <w:szCs w:val="32"/>
        </w:rPr>
        <w:t>A</w:t>
      </w:r>
      <w:r>
        <w:rPr>
          <w:rFonts w:ascii="仿宋" w:hAnsi="仿宋" w:eastAsia="仿宋"/>
          <w:color w:val="000000"/>
          <w:kern w:val="0"/>
          <w:sz w:val="32"/>
          <w:szCs w:val="32"/>
        </w:rPr>
        <w:t>：公司信息披露工作优秀；</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w:t>
      </w:r>
      <w:r>
        <w:rPr>
          <w:rFonts w:ascii="Times New Roman" w:hAnsi="Times New Roman" w:eastAsia="仿宋"/>
          <w:color w:val="000000"/>
          <w:kern w:val="0"/>
          <w:sz w:val="32"/>
          <w:szCs w:val="32"/>
        </w:rPr>
        <w:t>B</w:t>
      </w:r>
      <w:r>
        <w:rPr>
          <w:rFonts w:ascii="仿宋" w:hAnsi="仿宋" w:eastAsia="仿宋"/>
          <w:color w:val="000000"/>
          <w:kern w:val="0"/>
          <w:sz w:val="32"/>
          <w:szCs w:val="32"/>
        </w:rPr>
        <w:t>：公司信息披露工作良好；</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（三）</w:t>
      </w:r>
      <w:r>
        <w:rPr>
          <w:rFonts w:ascii="Times New Roman" w:hAnsi="Times New Roman" w:eastAsia="仿宋"/>
          <w:color w:val="000000"/>
          <w:kern w:val="0"/>
          <w:sz w:val="32"/>
          <w:szCs w:val="32"/>
        </w:rPr>
        <w:t>C</w:t>
      </w:r>
      <w:r>
        <w:rPr>
          <w:rFonts w:ascii="仿宋" w:hAnsi="仿宋" w:eastAsia="仿宋"/>
          <w:color w:val="000000"/>
          <w:kern w:val="0"/>
          <w:sz w:val="32"/>
          <w:szCs w:val="32"/>
        </w:rPr>
        <w:t>：公司信息披露工作合格；</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（四）</w:t>
      </w:r>
      <w:r>
        <w:rPr>
          <w:rFonts w:ascii="Times New Roman" w:hAnsi="Times New Roman" w:eastAsia="仿宋"/>
          <w:color w:val="000000"/>
          <w:kern w:val="0"/>
          <w:sz w:val="32"/>
          <w:szCs w:val="32"/>
        </w:rPr>
        <w:t>D</w:t>
      </w:r>
      <w:r>
        <w:rPr>
          <w:rFonts w:ascii="仿宋" w:hAnsi="仿宋" w:eastAsia="仿宋"/>
          <w:color w:val="000000"/>
          <w:kern w:val="0"/>
          <w:sz w:val="32"/>
          <w:szCs w:val="32"/>
        </w:rPr>
        <w:t>：公司信息披露工作不合格。</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第二十条</w:t>
      </w:r>
      <w:r>
        <w:rPr>
          <w:rFonts w:ascii="Times New Roman" w:hAnsi="Times New Roman" w:eastAsia="仿宋_GB2312"/>
          <w:b/>
          <w:color w:val="000000"/>
          <w:kern w:val="0"/>
          <w:sz w:val="32"/>
          <w:szCs w:val="32"/>
        </w:rPr>
        <w:t xml:space="preserve"> </w:t>
      </w:r>
      <w:r>
        <w:rPr>
          <w:rFonts w:ascii="仿宋" w:hAnsi="仿宋" w:eastAsia="仿宋"/>
          <w:color w:val="000000"/>
          <w:kern w:val="0"/>
          <w:sz w:val="32"/>
          <w:szCs w:val="32"/>
        </w:rPr>
        <w:t>上市公司评价基准分为</w:t>
      </w:r>
      <w:r>
        <w:rPr>
          <w:rFonts w:ascii="Times New Roman" w:hAnsi="Times New Roman" w:eastAsia="仿宋"/>
          <w:color w:val="000000"/>
          <w:kern w:val="0"/>
          <w:sz w:val="32"/>
          <w:szCs w:val="32"/>
        </w:rPr>
        <w:t>80</w:t>
      </w:r>
      <w:r>
        <w:rPr>
          <w:rFonts w:ascii="仿宋" w:hAnsi="仿宋" w:eastAsia="仿宋"/>
          <w:color w:val="000000"/>
          <w:kern w:val="0"/>
          <w:sz w:val="32"/>
          <w:szCs w:val="32"/>
        </w:rPr>
        <w:t>分。本所按照本指引规定的评价标准和</w:t>
      </w:r>
      <w:r>
        <w:rPr>
          <w:rFonts w:hint="eastAsia" w:ascii="仿宋" w:hAnsi="仿宋" w:eastAsia="仿宋"/>
          <w:color w:val="000000"/>
          <w:kern w:val="0"/>
          <w:sz w:val="32"/>
          <w:szCs w:val="32"/>
        </w:rPr>
        <w:t>附表</w:t>
      </w:r>
      <w:r>
        <w:rPr>
          <w:rFonts w:ascii="仿宋" w:hAnsi="仿宋" w:eastAsia="仿宋"/>
          <w:color w:val="000000"/>
          <w:kern w:val="0"/>
          <w:sz w:val="32"/>
          <w:szCs w:val="32"/>
        </w:rPr>
        <w:t>规定的计分标准，对上市公司信息披露工作的各项内容开展评价，在基准分基础上予以加分或者减分，得出上市公司最终评价得分。</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第二十一条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上市公司最终评价得分按以下标准形成年度评价结果：</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（一）</w:t>
      </w:r>
      <w:r>
        <w:rPr>
          <w:rFonts w:ascii="Times New Roman" w:hAnsi="Times New Roman" w:eastAsia="仿宋"/>
          <w:color w:val="000000"/>
          <w:kern w:val="0"/>
          <w:sz w:val="32"/>
          <w:szCs w:val="32"/>
        </w:rPr>
        <w:t>90</w:t>
      </w:r>
      <w:r>
        <w:rPr>
          <w:rFonts w:ascii="仿宋" w:hAnsi="仿宋" w:eastAsia="仿宋"/>
          <w:color w:val="000000"/>
          <w:kern w:val="0"/>
          <w:sz w:val="32"/>
          <w:szCs w:val="32"/>
        </w:rPr>
        <w:t>分以上的为</w:t>
      </w:r>
      <w:r>
        <w:rPr>
          <w:rFonts w:ascii="Times New Roman" w:hAnsi="Times New Roman" w:eastAsia="仿宋"/>
          <w:color w:val="000000"/>
          <w:kern w:val="0"/>
          <w:sz w:val="32"/>
          <w:szCs w:val="32"/>
        </w:rPr>
        <w:t>A</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w:t>
      </w:r>
      <w:r>
        <w:rPr>
          <w:rFonts w:ascii="Times New Roman" w:hAnsi="Times New Roman" w:eastAsia="仿宋"/>
          <w:color w:val="000000"/>
          <w:kern w:val="0"/>
          <w:sz w:val="32"/>
          <w:szCs w:val="32"/>
        </w:rPr>
        <w:t>80</w:t>
      </w:r>
      <w:r>
        <w:rPr>
          <w:rFonts w:ascii="仿宋" w:hAnsi="仿宋" w:eastAsia="仿宋"/>
          <w:color w:val="000000"/>
          <w:kern w:val="0"/>
          <w:sz w:val="32"/>
          <w:szCs w:val="32"/>
        </w:rPr>
        <w:t>分（含）-</w:t>
      </w:r>
      <w:r>
        <w:rPr>
          <w:rFonts w:ascii="Times New Roman" w:hAnsi="Times New Roman" w:eastAsia="仿宋"/>
          <w:color w:val="000000"/>
          <w:kern w:val="0"/>
          <w:sz w:val="32"/>
          <w:szCs w:val="32"/>
        </w:rPr>
        <w:t>90</w:t>
      </w:r>
      <w:r>
        <w:rPr>
          <w:rFonts w:ascii="仿宋" w:hAnsi="仿宋" w:eastAsia="仿宋"/>
          <w:color w:val="000000"/>
          <w:kern w:val="0"/>
          <w:sz w:val="32"/>
          <w:szCs w:val="32"/>
        </w:rPr>
        <w:t>分的为</w:t>
      </w:r>
      <w:r>
        <w:rPr>
          <w:rFonts w:ascii="Times New Roman" w:hAnsi="Times New Roman" w:eastAsia="仿宋"/>
          <w:color w:val="000000"/>
          <w:kern w:val="0"/>
          <w:sz w:val="32"/>
          <w:szCs w:val="32"/>
        </w:rPr>
        <w:t>B</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（三）</w:t>
      </w:r>
      <w:r>
        <w:rPr>
          <w:rFonts w:ascii="Times New Roman" w:hAnsi="Times New Roman" w:eastAsia="仿宋"/>
          <w:color w:val="000000"/>
          <w:kern w:val="0"/>
          <w:sz w:val="32"/>
          <w:szCs w:val="32"/>
        </w:rPr>
        <w:t>60</w:t>
      </w:r>
      <w:r>
        <w:rPr>
          <w:rFonts w:ascii="仿宋" w:hAnsi="仿宋" w:eastAsia="仿宋"/>
          <w:color w:val="000000"/>
          <w:kern w:val="0"/>
          <w:sz w:val="32"/>
          <w:szCs w:val="32"/>
        </w:rPr>
        <w:t>分（含）-</w:t>
      </w:r>
      <w:r>
        <w:rPr>
          <w:rFonts w:ascii="Times New Roman" w:hAnsi="Times New Roman" w:eastAsia="仿宋"/>
          <w:color w:val="000000"/>
          <w:kern w:val="0"/>
          <w:sz w:val="32"/>
          <w:szCs w:val="32"/>
        </w:rPr>
        <w:t>80</w:t>
      </w:r>
      <w:r>
        <w:rPr>
          <w:rFonts w:ascii="仿宋" w:hAnsi="仿宋" w:eastAsia="仿宋"/>
          <w:color w:val="000000"/>
          <w:kern w:val="0"/>
          <w:sz w:val="32"/>
          <w:szCs w:val="32"/>
        </w:rPr>
        <w:t>分的为</w:t>
      </w:r>
      <w:r>
        <w:rPr>
          <w:rFonts w:ascii="Times New Roman" w:hAnsi="Times New Roman" w:eastAsia="仿宋"/>
          <w:color w:val="000000"/>
          <w:kern w:val="0"/>
          <w:sz w:val="32"/>
          <w:szCs w:val="32"/>
        </w:rPr>
        <w:t>C</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（四）</w:t>
      </w:r>
      <w:r>
        <w:rPr>
          <w:rFonts w:hint="eastAsia" w:ascii="仿宋" w:hAnsi="仿宋" w:eastAsia="仿宋"/>
          <w:color w:val="000000"/>
          <w:kern w:val="0"/>
          <w:sz w:val="32"/>
          <w:szCs w:val="32"/>
        </w:rPr>
        <w:t>低于</w:t>
      </w:r>
      <w:r>
        <w:rPr>
          <w:rFonts w:ascii="Times New Roman" w:hAnsi="Times New Roman" w:eastAsia="仿宋"/>
          <w:color w:val="000000"/>
          <w:kern w:val="0"/>
          <w:sz w:val="32"/>
          <w:szCs w:val="32"/>
        </w:rPr>
        <w:t>60</w:t>
      </w:r>
      <w:r>
        <w:rPr>
          <w:rFonts w:ascii="仿宋" w:hAnsi="仿宋" w:eastAsia="仿宋"/>
          <w:color w:val="000000"/>
          <w:kern w:val="0"/>
          <w:sz w:val="32"/>
          <w:szCs w:val="32"/>
        </w:rPr>
        <w:t>分的为</w:t>
      </w:r>
      <w:r>
        <w:rPr>
          <w:rFonts w:ascii="Times New Roman" w:hAnsi="Times New Roman" w:eastAsia="仿宋"/>
          <w:color w:val="000000"/>
          <w:kern w:val="0"/>
          <w:sz w:val="32"/>
          <w:szCs w:val="32"/>
        </w:rPr>
        <w:t>D</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第二十二条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评价期间内，上市公司在信息披露工作方面表现突出的，本所按照规定的标准予以加分</w:t>
      </w:r>
      <w:r>
        <w:rPr>
          <w:rFonts w:hint="eastAsia" w:ascii="仿宋" w:hAnsi="仿宋" w:eastAsia="仿宋"/>
          <w:color w:val="000000"/>
          <w:kern w:val="0"/>
          <w:sz w:val="32"/>
          <w:szCs w:val="32"/>
        </w:rPr>
        <w:t>，具体加分标准详见附表</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同类加分类型下存在不符合合规性要求信息披露事项的，本所对符合该类加分类型下的其他事项不予考虑；同一工作涉及前款规定的多个事项的，按最高分值的事项加分，不重复加分。</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第二十三条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上市公司及相关责任人在评价期间内</w:t>
      </w:r>
      <w:r>
        <w:rPr>
          <w:rFonts w:hint="eastAsia" w:ascii="仿宋" w:hAnsi="仿宋" w:eastAsia="仿宋"/>
          <w:color w:val="000000"/>
          <w:kern w:val="0"/>
          <w:sz w:val="32"/>
          <w:szCs w:val="32"/>
        </w:rPr>
        <w:t>存在</w:t>
      </w:r>
      <w:r>
        <w:rPr>
          <w:rFonts w:ascii="仿宋" w:hAnsi="仿宋" w:eastAsia="仿宋"/>
          <w:color w:val="000000"/>
          <w:kern w:val="0"/>
          <w:sz w:val="32"/>
          <w:szCs w:val="32"/>
        </w:rPr>
        <w:t>信息披露不规范、</w:t>
      </w:r>
      <w:r>
        <w:rPr>
          <w:rFonts w:hint="eastAsia" w:ascii="仿宋" w:hAnsi="仿宋" w:eastAsia="仿宋"/>
          <w:color w:val="000000"/>
          <w:kern w:val="0"/>
          <w:sz w:val="32"/>
          <w:szCs w:val="32"/>
        </w:rPr>
        <w:t>业务</w:t>
      </w:r>
      <w:r>
        <w:rPr>
          <w:rFonts w:ascii="仿宋" w:hAnsi="仿宋" w:eastAsia="仿宋"/>
          <w:color w:val="000000"/>
          <w:kern w:val="0"/>
          <w:sz w:val="32"/>
          <w:szCs w:val="32"/>
        </w:rPr>
        <w:t>操作不准确、被本所采取</w:t>
      </w:r>
      <w:r>
        <w:rPr>
          <w:rFonts w:hint="eastAsia" w:ascii="仿宋" w:hAnsi="仿宋" w:eastAsia="仿宋"/>
          <w:color w:val="000000"/>
          <w:kern w:val="0"/>
          <w:sz w:val="32"/>
          <w:szCs w:val="32"/>
        </w:rPr>
        <w:t>自律</w:t>
      </w:r>
      <w:r>
        <w:rPr>
          <w:rFonts w:ascii="仿宋" w:hAnsi="仿宋" w:eastAsia="仿宋"/>
          <w:color w:val="000000"/>
          <w:kern w:val="0"/>
          <w:sz w:val="32"/>
          <w:szCs w:val="32"/>
        </w:rPr>
        <w:t>监管措施或者予以纪律处分，或者存在重大负面</w:t>
      </w:r>
      <w:r>
        <w:rPr>
          <w:rFonts w:hint="eastAsia" w:ascii="仿宋" w:hAnsi="仿宋" w:eastAsia="仿宋"/>
          <w:color w:val="000000"/>
          <w:kern w:val="0"/>
          <w:sz w:val="32"/>
          <w:szCs w:val="32"/>
        </w:rPr>
        <w:t>事项</w:t>
      </w:r>
      <w:r>
        <w:rPr>
          <w:rFonts w:ascii="仿宋" w:hAnsi="仿宋" w:eastAsia="仿宋"/>
          <w:color w:val="000000"/>
          <w:kern w:val="0"/>
          <w:sz w:val="32"/>
          <w:szCs w:val="32"/>
        </w:rPr>
        <w:t>的，本所按照规定的标准予以减分。</w:t>
      </w:r>
      <w:r>
        <w:rPr>
          <w:rFonts w:hint="eastAsia" w:ascii="仿宋" w:hAnsi="仿宋" w:eastAsia="仿宋"/>
          <w:color w:val="000000"/>
          <w:kern w:val="0"/>
          <w:sz w:val="32"/>
          <w:szCs w:val="32"/>
        </w:rPr>
        <w:t>具体减分标准详见附表</w:t>
      </w:r>
      <w:r>
        <w:rPr>
          <w:rFonts w:ascii="仿宋" w:hAnsi="仿宋" w:eastAsia="仿宋"/>
          <w:color w:val="000000"/>
          <w:kern w:val="0"/>
          <w:sz w:val="32"/>
          <w:szCs w:val="32"/>
        </w:rPr>
        <w:t>。</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上市公司信息披露工作因同一事项被扣分的，按最高分值扣分，不重复扣分；本所就同一事项对上市公司及相关责任人先后采取多项自律监管措施或者纪律处分的，按照最高分值扣分，不重复扣分，但因限期整改不到位再次被采取自律监管措施或者纪律处分的除外；上市公司因信息披露工作违反合规性要求受到中国证监会及其派出机构行政处罚或被采取行政监管措施，并因同一事项先后被本所采取自律监管措施或纪律处分的，原则上不重复考虑。</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第二十四条</w:t>
      </w:r>
      <w:r>
        <w:rPr>
          <w:rFonts w:hint="eastAsia" w:ascii="黑体" w:hAnsi="黑体" w:eastAsia="黑体" w:cs="Times New Roman"/>
          <w:sz w:val="32"/>
          <w:szCs w:val="32"/>
          <w:lang w:val="en-US" w:eastAsia="zh-CN"/>
        </w:rPr>
        <w:t xml:space="preserve"> </w:t>
      </w:r>
      <w:r>
        <w:rPr>
          <w:rFonts w:ascii="仿宋" w:hAnsi="仿宋" w:eastAsia="仿宋"/>
          <w:color w:val="000000"/>
          <w:kern w:val="0"/>
          <w:sz w:val="32"/>
          <w:szCs w:val="32"/>
        </w:rPr>
        <w:t>上市公司在评价期间内存在以下情况之一的，其评价结果不得为</w:t>
      </w:r>
      <w:r>
        <w:rPr>
          <w:rFonts w:ascii="Times New Roman" w:hAnsi="Times New Roman" w:eastAsia="仿宋"/>
          <w:color w:val="000000"/>
          <w:kern w:val="0"/>
          <w:sz w:val="32"/>
          <w:szCs w:val="32"/>
        </w:rPr>
        <w:t>A</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（一）最近一个会计年度公开发行并上市的公司，上市当年营业利润比上年下滑</w:t>
      </w:r>
      <w:r>
        <w:rPr>
          <w:rFonts w:hint="eastAsia" w:ascii="Times New Roman" w:hAnsi="Times New Roman" w:eastAsia="仿宋"/>
          <w:color w:val="000000"/>
          <w:kern w:val="0"/>
          <w:sz w:val="32"/>
          <w:szCs w:val="32"/>
        </w:rPr>
        <w:t>50%</w:t>
      </w:r>
      <w:r>
        <w:rPr>
          <w:rFonts w:hint="eastAsia" w:ascii="仿宋" w:hAnsi="仿宋" w:eastAsia="仿宋"/>
          <w:color w:val="000000"/>
          <w:kern w:val="0"/>
          <w:sz w:val="32"/>
          <w:szCs w:val="32"/>
        </w:rPr>
        <w:t>以上或者上市当年即亏损，上市时尚未盈利的公司除外；</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（二）最近一个会计年度公司实现的盈利低于盈利预测或者业绩承诺的</w:t>
      </w:r>
      <w:r>
        <w:rPr>
          <w:rFonts w:hint="eastAsia" w:ascii="Times New Roman" w:hAnsi="Times New Roman" w:eastAsia="仿宋"/>
          <w:color w:val="000000"/>
          <w:kern w:val="0"/>
          <w:sz w:val="32"/>
          <w:szCs w:val="32"/>
        </w:rPr>
        <w:t>80%</w:t>
      </w:r>
      <w:r>
        <w:rPr>
          <w:rFonts w:hint="eastAsia" w:ascii="仿宋" w:hAnsi="仿宋" w:eastAsia="仿宋"/>
          <w:color w:val="000000"/>
          <w:kern w:val="0"/>
          <w:sz w:val="32"/>
          <w:szCs w:val="32"/>
        </w:rPr>
        <w:t>，或最近一个会计年度公司重大资产重组标的资产实现的盈利低于盈利预测或者业绩承诺的</w:t>
      </w:r>
      <w:r>
        <w:rPr>
          <w:rFonts w:hint="eastAsia" w:ascii="Times New Roman" w:hAnsi="Times New Roman" w:eastAsia="仿宋"/>
          <w:color w:val="000000"/>
          <w:kern w:val="0"/>
          <w:sz w:val="32"/>
          <w:szCs w:val="32"/>
        </w:rPr>
        <w:t>80%</w:t>
      </w:r>
      <w:r>
        <w:rPr>
          <w:rFonts w:hint="eastAsia"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（三）公司被中国证监会及其派出机构采取行政监管措施，或被本所采取</w:t>
      </w:r>
      <w:r>
        <w:rPr>
          <w:rFonts w:hint="eastAsia" w:ascii="Times New Roman" w:hAnsi="Times New Roman" w:eastAsia="仿宋"/>
          <w:color w:val="000000"/>
          <w:kern w:val="0"/>
          <w:sz w:val="32"/>
          <w:szCs w:val="32"/>
        </w:rPr>
        <w:t>2</w:t>
      </w:r>
      <w:r>
        <w:rPr>
          <w:rFonts w:hint="eastAsia" w:ascii="仿宋" w:hAnsi="仿宋" w:eastAsia="仿宋"/>
          <w:color w:val="000000"/>
          <w:kern w:val="0"/>
          <w:sz w:val="32"/>
          <w:szCs w:val="32"/>
        </w:rPr>
        <w:t>次以上自律监管措施；</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公司董事、监事（如有）、高级管理人员、控股股东、实际控制人因与公司相关事项受到中国证监会及其派出机构行政处罚、本所公开谴责或通报批评，或因涉嫌违反相关证券法规被有权机关立案调查，同一事项已在前期评价中予以考虑的除外；</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（五）董事会秘书空缺（包括指定董事或高级管理人员代行董事会秘书职责以及由董事长代行董事会秘书职责等情形）累计时间超过六个月，聘任流程需由国家有关主管部门审批核准的除外；</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（六）公司未召开年度业绩说明会；</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（七）控股股东、实际控制人及其一致行动人持有的本公司股份超过</w:t>
      </w:r>
      <w:r>
        <w:rPr>
          <w:rFonts w:hint="eastAsia" w:ascii="Times New Roman" w:hAnsi="Times New Roman" w:eastAsia="仿宋"/>
          <w:color w:val="000000"/>
          <w:kern w:val="0"/>
          <w:sz w:val="32"/>
          <w:szCs w:val="32"/>
        </w:rPr>
        <w:t>80%</w:t>
      </w:r>
      <w:r>
        <w:rPr>
          <w:rFonts w:hint="eastAsia" w:ascii="仿宋" w:hAnsi="仿宋" w:eastAsia="仿宋"/>
          <w:color w:val="000000"/>
          <w:kern w:val="0"/>
          <w:sz w:val="32"/>
          <w:szCs w:val="32"/>
        </w:rPr>
        <w:t>被质押或冻结；</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（八）本所认定的其他情况。</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仿宋" w:hAnsi="仿宋" w:eastAsia="仿宋"/>
          <w:color w:val="000000"/>
          <w:kern w:val="0"/>
          <w:sz w:val="32"/>
          <w:szCs w:val="32"/>
        </w:rPr>
        <w:t>评价期不足</w:t>
      </w:r>
      <w:r>
        <w:rPr>
          <w:rFonts w:ascii="Times New Roman" w:hAnsi="Times New Roman" w:eastAsia="仿宋"/>
          <w:color w:val="000000"/>
          <w:kern w:val="0"/>
          <w:sz w:val="32"/>
          <w:szCs w:val="32"/>
        </w:rPr>
        <w:t>12</w:t>
      </w:r>
      <w:r>
        <w:rPr>
          <w:rFonts w:ascii="仿宋" w:hAnsi="仿宋" w:eastAsia="仿宋"/>
          <w:color w:val="000000"/>
          <w:kern w:val="0"/>
          <w:sz w:val="32"/>
          <w:szCs w:val="32"/>
        </w:rPr>
        <w:t>个月的上市公司原则上</w:t>
      </w:r>
      <w:r>
        <w:rPr>
          <w:rFonts w:hint="eastAsia" w:ascii="仿宋" w:hAnsi="仿宋" w:eastAsia="仿宋"/>
          <w:color w:val="000000"/>
          <w:kern w:val="0"/>
          <w:sz w:val="32"/>
          <w:szCs w:val="32"/>
        </w:rPr>
        <w:t>评价结果</w:t>
      </w:r>
      <w:r>
        <w:rPr>
          <w:rFonts w:ascii="仿宋" w:hAnsi="仿宋" w:eastAsia="仿宋"/>
          <w:color w:val="000000"/>
          <w:kern w:val="0"/>
          <w:sz w:val="32"/>
          <w:szCs w:val="32"/>
        </w:rPr>
        <w:t>不得为</w:t>
      </w:r>
      <w:r>
        <w:rPr>
          <w:rFonts w:ascii="Times New Roman" w:hAnsi="Times New Roman" w:eastAsia="仿宋"/>
          <w:color w:val="000000"/>
          <w:kern w:val="0"/>
          <w:sz w:val="32"/>
          <w:szCs w:val="32"/>
        </w:rPr>
        <w:t>A</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第二十五条</w:t>
      </w:r>
      <w:r>
        <w:rPr>
          <w:rFonts w:ascii="Times New Roman" w:hAnsi="Times New Roman" w:eastAsia="仿宋_GB2312"/>
          <w:b/>
          <w:color w:val="000000"/>
          <w:kern w:val="0"/>
          <w:sz w:val="32"/>
          <w:szCs w:val="32"/>
        </w:rPr>
        <w:t xml:space="preserve"> </w:t>
      </w:r>
      <w:r>
        <w:rPr>
          <w:rFonts w:ascii="仿宋" w:hAnsi="仿宋" w:eastAsia="仿宋"/>
          <w:color w:val="000000"/>
          <w:kern w:val="0"/>
          <w:sz w:val="32"/>
          <w:szCs w:val="32"/>
        </w:rPr>
        <w:t>上市公司在评价期内存在以下情况之一的，其评价结果不高于</w:t>
      </w:r>
      <w:r>
        <w:rPr>
          <w:rFonts w:ascii="Times New Roman" w:hAnsi="Times New Roman" w:eastAsia="仿宋"/>
          <w:color w:val="000000"/>
          <w:kern w:val="0"/>
          <w:sz w:val="32"/>
          <w:szCs w:val="32"/>
        </w:rPr>
        <w:t>C</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（一）评价期末公司股票触及被实施风险警示情形或已被实施风险警示；</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（二）年度财务会计报告被会计师事务所出具非标准意见审计报告；</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公司年度内部控制审计报告被会计师事务所出具非标准意见审计报告，但因最近一个会计年度发生并购交易，根据有关规定豁免对被并购企业财务报告内部控制有效性的评价而被出具带强调事项段内部控制审计意见的除外；</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（四）最近一个会计年度公司实现的盈利低于盈利预测或者业绩承诺的</w:t>
      </w:r>
      <w:r>
        <w:rPr>
          <w:rFonts w:hint="eastAsia" w:ascii="Times New Roman" w:hAnsi="Times New Roman" w:eastAsia="仿宋"/>
          <w:color w:val="000000"/>
          <w:kern w:val="0"/>
          <w:sz w:val="32"/>
          <w:szCs w:val="32"/>
        </w:rPr>
        <w:t>50%</w:t>
      </w:r>
      <w:r>
        <w:rPr>
          <w:rFonts w:hint="eastAsia" w:ascii="仿宋" w:hAnsi="仿宋" w:eastAsia="仿宋"/>
          <w:color w:val="000000"/>
          <w:kern w:val="0"/>
          <w:sz w:val="32"/>
          <w:szCs w:val="32"/>
        </w:rPr>
        <w:t>，或最近一个会计年度公司重大资产重组标的资产实现的盈利低于盈利预测或者业绩承诺的</w:t>
      </w:r>
      <w:r>
        <w:rPr>
          <w:rFonts w:hint="eastAsia" w:ascii="Times New Roman" w:hAnsi="Times New Roman" w:eastAsia="仿宋"/>
          <w:color w:val="000000"/>
          <w:kern w:val="0"/>
          <w:sz w:val="32"/>
          <w:szCs w:val="32"/>
        </w:rPr>
        <w:t>50%</w:t>
      </w:r>
      <w:r>
        <w:rPr>
          <w:rFonts w:hint="eastAsia"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（五）公司董事会、股东会无法正常召开会议并形成有效决议；</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（六）董事会秘书空缺（包括指定董事或高级管理人员代行董事会秘书职责以及由董事长代行董事会秘书职责等情形）累计时间超过九个月，聘任流程需由国家有关主管部门审批核准的除外；</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（七）公司在评价期末因涉嫌违反相关证券法律法规处于被有权机关立案调查阶段；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（八）公司被本所通报批评；</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（九）本所认定的其他情况。</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第二十六条</w:t>
      </w:r>
      <w:r>
        <w:rPr>
          <w:rFonts w:ascii="Times New Roman" w:hAnsi="Times New Roman" w:eastAsia="仿宋_GB2312"/>
          <w:color w:val="000000"/>
          <w:kern w:val="0"/>
          <w:sz w:val="32"/>
          <w:szCs w:val="32"/>
          <w:shd w:val="clear" w:color="auto" w:fill="FFFFFF"/>
        </w:rPr>
        <w:t xml:space="preserve"> </w:t>
      </w:r>
      <w:r>
        <w:rPr>
          <w:rFonts w:ascii="仿宋" w:hAnsi="仿宋" w:eastAsia="仿宋"/>
          <w:color w:val="000000"/>
          <w:kern w:val="0"/>
          <w:sz w:val="32"/>
          <w:szCs w:val="32"/>
        </w:rPr>
        <w:t>上市公司在评价期内存在以下情况之一的，其评价结果应当为</w:t>
      </w:r>
      <w:r>
        <w:rPr>
          <w:rFonts w:ascii="Times New Roman" w:hAnsi="Times New Roman" w:eastAsia="仿宋"/>
          <w:color w:val="000000"/>
          <w:kern w:val="0"/>
          <w:sz w:val="32"/>
          <w:szCs w:val="32"/>
        </w:rPr>
        <w:t>D</w:t>
      </w:r>
      <w:r>
        <w:rPr>
          <w:rFonts w:ascii="仿宋" w:hAnsi="仿宋" w:eastAsia="仿宋"/>
          <w:color w:val="000000"/>
          <w:kern w:val="0"/>
          <w:sz w:val="32"/>
          <w:szCs w:val="32"/>
        </w:rPr>
        <w:t>：</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（一）公司被本所公开谴责或者</w:t>
      </w:r>
      <w:r>
        <w:rPr>
          <w:rFonts w:hint="eastAsia" w:ascii="Times New Roman" w:hAnsi="Times New Roman" w:eastAsia="仿宋"/>
          <w:color w:val="000000"/>
          <w:kern w:val="0"/>
          <w:sz w:val="32"/>
          <w:szCs w:val="32"/>
        </w:rPr>
        <w:t>2</w:t>
      </w:r>
      <w:r>
        <w:rPr>
          <w:rFonts w:hint="eastAsia" w:ascii="仿宋" w:hAnsi="仿宋" w:eastAsia="仿宋"/>
          <w:color w:val="000000"/>
          <w:kern w:val="0"/>
          <w:sz w:val="32"/>
          <w:szCs w:val="32"/>
        </w:rPr>
        <w:t>次以上通报批评；</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（二）公司受到中国证监会及其派出机构行政处罚，前期因同一事项被本所予以纪律处分且当年评价结果因此为</w:t>
      </w:r>
      <w:r>
        <w:rPr>
          <w:rFonts w:hint="eastAsia" w:ascii="Times New Roman" w:hAnsi="Times New Roman" w:eastAsia="仿宋"/>
          <w:color w:val="000000"/>
          <w:kern w:val="0"/>
          <w:sz w:val="32"/>
          <w:szCs w:val="32"/>
        </w:rPr>
        <w:t>D</w:t>
      </w:r>
      <w:r>
        <w:rPr>
          <w:rFonts w:hint="eastAsia" w:ascii="仿宋" w:hAnsi="仿宋" w:eastAsia="仿宋"/>
          <w:color w:val="000000"/>
          <w:kern w:val="0"/>
          <w:sz w:val="32"/>
          <w:szCs w:val="32"/>
        </w:rPr>
        <w:t>的除外；</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（三）年度财务会计报告被会计师事务所出具无法表示意见或者否定意见的审计报告；</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（四）公司内部控制被会计师事务所出具无法表示意见或者否定意见的审计报告；</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（五）因公司未及时提交业务申请、业务数据有误等，导致除权除息、退市等操作业务触发应急事件的；</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（六）公司信息披露存在重大问题，本所要求公司限期整改，公司在期限内未主动落实整改要求的；</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（七）公司存在大额资金占用、违规担保行为，且评价期末余额达到最近一期经审计净资产绝对值</w:t>
      </w:r>
      <w:r>
        <w:rPr>
          <w:rFonts w:hint="eastAsia" w:ascii="Times New Roman" w:hAnsi="Times New Roman" w:eastAsia="仿宋"/>
          <w:color w:val="000000"/>
          <w:kern w:val="0"/>
          <w:sz w:val="32"/>
          <w:szCs w:val="32"/>
        </w:rPr>
        <w:t>5%</w:t>
      </w:r>
      <w:r>
        <w:rPr>
          <w:rFonts w:hint="eastAsia" w:ascii="仿宋" w:hAnsi="仿宋" w:eastAsia="仿宋"/>
          <w:color w:val="000000"/>
          <w:kern w:val="0"/>
          <w:sz w:val="32"/>
          <w:szCs w:val="32"/>
        </w:rPr>
        <w:t>以上，或者金额超过</w:t>
      </w:r>
      <w:r>
        <w:rPr>
          <w:rFonts w:hint="eastAsia" w:ascii="Times New Roman" w:hAnsi="Times New Roman" w:eastAsia="仿宋"/>
          <w:color w:val="000000"/>
          <w:kern w:val="0"/>
          <w:sz w:val="32"/>
          <w:szCs w:val="32"/>
        </w:rPr>
        <w:t>1000</w:t>
      </w:r>
      <w:r>
        <w:rPr>
          <w:rFonts w:hint="eastAsia" w:ascii="仿宋" w:hAnsi="仿宋" w:eastAsia="仿宋"/>
          <w:color w:val="000000"/>
          <w:kern w:val="0"/>
          <w:sz w:val="32"/>
          <w:szCs w:val="32"/>
        </w:rPr>
        <w:t>万元；</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 w:hAnsi="仿宋" w:eastAsia="仿宋"/>
          <w:color w:val="000000"/>
          <w:kern w:val="0"/>
          <w:sz w:val="32"/>
          <w:szCs w:val="32"/>
        </w:rPr>
        <w:t>（八）本所认定的其他情况。</w:t>
      </w:r>
    </w:p>
    <w:p>
      <w:pPr>
        <w:spacing w:before="240" w:after="24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第四章  </w:t>
      </w:r>
      <w:r>
        <w:rPr>
          <w:rFonts w:hint="eastAsia" w:ascii="Times New Roman" w:hAnsi="Times New Roman" w:eastAsia="黑体" w:cs="Times New Roman"/>
          <w:sz w:val="32"/>
          <w:szCs w:val="32"/>
        </w:rPr>
        <w:t>评价</w:t>
      </w:r>
      <w:r>
        <w:rPr>
          <w:rFonts w:ascii="Times New Roman" w:hAnsi="Times New Roman" w:eastAsia="黑体" w:cs="Times New Roman"/>
          <w:sz w:val="32"/>
          <w:szCs w:val="32"/>
        </w:rPr>
        <w:t>实施</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第二十七条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上市公司应当在评价期结束后</w:t>
      </w:r>
      <w:r>
        <w:rPr>
          <w:rFonts w:ascii="Times New Roman" w:hAnsi="Times New Roman" w:eastAsia="仿宋"/>
          <w:color w:val="000000"/>
          <w:kern w:val="0"/>
          <w:sz w:val="32"/>
          <w:szCs w:val="32"/>
        </w:rPr>
        <w:t>5</w:t>
      </w:r>
      <w:r>
        <w:rPr>
          <w:rFonts w:ascii="仿宋" w:hAnsi="仿宋" w:eastAsia="仿宋"/>
          <w:color w:val="000000"/>
          <w:kern w:val="0"/>
          <w:sz w:val="32"/>
          <w:szCs w:val="32"/>
        </w:rPr>
        <w:t>个交易日内，对公司信息披露工作进行自评，向本所提交信息披露工作自评表。其中，涉及减分事项的，公司应如实填报；涉及加分事项的，由公司在自评表中申请提出，并须说明具体事由。公司未申请加分、申请加分未说明具体事由或</w:t>
      </w:r>
      <w:r>
        <w:rPr>
          <w:rFonts w:hint="eastAsia" w:ascii="仿宋" w:hAnsi="仿宋" w:eastAsia="仿宋"/>
          <w:color w:val="000000"/>
          <w:kern w:val="0"/>
          <w:sz w:val="32"/>
          <w:szCs w:val="32"/>
        </w:rPr>
        <w:t>者</w:t>
      </w:r>
      <w:r>
        <w:rPr>
          <w:rFonts w:ascii="仿宋" w:hAnsi="仿宋" w:eastAsia="仿宋"/>
          <w:color w:val="000000"/>
          <w:kern w:val="0"/>
          <w:sz w:val="32"/>
          <w:szCs w:val="32"/>
        </w:rPr>
        <w:t>申请事由不符合加分标准的，本所不予加分。</w:t>
      </w:r>
    </w:p>
    <w:p>
      <w:pPr>
        <w:adjustRightInd w:val="0"/>
        <w:snapToGrid w:val="0"/>
        <w:spacing w:line="560" w:lineRule="exact"/>
        <w:ind w:firstLine="640" w:firstLineChars="200"/>
        <w:rPr>
          <w:rFonts w:ascii="仿宋" w:hAnsi="仿宋" w:eastAsia="仿宋"/>
          <w:color w:val="000000"/>
          <w:kern w:val="0"/>
          <w:sz w:val="32"/>
          <w:szCs w:val="32"/>
        </w:rPr>
      </w:pPr>
      <w:r>
        <w:rPr>
          <w:rFonts w:ascii="Times New Roman" w:hAnsi="Times New Roman" w:eastAsia="黑体" w:cs="Times New Roman"/>
          <w:sz w:val="32"/>
          <w:szCs w:val="32"/>
        </w:rPr>
        <w:t>第二十八条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本所对</w:t>
      </w:r>
      <w:r>
        <w:rPr>
          <w:rFonts w:hint="eastAsia" w:ascii="仿宋" w:hAnsi="仿宋" w:eastAsia="仿宋"/>
          <w:color w:val="000000"/>
          <w:kern w:val="0"/>
          <w:sz w:val="32"/>
          <w:szCs w:val="32"/>
        </w:rPr>
        <w:t>上市</w:t>
      </w:r>
      <w:r>
        <w:rPr>
          <w:rFonts w:ascii="仿宋" w:hAnsi="仿宋" w:eastAsia="仿宋"/>
          <w:color w:val="000000"/>
          <w:kern w:val="0"/>
          <w:sz w:val="32"/>
          <w:szCs w:val="32"/>
        </w:rPr>
        <w:t>公司信息披露工作自评表进行核实，经评价工作小组合议</w:t>
      </w:r>
      <w:r>
        <w:rPr>
          <w:rFonts w:hint="eastAsia" w:ascii="仿宋" w:hAnsi="仿宋" w:eastAsia="仿宋"/>
          <w:color w:val="000000"/>
          <w:kern w:val="0"/>
          <w:sz w:val="32"/>
          <w:szCs w:val="32"/>
        </w:rPr>
        <w:t>，按照本指引规定形成上市公司评价结果。</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黑体" w:cs="Times New Roman"/>
          <w:sz w:val="32"/>
          <w:szCs w:val="32"/>
        </w:rPr>
        <w:t>第二十九条</w:t>
      </w:r>
      <w:r>
        <w:rPr>
          <w:rFonts w:ascii="仿宋_GB2312" w:hAnsi="宋体" w:eastAsia="仿宋_GB2312"/>
          <w:b/>
          <w:color w:val="000000"/>
          <w:kern w:val="0"/>
          <w:sz w:val="32"/>
          <w:szCs w:val="32"/>
        </w:rPr>
        <w:t xml:space="preserve"> </w:t>
      </w:r>
      <w:r>
        <w:rPr>
          <w:rFonts w:ascii="仿宋" w:hAnsi="仿宋" w:eastAsia="仿宋"/>
          <w:color w:val="000000"/>
          <w:kern w:val="0"/>
          <w:sz w:val="32"/>
          <w:szCs w:val="32"/>
        </w:rPr>
        <w:t>本所将</w:t>
      </w:r>
      <w:r>
        <w:rPr>
          <w:rFonts w:hint="eastAsia" w:ascii="仿宋" w:hAnsi="仿宋" w:eastAsia="仿宋"/>
          <w:color w:val="000000"/>
          <w:kern w:val="0"/>
          <w:sz w:val="32"/>
          <w:szCs w:val="32"/>
        </w:rPr>
        <w:t>公司</w:t>
      </w:r>
      <w:r>
        <w:rPr>
          <w:rFonts w:ascii="仿宋" w:hAnsi="仿宋" w:eastAsia="仿宋"/>
          <w:color w:val="000000"/>
          <w:kern w:val="0"/>
          <w:sz w:val="32"/>
          <w:szCs w:val="32"/>
        </w:rPr>
        <w:t>评价结果及时通报上市公司</w:t>
      </w:r>
      <w:r>
        <w:rPr>
          <w:rFonts w:hint="eastAsia" w:ascii="仿宋" w:hAnsi="仿宋" w:eastAsia="仿宋"/>
          <w:color w:val="000000"/>
          <w:kern w:val="0"/>
          <w:sz w:val="32"/>
          <w:szCs w:val="32"/>
        </w:rPr>
        <w:t>，并就公司评价情况加强与上市公司的沟通交流</w:t>
      </w:r>
      <w:r>
        <w:rPr>
          <w:rFonts w:ascii="仿宋" w:hAnsi="仿宋" w:eastAsia="仿宋"/>
          <w:color w:val="000000"/>
          <w:kern w:val="0"/>
          <w:sz w:val="32"/>
          <w:szCs w:val="32"/>
        </w:rPr>
        <w:t>。</w:t>
      </w:r>
      <w:r>
        <w:rPr>
          <w:rFonts w:hint="eastAsia" w:ascii="仿宋" w:hAnsi="仿宋" w:eastAsia="仿宋"/>
          <w:color w:val="000000"/>
          <w:kern w:val="0"/>
          <w:sz w:val="32"/>
          <w:szCs w:val="32"/>
        </w:rPr>
        <w:t>上市</w:t>
      </w:r>
      <w:r>
        <w:rPr>
          <w:rFonts w:ascii="仿宋" w:hAnsi="仿宋" w:eastAsia="仿宋"/>
          <w:color w:val="000000"/>
          <w:kern w:val="0"/>
          <w:sz w:val="32"/>
          <w:szCs w:val="32"/>
        </w:rPr>
        <w:t>公司对其评价结果有异议的，可以在评价结果通报之日起</w:t>
      </w:r>
      <w:r>
        <w:rPr>
          <w:rFonts w:hint="eastAsia" w:ascii="Times New Roman" w:hAnsi="Times New Roman" w:eastAsia="仿宋"/>
          <w:color w:val="000000"/>
          <w:kern w:val="0"/>
          <w:sz w:val="32"/>
          <w:szCs w:val="32"/>
        </w:rPr>
        <w:t>5</w:t>
      </w:r>
      <w:r>
        <w:rPr>
          <w:rFonts w:ascii="仿宋" w:hAnsi="仿宋" w:eastAsia="仿宋"/>
          <w:color w:val="000000"/>
          <w:kern w:val="0"/>
          <w:sz w:val="32"/>
          <w:szCs w:val="32"/>
        </w:rPr>
        <w:t>个交易日内向本所提交书面异议，本所在收到异议后</w:t>
      </w:r>
      <w:r>
        <w:rPr>
          <w:rFonts w:hint="eastAsia" w:ascii="Times New Roman" w:hAnsi="Times New Roman" w:eastAsia="仿宋"/>
          <w:color w:val="000000"/>
          <w:kern w:val="0"/>
          <w:sz w:val="32"/>
          <w:szCs w:val="32"/>
        </w:rPr>
        <w:t>5</w:t>
      </w:r>
      <w:r>
        <w:rPr>
          <w:rFonts w:ascii="仿宋" w:hAnsi="仿宋" w:eastAsia="仿宋"/>
          <w:color w:val="000000"/>
          <w:kern w:val="0"/>
          <w:sz w:val="32"/>
          <w:szCs w:val="32"/>
        </w:rPr>
        <w:t>个交易日内予以答复。</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黑体" w:cs="Times New Roman"/>
          <w:sz w:val="32"/>
          <w:szCs w:val="32"/>
        </w:rPr>
        <w:t>第三十条</w:t>
      </w:r>
      <w:r>
        <w:rPr>
          <w:rFonts w:ascii="仿宋_GB2312" w:hAnsi="宋体" w:eastAsia="仿宋_GB2312"/>
          <w:b/>
          <w:color w:val="000000"/>
          <w:kern w:val="0"/>
          <w:sz w:val="32"/>
          <w:szCs w:val="32"/>
        </w:rPr>
        <w:t xml:space="preserve"> </w:t>
      </w:r>
      <w:r>
        <w:rPr>
          <w:rFonts w:hint="eastAsia" w:ascii="仿宋" w:hAnsi="仿宋" w:eastAsia="仿宋"/>
          <w:color w:val="000000"/>
          <w:kern w:val="0"/>
          <w:sz w:val="32"/>
          <w:szCs w:val="32"/>
        </w:rPr>
        <w:t>本所将上市公司信息披露工作评价结果通报中国证监会相关监管部门和上市公司所在地证监局，并在本所官网公开。</w:t>
      </w:r>
    </w:p>
    <w:p>
      <w:pPr>
        <w:spacing w:before="240" w:after="24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章  </w:t>
      </w:r>
      <w:r>
        <w:rPr>
          <w:rFonts w:hint="eastAsia" w:ascii="Times New Roman" w:hAnsi="Times New Roman" w:eastAsia="黑体" w:cs="Times New Roman"/>
          <w:sz w:val="32"/>
          <w:szCs w:val="32"/>
        </w:rPr>
        <w:t>评价结果应用</w:t>
      </w:r>
    </w:p>
    <w:p>
      <w:pPr>
        <w:adjustRightInd w:val="0"/>
        <w:snapToGrid w:val="0"/>
        <w:spacing w:line="560" w:lineRule="exact"/>
        <w:ind w:firstLine="640" w:firstLineChars="200"/>
        <w:rPr>
          <w:rFonts w:ascii="仿宋_GB2312" w:hAnsi="宋体" w:eastAsia="仿宋_GB2312"/>
          <w:color w:val="000000"/>
          <w:kern w:val="0"/>
          <w:sz w:val="32"/>
          <w:szCs w:val="32"/>
        </w:rPr>
      </w:pPr>
      <w:r>
        <w:rPr>
          <w:rFonts w:ascii="Times New Roman" w:hAnsi="Times New Roman" w:eastAsia="黑体" w:cs="Times New Roman"/>
          <w:sz w:val="32"/>
          <w:szCs w:val="32"/>
        </w:rPr>
        <w:t>第三十一条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本所在职责范围内对上市公司再融资、并购重组等事项</w:t>
      </w:r>
      <w:r>
        <w:rPr>
          <w:rFonts w:hint="eastAsia" w:ascii="仿宋_GB2312" w:hAnsi="宋体" w:eastAsia="仿宋_GB2312"/>
          <w:color w:val="000000"/>
          <w:kern w:val="0"/>
          <w:sz w:val="32"/>
          <w:szCs w:val="32"/>
        </w:rPr>
        <w:t>进行审核时</w:t>
      </w:r>
      <w:r>
        <w:rPr>
          <w:rFonts w:ascii="仿宋_GB2312" w:hAnsi="宋体" w:eastAsia="仿宋_GB2312"/>
          <w:color w:val="000000"/>
          <w:kern w:val="0"/>
          <w:sz w:val="32"/>
          <w:szCs w:val="32"/>
        </w:rPr>
        <w:t>，将上市公司</w:t>
      </w:r>
      <w:r>
        <w:rPr>
          <w:rFonts w:hint="eastAsia" w:ascii="仿宋_GB2312" w:hAnsi="宋体" w:eastAsia="仿宋_GB2312"/>
          <w:color w:val="000000"/>
          <w:kern w:val="0"/>
          <w:sz w:val="32"/>
          <w:szCs w:val="32"/>
        </w:rPr>
        <w:t>信息披露工作评价结果纳入考虑范围</w:t>
      </w:r>
      <w:r>
        <w:rPr>
          <w:rFonts w:ascii="仿宋_GB2312" w:hAnsi="宋体" w:eastAsia="仿宋_GB2312"/>
          <w:color w:val="000000"/>
          <w:kern w:val="0"/>
          <w:sz w:val="32"/>
          <w:szCs w:val="32"/>
        </w:rPr>
        <w:t>。</w:t>
      </w:r>
    </w:p>
    <w:p>
      <w:pPr>
        <w:adjustRightInd w:val="0"/>
        <w:snapToGrid w:val="0"/>
        <w:spacing w:line="560" w:lineRule="exact"/>
        <w:ind w:firstLine="640" w:firstLineChars="200"/>
        <w:rPr>
          <w:rFonts w:ascii="仿宋_GB2312" w:hAnsi="宋体" w:eastAsia="仿宋_GB2312"/>
          <w:b/>
          <w:color w:val="000000"/>
          <w:kern w:val="0"/>
          <w:sz w:val="32"/>
          <w:szCs w:val="32"/>
        </w:rPr>
      </w:pPr>
      <w:r>
        <w:rPr>
          <w:rFonts w:ascii="Times New Roman" w:hAnsi="Times New Roman" w:eastAsia="黑体" w:cs="Times New Roman"/>
          <w:sz w:val="32"/>
          <w:szCs w:val="32"/>
        </w:rPr>
        <w:t>第三十二条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对于最近一年信息披露工作评价结果为</w:t>
      </w:r>
      <w:r>
        <w:rPr>
          <w:rFonts w:ascii="Times New Roman" w:hAnsi="Times New Roman" w:eastAsia="仿宋_GB2312"/>
          <w:color w:val="000000"/>
          <w:kern w:val="0"/>
          <w:sz w:val="32"/>
          <w:szCs w:val="32"/>
        </w:rPr>
        <w:t>A的</w:t>
      </w:r>
      <w:r>
        <w:rPr>
          <w:rFonts w:hint="eastAsia" w:ascii="Times New Roman" w:hAnsi="Times New Roman" w:eastAsia="仿宋_GB2312"/>
          <w:color w:val="000000"/>
          <w:kern w:val="0"/>
          <w:sz w:val="32"/>
          <w:szCs w:val="32"/>
        </w:rPr>
        <w:t>上</w:t>
      </w:r>
      <w:r>
        <w:rPr>
          <w:rFonts w:hint="eastAsia" w:ascii="仿宋_GB2312" w:hAnsi="宋体" w:eastAsia="仿宋_GB2312"/>
          <w:color w:val="000000"/>
          <w:kern w:val="0"/>
          <w:sz w:val="32"/>
          <w:szCs w:val="32"/>
        </w:rPr>
        <w:t>市</w:t>
      </w:r>
      <w:r>
        <w:rPr>
          <w:rFonts w:ascii="仿宋_GB2312" w:hAnsi="宋体" w:eastAsia="仿宋_GB2312"/>
          <w:color w:val="000000"/>
          <w:kern w:val="0"/>
          <w:sz w:val="32"/>
          <w:szCs w:val="32"/>
        </w:rPr>
        <w:t>公司，本所</w:t>
      </w:r>
      <w:r>
        <w:rPr>
          <w:rFonts w:hint="eastAsia" w:ascii="仿宋_GB2312" w:hAnsi="宋体" w:eastAsia="仿宋_GB2312"/>
          <w:color w:val="000000"/>
          <w:kern w:val="0"/>
          <w:sz w:val="32"/>
          <w:szCs w:val="32"/>
        </w:rPr>
        <w:t>依法</w:t>
      </w:r>
      <w:r>
        <w:rPr>
          <w:rFonts w:ascii="仿宋_GB2312" w:hAnsi="宋体" w:eastAsia="仿宋_GB2312"/>
          <w:color w:val="000000"/>
          <w:kern w:val="0"/>
          <w:sz w:val="32"/>
          <w:szCs w:val="32"/>
        </w:rPr>
        <w:t>依</w:t>
      </w:r>
      <w:r>
        <w:rPr>
          <w:rFonts w:hint="eastAsia" w:ascii="仿宋_GB2312" w:hAnsi="宋体" w:eastAsia="仿宋_GB2312"/>
          <w:color w:val="000000"/>
          <w:kern w:val="0"/>
          <w:sz w:val="32"/>
          <w:szCs w:val="32"/>
        </w:rPr>
        <w:t>规</w:t>
      </w:r>
      <w:r>
        <w:rPr>
          <w:rFonts w:ascii="仿宋_GB2312" w:hAnsi="宋体" w:eastAsia="仿宋_GB2312"/>
          <w:color w:val="000000"/>
          <w:kern w:val="0"/>
          <w:sz w:val="32"/>
          <w:szCs w:val="32"/>
        </w:rPr>
        <w:t>给予以下支持和便利：</w:t>
      </w:r>
    </w:p>
    <w:p>
      <w:pPr>
        <w:numPr>
          <w:ilvl w:val="0"/>
          <w:numId w:val="1"/>
        </w:num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对于发行重组业务，申报前加强预沟通服务，实施专人对接并于</w:t>
      </w:r>
      <w:r>
        <w:rPr>
          <w:rFonts w:hint="eastAsia" w:ascii="Times New Roman" w:hAnsi="Times New Roman" w:eastAsia="仿宋_GB2312"/>
          <w:color w:val="000000"/>
          <w:kern w:val="0"/>
          <w:sz w:val="32"/>
          <w:szCs w:val="32"/>
        </w:rPr>
        <w:t>3</w:t>
      </w:r>
      <w:r>
        <w:rPr>
          <w:rFonts w:hint="eastAsia" w:ascii="仿宋_GB2312" w:hAnsi="宋体" w:eastAsia="仿宋_GB2312"/>
          <w:color w:val="000000"/>
          <w:kern w:val="0"/>
          <w:sz w:val="32"/>
          <w:szCs w:val="32"/>
        </w:rPr>
        <w:t>个工作日内对相关问题予以反馈；</w:t>
      </w:r>
      <w:r>
        <w:rPr>
          <w:rFonts w:hint="eastAsia" w:ascii="仿宋" w:hAnsi="仿宋" w:eastAsia="仿宋" w:cs="仿宋"/>
          <w:sz w:val="32"/>
          <w:szCs w:val="32"/>
        </w:rPr>
        <w:t>申报后，</w:t>
      </w:r>
      <w:r>
        <w:rPr>
          <w:rFonts w:hint="eastAsia" w:ascii="Times New Roman" w:hAnsi="Times New Roman" w:eastAsia="仿宋" w:cs="Times New Roman"/>
          <w:sz w:val="32"/>
        </w:rPr>
        <w:t>符合本所相关规定的情况下，给予减少问询轮次或者不进行审核问询等支持；</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（二）应上市公司申请提供定向培训；</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（三）加强公司宣传及业务支持；</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（四）邀请公司董事长、董事会秘书等担任培训讲师，向市场推广信息披露和规范运作经验。</w:t>
      </w:r>
    </w:p>
    <w:p>
      <w:pPr>
        <w:adjustRightInd w:val="0"/>
        <w:snapToGrid w:val="0"/>
        <w:spacing w:line="560" w:lineRule="exact"/>
        <w:ind w:firstLine="640" w:firstLineChars="200"/>
        <w:rPr>
          <w:rFonts w:ascii="仿宋_GB2312" w:hAnsi="宋体" w:eastAsia="仿宋_GB2312"/>
          <w:color w:val="000000"/>
          <w:kern w:val="0"/>
          <w:sz w:val="32"/>
          <w:szCs w:val="32"/>
        </w:rPr>
      </w:pPr>
      <w:r>
        <w:rPr>
          <w:rFonts w:ascii="Times New Roman" w:hAnsi="Times New Roman" w:eastAsia="黑体" w:cs="Times New Roman"/>
          <w:sz w:val="32"/>
          <w:szCs w:val="32"/>
        </w:rPr>
        <w:t>第三十三条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对于最近一年信息披露工作评价结果为D</w:t>
      </w:r>
      <w:r>
        <w:rPr>
          <w:rFonts w:ascii="Times New Roman" w:hAnsi="Times New Roman" w:eastAsia="仿宋_GB2312"/>
          <w:color w:val="000000"/>
          <w:kern w:val="0"/>
          <w:sz w:val="32"/>
          <w:szCs w:val="32"/>
        </w:rPr>
        <w:t>的</w:t>
      </w:r>
      <w:r>
        <w:rPr>
          <w:rFonts w:hint="eastAsia" w:ascii="Times New Roman" w:hAnsi="Times New Roman" w:eastAsia="仿宋_GB2312"/>
          <w:color w:val="000000"/>
          <w:kern w:val="0"/>
          <w:sz w:val="32"/>
          <w:szCs w:val="32"/>
        </w:rPr>
        <w:t>上</w:t>
      </w:r>
      <w:r>
        <w:rPr>
          <w:rFonts w:hint="eastAsia" w:ascii="仿宋_GB2312" w:hAnsi="宋体" w:eastAsia="仿宋_GB2312"/>
          <w:color w:val="000000"/>
          <w:kern w:val="0"/>
          <w:sz w:val="32"/>
          <w:szCs w:val="32"/>
        </w:rPr>
        <w:t>市</w:t>
      </w:r>
      <w:r>
        <w:rPr>
          <w:rFonts w:ascii="仿宋_GB2312" w:hAnsi="宋体" w:eastAsia="仿宋_GB2312"/>
          <w:color w:val="000000"/>
          <w:kern w:val="0"/>
          <w:sz w:val="32"/>
          <w:szCs w:val="32"/>
        </w:rPr>
        <w:t>公司，本</w:t>
      </w:r>
      <w:r>
        <w:rPr>
          <w:rFonts w:hint="eastAsia" w:ascii="仿宋_GB2312" w:hAnsi="宋体" w:eastAsia="仿宋_GB2312"/>
          <w:color w:val="000000"/>
          <w:kern w:val="0"/>
          <w:sz w:val="32"/>
          <w:szCs w:val="32"/>
        </w:rPr>
        <w:t>所在以下方面加强监督和引导</w:t>
      </w:r>
      <w:r>
        <w:rPr>
          <w:rFonts w:ascii="仿宋_GB2312" w:hAnsi="宋体" w:eastAsia="仿宋_GB2312"/>
          <w:color w:val="000000"/>
          <w:kern w:val="0"/>
          <w:sz w:val="32"/>
          <w:szCs w:val="32"/>
        </w:rPr>
        <w:t>：</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（一）加强信息披露审查和问询力度；</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（二）面向公司控股股东、实际控制人、董事长、董事会秘书等开展合规培训；</w:t>
      </w:r>
    </w:p>
    <w:p>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（三）通过电话、发函等方式督促公司董事、监事（如有）及高级管理人员加强信息披露相关规则的学习，督促公司完善信息披露内部控制，提升执行效果等。</w:t>
      </w:r>
    </w:p>
    <w:p>
      <w:pPr>
        <w:spacing w:before="240" w:after="24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  附  则</w:t>
      </w:r>
    </w:p>
    <w:p>
      <w:pPr>
        <w:spacing w:line="600" w:lineRule="exact"/>
        <w:ind w:firstLine="640" w:firstLineChars="200"/>
        <w:rPr>
          <w:rFonts w:ascii="仿宋" w:hAnsi="仿宋" w:eastAsia="仿宋" w:cs="Times New Roman"/>
          <w:sz w:val="32"/>
          <w:szCs w:val="32"/>
        </w:rPr>
      </w:pPr>
      <w:r>
        <w:rPr>
          <w:rFonts w:ascii="Times New Roman" w:hAnsi="Times New Roman" w:eastAsia="黑体" w:cs="Times New Roman"/>
          <w:sz w:val="32"/>
          <w:szCs w:val="32"/>
        </w:rPr>
        <w:t>第三十四条</w:t>
      </w:r>
      <w:r>
        <w:rPr>
          <w:rFonts w:hint="eastAsia" w:ascii="Times New Roman" w:hAnsi="Times New Roman" w:eastAsia="方正仿宋简体" w:cs="Times New Roman"/>
          <w:b/>
          <w:sz w:val="32"/>
          <w:szCs w:val="32"/>
        </w:rPr>
        <w:t xml:space="preserve"> </w:t>
      </w:r>
      <w:r>
        <w:rPr>
          <w:rFonts w:hint="eastAsia" w:ascii="仿宋" w:hAnsi="仿宋" w:eastAsia="仿宋" w:cs="Times New Roman"/>
          <w:sz w:val="32"/>
          <w:szCs w:val="32"/>
        </w:rPr>
        <w:t>本指引所称“以上”含本数，“超过”“低于”“高于”不含本数。</w:t>
      </w:r>
    </w:p>
    <w:p>
      <w:pPr>
        <w:spacing w:line="600" w:lineRule="exact"/>
        <w:ind w:firstLine="640" w:firstLineChars="200"/>
        <w:rPr>
          <w:rFonts w:ascii="Times New Roman" w:hAnsi="Times New Roman" w:eastAsia="黑体" w:cs="Times New Roman"/>
          <w:b/>
          <w:sz w:val="32"/>
          <w:szCs w:val="32"/>
        </w:rPr>
      </w:pPr>
      <w:r>
        <w:rPr>
          <w:rFonts w:ascii="Times New Roman" w:hAnsi="Times New Roman" w:eastAsia="黑体" w:cs="Times New Roman"/>
          <w:sz w:val="32"/>
          <w:szCs w:val="32"/>
        </w:rPr>
        <w:t>第三十五条</w:t>
      </w:r>
      <w:r>
        <w:rPr>
          <w:rFonts w:hint="eastAsia" w:ascii="Times New Roman" w:hAnsi="Times New Roman" w:eastAsia="黑体" w:cs="Times New Roman"/>
          <w:b/>
          <w:sz w:val="32"/>
          <w:szCs w:val="32"/>
        </w:rPr>
        <w:t xml:space="preserve"> </w:t>
      </w:r>
      <w:r>
        <w:rPr>
          <w:rFonts w:hint="eastAsia" w:ascii="仿宋" w:hAnsi="仿宋" w:eastAsia="仿宋" w:cs="Times New Roman"/>
          <w:sz w:val="32"/>
          <w:szCs w:val="32"/>
        </w:rPr>
        <w:t>本</w:t>
      </w:r>
      <w:r>
        <w:rPr>
          <w:rFonts w:hint="eastAsia" w:ascii="仿宋" w:hAnsi="仿宋" w:eastAsia="仿宋" w:cs="Times New Roman"/>
          <w:sz w:val="32"/>
          <w:szCs w:val="32"/>
          <w:lang w:eastAsia="zh-CN"/>
        </w:rPr>
        <w:t>指引</w:t>
      </w:r>
      <w:r>
        <w:rPr>
          <w:rFonts w:hint="eastAsia" w:ascii="仿宋" w:hAnsi="仿宋" w:eastAsia="仿宋" w:cs="Times New Roman"/>
          <w:sz w:val="32"/>
          <w:szCs w:val="32"/>
        </w:rPr>
        <w:t>由本所负责解释。</w:t>
      </w:r>
    </w:p>
    <w:p>
      <w:pPr>
        <w:spacing w:line="600" w:lineRule="exact"/>
        <w:ind w:firstLine="640" w:firstLineChars="200"/>
        <w:rPr>
          <w:rFonts w:ascii="仿宋" w:hAnsi="仿宋" w:eastAsia="仿宋" w:cs="Times New Roman"/>
          <w:sz w:val="32"/>
          <w:szCs w:val="32"/>
        </w:rPr>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pPr>
      <w:r>
        <w:rPr>
          <w:rFonts w:ascii="Times New Roman" w:hAnsi="Times New Roman" w:eastAsia="黑体" w:cs="Times New Roman"/>
          <w:sz w:val="32"/>
          <w:szCs w:val="32"/>
        </w:rPr>
        <w:t>第三十六条</w:t>
      </w:r>
      <w:r>
        <w:rPr>
          <w:rFonts w:hint="eastAsia" w:ascii="Times New Roman" w:hAnsi="Times New Roman" w:eastAsia="黑体" w:cs="Times New Roman"/>
          <w:b/>
          <w:sz w:val="32"/>
          <w:szCs w:val="32"/>
        </w:rPr>
        <w:t xml:space="preserve"> </w:t>
      </w:r>
      <w:r>
        <w:rPr>
          <w:rFonts w:hint="eastAsia" w:ascii="仿宋" w:hAnsi="仿宋" w:eastAsia="仿宋" w:cs="Times New Roman"/>
          <w:sz w:val="32"/>
          <w:szCs w:val="32"/>
        </w:rPr>
        <w:t>本</w:t>
      </w:r>
      <w:r>
        <w:rPr>
          <w:rFonts w:hint="eastAsia" w:ascii="仿宋" w:hAnsi="仿宋" w:eastAsia="仿宋" w:cs="Times New Roman"/>
          <w:sz w:val="32"/>
          <w:szCs w:val="32"/>
          <w:lang w:eastAsia="zh-CN"/>
        </w:rPr>
        <w:t>指引</w:t>
      </w:r>
      <w:r>
        <w:rPr>
          <w:rFonts w:hint="eastAsia" w:ascii="仿宋" w:hAnsi="仿宋" w:eastAsia="仿宋" w:cs="Times New Roman"/>
          <w:sz w:val="32"/>
          <w:szCs w:val="32"/>
        </w:rPr>
        <w:t>自</w:t>
      </w:r>
      <w:r>
        <w:rPr>
          <w:rFonts w:hint="eastAsia" w:ascii="仿宋" w:hAnsi="仿宋" w:eastAsia="仿宋" w:cs="Times New Roman"/>
          <w:sz w:val="32"/>
          <w:szCs w:val="32"/>
          <w:lang w:eastAsia="zh-CN"/>
        </w:rPr>
        <w:t>发布之日</w:t>
      </w:r>
      <w:r>
        <w:rPr>
          <w:rFonts w:hint="eastAsia" w:ascii="仿宋" w:hAnsi="仿宋" w:eastAsia="仿宋" w:cs="Times New Roman"/>
          <w:sz w:val="32"/>
          <w:szCs w:val="32"/>
        </w:rPr>
        <w:t>起实施。</w:t>
      </w:r>
    </w:p>
    <w:p>
      <w:pPr>
        <w:spacing w:line="580" w:lineRule="exact"/>
        <w:ind w:right="-59"/>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仿宋" w:cs="Times New Roman"/>
          <w:b/>
          <w:sz w:val="32"/>
        </w:rPr>
        <w:t>：</w:t>
      </w:r>
      <w:r>
        <w:rPr>
          <w:rFonts w:ascii="Times New Roman" w:hAnsi="Times New Roman" w:eastAsia="黑体" w:cs="Times New Roman"/>
          <w:sz w:val="32"/>
          <w:szCs w:val="32"/>
        </w:rPr>
        <w:t>上市公司信息披露工作计分标准表</w:t>
      </w:r>
    </w:p>
    <w:tbl>
      <w:tblPr>
        <w:tblStyle w:val="10"/>
        <w:tblpPr w:leftFromText="180" w:rightFromText="180" w:vertAnchor="text" w:horzAnchor="page" w:tblpX="1153" w:tblpY="56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97"/>
        <w:gridCol w:w="555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9" w:type="dxa"/>
            <w:noWrap/>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分类</w:t>
            </w:r>
          </w:p>
        </w:tc>
        <w:tc>
          <w:tcPr>
            <w:tcW w:w="697" w:type="dxa"/>
            <w:noWrap/>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5556" w:type="dxa"/>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情形</w:t>
            </w:r>
          </w:p>
        </w:tc>
        <w:tc>
          <w:tcPr>
            <w:tcW w:w="1848" w:type="dxa"/>
            <w:noWrap/>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加（减）分标准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640" w:type="dxa"/>
            <w:gridSpan w:val="4"/>
            <w:noWrap/>
            <w:vAlign w:val="center"/>
          </w:tcPr>
          <w:p>
            <w:pPr>
              <w:adjustRightInd w:val="0"/>
              <w:snapToGrid w:val="0"/>
              <w:spacing w:line="360" w:lineRule="auto"/>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加分事项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9" w:type="dxa"/>
            <w:vMerge w:val="restart"/>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信息披露</w:t>
            </w:r>
            <w:r>
              <w:rPr>
                <w:rFonts w:hint="eastAsia" w:ascii="Times New Roman" w:hAnsi="Times New Roman" w:eastAsia="仿宋" w:cs="Times New Roman"/>
                <w:sz w:val="24"/>
                <w:szCs w:val="24"/>
              </w:rPr>
              <w:t>规范性</w:t>
            </w:r>
            <w:r>
              <w:rPr>
                <w:rFonts w:ascii="Times New Roman" w:hAnsi="Times New Roman" w:eastAsia="仿宋" w:cs="Times New Roman"/>
                <w:sz w:val="24"/>
                <w:szCs w:val="24"/>
              </w:rPr>
              <w:t>和有效性</w:t>
            </w:r>
          </w:p>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（加8分）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信息披露</w:t>
            </w:r>
            <w:r>
              <w:rPr>
                <w:rFonts w:ascii="Times New Roman" w:hAnsi="Times New Roman" w:eastAsia="仿宋" w:cs="Times New Roman"/>
                <w:sz w:val="24"/>
                <w:szCs w:val="24"/>
              </w:rPr>
              <w:t>基础</w:t>
            </w:r>
            <w:r>
              <w:rPr>
                <w:rFonts w:hint="eastAsia" w:ascii="Times New Roman" w:hAnsi="Times New Roman" w:eastAsia="仿宋" w:cs="Times New Roman"/>
                <w:sz w:val="24"/>
                <w:szCs w:val="24"/>
              </w:rPr>
              <w:t>工作</w:t>
            </w:r>
            <w:r>
              <w:rPr>
                <w:rFonts w:ascii="Times New Roman" w:hAnsi="Times New Roman" w:eastAsia="仿宋" w:cs="Times New Roman"/>
                <w:sz w:val="24"/>
                <w:szCs w:val="24"/>
              </w:rPr>
              <w:t>良好</w:t>
            </w:r>
            <w:r>
              <w:rPr>
                <w:rFonts w:hint="eastAsia" w:ascii="Times New Roman" w:hAnsi="Times New Roman" w:eastAsia="仿宋" w:cs="Times New Roman"/>
                <w:sz w:val="24"/>
                <w:szCs w:val="24"/>
              </w:rPr>
              <w:t>，信息披露真实、准确、完整、客观，及时、准确提交业务操作申请，</w:t>
            </w:r>
            <w:r>
              <w:rPr>
                <w:rFonts w:ascii="Times New Roman" w:hAnsi="Times New Roman" w:eastAsia="仿宋" w:cs="Times New Roman"/>
                <w:sz w:val="24"/>
                <w:szCs w:val="24"/>
              </w:rPr>
              <w:t>不存在虚假记载或不实陈述，不存在更正、补</w:t>
            </w:r>
            <w:r>
              <w:rPr>
                <w:rFonts w:hint="eastAsia" w:ascii="Times New Roman" w:hAnsi="Times New Roman" w:eastAsia="仿宋" w:cs="Times New Roman"/>
                <w:sz w:val="24"/>
                <w:szCs w:val="24"/>
              </w:rPr>
              <w:t>发</w:t>
            </w:r>
            <w:r>
              <w:rPr>
                <w:rFonts w:ascii="Times New Roman" w:hAnsi="Times New Roman" w:eastAsia="仿宋" w:cs="Times New Roman"/>
                <w:sz w:val="24"/>
                <w:szCs w:val="24"/>
              </w:rPr>
              <w:t>公告，备查文件不存在伪造、变造等虚假情形，</w:t>
            </w:r>
            <w:r>
              <w:rPr>
                <w:rFonts w:hint="eastAsia" w:ascii="Times New Roman" w:hAnsi="Times New Roman" w:eastAsia="仿宋" w:cs="Times New Roman"/>
                <w:sz w:val="24"/>
                <w:szCs w:val="24"/>
              </w:rPr>
              <w:t>披露的信息不存在夸大陈述、误导性陈述，</w:t>
            </w:r>
            <w:r>
              <w:rPr>
                <w:rFonts w:ascii="Times New Roman" w:hAnsi="Times New Roman" w:eastAsia="仿宋" w:cs="Times New Roman"/>
                <w:sz w:val="24"/>
                <w:szCs w:val="24"/>
              </w:rPr>
              <w:t>不存在因违反信息披露相关规定被本所纪律处分或采取</w:t>
            </w:r>
            <w:r>
              <w:rPr>
                <w:rFonts w:hint="eastAsia" w:ascii="Times New Roman" w:hAnsi="Times New Roman" w:eastAsia="仿宋" w:cs="Times New Roman"/>
                <w:sz w:val="24"/>
                <w:szCs w:val="24"/>
              </w:rPr>
              <w:t>自律</w:t>
            </w:r>
            <w:r>
              <w:rPr>
                <w:rFonts w:ascii="Times New Roman" w:hAnsi="Times New Roman" w:eastAsia="仿宋" w:cs="Times New Roman"/>
                <w:sz w:val="24"/>
                <w:szCs w:val="24"/>
              </w:rPr>
              <w:t>监管措施的情形。</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1539" w:type="dxa"/>
            <w:vMerge w:val="continue"/>
            <w:noWrap/>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5556" w:type="dxa"/>
            <w:vAlign w:val="center"/>
          </w:tcPr>
          <w:p>
            <w:pPr>
              <w:widowControl/>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在规定期限内披露对上市公司股票及其衍生品种交易价格可能产生较大影响的重大事件；适度提前披露定期报告；</w:t>
            </w:r>
            <w:r>
              <w:rPr>
                <w:rFonts w:ascii="Times New Roman" w:hAnsi="Times New Roman" w:eastAsia="仿宋" w:cs="Times New Roman"/>
                <w:sz w:val="24"/>
                <w:szCs w:val="24"/>
                <w:lang w:bidi="ar"/>
              </w:rPr>
              <w:t>同时向所有投资者公开披露</w:t>
            </w:r>
            <w:r>
              <w:rPr>
                <w:rFonts w:hint="eastAsia" w:ascii="Times New Roman" w:hAnsi="Times New Roman" w:eastAsia="仿宋" w:cs="Times New Roman"/>
                <w:sz w:val="24"/>
                <w:szCs w:val="24"/>
              </w:rPr>
              <w:t>可能对公司股票及其衍生品种交易价格产生较大影响的信息</w:t>
            </w:r>
            <w:r>
              <w:rPr>
                <w:rFonts w:ascii="Times New Roman" w:hAnsi="Times New Roman" w:eastAsia="仿宋" w:cs="Times New Roman"/>
                <w:sz w:val="24"/>
                <w:szCs w:val="24"/>
                <w:lang w:bidi="ar"/>
              </w:rPr>
              <w:t>，</w:t>
            </w:r>
            <w:r>
              <w:rPr>
                <w:rFonts w:hint="eastAsia" w:ascii="Times New Roman" w:hAnsi="Times New Roman" w:eastAsia="仿宋" w:cs="Times New Roman"/>
                <w:sz w:val="24"/>
                <w:szCs w:val="24"/>
                <w:lang w:bidi="ar"/>
              </w:rPr>
              <w:t>不存在</w:t>
            </w:r>
            <w:r>
              <w:rPr>
                <w:rFonts w:ascii="Times New Roman" w:hAnsi="Times New Roman" w:eastAsia="仿宋" w:cs="Times New Roman"/>
                <w:sz w:val="24"/>
                <w:szCs w:val="24"/>
                <w:lang w:bidi="ar"/>
              </w:rPr>
              <w:t>提前向特定对象单独披露、透露或者泄露未公开的重大信息</w:t>
            </w:r>
            <w:r>
              <w:rPr>
                <w:rFonts w:hint="eastAsia" w:ascii="Times New Roman" w:hAnsi="Times New Roman" w:eastAsia="仿宋" w:cs="Times New Roman"/>
                <w:sz w:val="24"/>
                <w:szCs w:val="24"/>
                <w:lang w:bidi="ar"/>
              </w:rPr>
              <w:t>的情况</w:t>
            </w:r>
            <w:r>
              <w:rPr>
                <w:rFonts w:ascii="Times New Roman" w:hAnsi="Times New Roman" w:eastAsia="仿宋" w:cs="Times New Roman"/>
                <w:sz w:val="24"/>
                <w:szCs w:val="24"/>
                <w:lang w:bidi="ar"/>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9" w:type="dxa"/>
            <w:vMerge w:val="continue"/>
            <w:noWrap/>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5556" w:type="dxa"/>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丰富信息披露形式，采用图文、音视频等创新信息披露形式向投资者介绍定期报告主要信息，增加定期报告的可读性、实用性。</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539" w:type="dxa"/>
            <w:vMerge w:val="continue"/>
            <w:noWrap/>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5556" w:type="dxa"/>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充分披露行业信息情况，</w:t>
            </w:r>
            <w:r>
              <w:rPr>
                <w:rFonts w:ascii="Times New Roman" w:hAnsi="Times New Roman" w:eastAsia="仿宋" w:cs="Times New Roman"/>
                <w:sz w:val="24"/>
                <w:szCs w:val="24"/>
              </w:rPr>
              <w:t>在定期报告中主动结合公司所在行业政策和市场动态，深入披露并比较分析公司的行业发展趋势、经营模式、核心竞争力、经营计划等行业及经营性信息；在临时报告中主动披露行业经营数据，业务开展的重要阶段性信息。</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539" w:type="dxa"/>
            <w:vMerge w:val="continue"/>
            <w:noWrap/>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c>
          <w:tcPr>
            <w:tcW w:w="5556" w:type="dxa"/>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披露的信息以投资者需求为导向，有利于投资者作出价值判断和投资决策；披露的信息内容简明清晰，语言通俗易懂，不存在篇幅冗长、模板化、宽泛化的情况。</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5556" w:type="dxa"/>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自愿披露与投资者作出价值判断和投资决策有关的信息，保持信息披露的持续性和一致性，以明确的警示文字具体列明相关风险因素，不存在选择性信息披露、误导投资者的情形。</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充分重视信息披露工作，配置熟悉相关业务规则的工作人员从事信息披露工作，并积极组织公司控股股东、实际控制人、董事、监事（如有）、高级管理人员及相关工作人员参加证券市场法律法规及专业知识培训。</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按照有关规定制定规范的信息披露事务管理制度，明确信息披露相关主体职责和内部问责机制，且得到有效执行；控股股东、实际控制人、董事、监事（如有）、高级管理人员、各部门、控股子公司及分公司等积极配合信息披露相关工作，确保重大信息及时报告和披露。</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539" w:type="dxa"/>
            <w:vMerge w:val="restart"/>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投资者关系</w:t>
            </w:r>
            <w:r>
              <w:rPr>
                <w:rFonts w:hint="eastAsia" w:ascii="Times New Roman" w:hAnsi="Times New Roman" w:eastAsia="仿宋" w:cs="Times New Roman"/>
                <w:sz w:val="24"/>
                <w:szCs w:val="24"/>
              </w:rPr>
              <w:t>和</w:t>
            </w:r>
            <w:r>
              <w:rPr>
                <w:rFonts w:ascii="Times New Roman" w:hAnsi="Times New Roman" w:eastAsia="仿宋" w:cs="Times New Roman"/>
                <w:sz w:val="24"/>
                <w:szCs w:val="24"/>
              </w:rPr>
              <w:t>公共关系</w:t>
            </w:r>
            <w:r>
              <w:rPr>
                <w:rFonts w:hint="eastAsia" w:ascii="Times New Roman" w:hAnsi="Times New Roman" w:eastAsia="仿宋" w:cs="Times New Roman"/>
                <w:sz w:val="24"/>
                <w:szCs w:val="24"/>
                <w:lang w:eastAsia="zh-CN"/>
              </w:rPr>
              <w:t>管理</w:t>
            </w:r>
            <w:r>
              <w:rPr>
                <w:rFonts w:ascii="Times New Roman" w:hAnsi="Times New Roman" w:eastAsia="仿宋" w:cs="Times New Roman"/>
                <w:sz w:val="24"/>
                <w:szCs w:val="24"/>
              </w:rPr>
              <w:t>情况</w:t>
            </w:r>
            <w:r>
              <w:rPr>
                <w:rFonts w:hint="eastAsia" w:ascii="Times New Roman" w:hAnsi="Times New Roman" w:eastAsia="仿宋" w:cs="Times New Roman"/>
                <w:sz w:val="24"/>
                <w:szCs w:val="24"/>
              </w:rPr>
              <w:t>（最高加</w:t>
            </w:r>
            <w:r>
              <w:rPr>
                <w:rFonts w:ascii="Times New Roman" w:hAnsi="Times New Roman" w:eastAsia="仿宋" w:cs="Times New Roman"/>
                <w:sz w:val="24"/>
                <w:szCs w:val="24"/>
              </w:rPr>
              <w:t>6</w:t>
            </w:r>
            <w:r>
              <w:rPr>
                <w:rFonts w:hint="eastAsia" w:ascii="Times New Roman" w:hAnsi="Times New Roman" w:eastAsia="仿宋" w:cs="Times New Roman"/>
                <w:sz w:val="24"/>
                <w:szCs w:val="24"/>
              </w:rPr>
              <w:t>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积极与投资者互动沟通，在公司官网开设投资者关系专栏，配备专门工作人员负责投资者关系管理，及时更新投资者联系方式，主动回应投资者的投诉、建议，定期向投资者征求意见，并相应改进信息披露等方面的工作。</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接受证券研究机构对公司进行调研，并由证券研究机构出具研究报告，加强投资者对公司所在行业、商业模式、业务亮点等方面的理解；或举办投资者现场接待日活动，组织投资者现场参观，并披露公告。</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.3</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丰富投资者交流形式，对于按规定召开的投资者说明会，创新互动形式</w:t>
            </w:r>
            <w:r>
              <w:rPr>
                <w:rFonts w:ascii="Times New Roman" w:hAnsi="Times New Roman" w:eastAsia="仿宋" w:cs="Times New Roman"/>
                <w:sz w:val="24"/>
                <w:szCs w:val="24"/>
              </w:rPr>
              <w:t>，</w:t>
            </w:r>
            <w:r>
              <w:rPr>
                <w:rFonts w:hint="eastAsia" w:ascii="Times New Roman" w:hAnsi="Times New Roman" w:eastAsia="仿宋" w:cs="Times New Roman"/>
                <w:sz w:val="24"/>
                <w:szCs w:val="24"/>
              </w:rPr>
              <w:t>提高</w:t>
            </w:r>
            <w:r>
              <w:rPr>
                <w:rFonts w:ascii="Times New Roman" w:hAnsi="Times New Roman" w:eastAsia="仿宋" w:cs="Times New Roman"/>
                <w:sz w:val="24"/>
                <w:szCs w:val="24"/>
              </w:rPr>
              <w:t>投资者认同感和参与感</w:t>
            </w:r>
            <w:r>
              <w:rPr>
                <w:rFonts w:hint="eastAsia" w:ascii="Times New Roman" w:hAnsi="Times New Roman" w:eastAsia="仿宋" w:cs="Times New Roman"/>
                <w:sz w:val="24"/>
                <w:szCs w:val="24"/>
              </w:rPr>
              <w:t>；或</w:t>
            </w:r>
            <w:r>
              <w:rPr>
                <w:rFonts w:ascii="Times New Roman" w:hAnsi="Times New Roman" w:eastAsia="仿宋" w:cs="Times New Roman"/>
                <w:sz w:val="24"/>
                <w:szCs w:val="24"/>
              </w:rPr>
              <w:t>主动召开</w:t>
            </w:r>
            <w:r>
              <w:rPr>
                <w:rFonts w:hint="eastAsia" w:ascii="Times New Roman" w:hAnsi="Times New Roman" w:eastAsia="仿宋" w:cs="Times New Roman"/>
                <w:sz w:val="24"/>
                <w:szCs w:val="24"/>
              </w:rPr>
              <w:t>规则要求以外的</w:t>
            </w:r>
            <w:r>
              <w:rPr>
                <w:rFonts w:ascii="Times New Roman" w:hAnsi="Times New Roman" w:eastAsia="仿宋" w:cs="Times New Roman"/>
                <w:sz w:val="24"/>
                <w:szCs w:val="24"/>
              </w:rPr>
              <w:t>投资者说明会（</w:t>
            </w:r>
            <w:r>
              <w:rPr>
                <w:rFonts w:hint="eastAsia" w:ascii="Times New Roman" w:hAnsi="Times New Roman" w:eastAsia="仿宋" w:cs="Times New Roman"/>
                <w:sz w:val="24"/>
                <w:szCs w:val="24"/>
              </w:rPr>
              <w:t>如非年度</w:t>
            </w:r>
            <w:r>
              <w:rPr>
                <w:rFonts w:ascii="Times New Roman" w:hAnsi="Times New Roman" w:eastAsia="仿宋" w:cs="Times New Roman"/>
                <w:sz w:val="24"/>
                <w:szCs w:val="24"/>
              </w:rPr>
              <w:t>业绩说明会、现金分红说明会、重大事项说明会等），向投资者介绍情况、回答问题</w:t>
            </w:r>
            <w:r>
              <w:rPr>
                <w:rFonts w:hint="eastAsia"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.4</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建立提升投资价值长效机制，合理实施现金分红（以竞价、要约方式实施股份回购并用于注销的视同现金分红），提高投资者回报水平。</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充分重视舆情管理工作，建立并有效执行舆情管理制度，指定高级管理人员与专门部门负责，及时核实市场关于公司的报道、传闻并主动澄清市场和投资者关注的问题，最大限度降低负面影响。</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539" w:type="dxa"/>
            <w:vMerge w:val="restart"/>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履行社会责任披露情况</w:t>
            </w:r>
          </w:p>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（同时披露社会责任报告和可持续发展报告，最高加2分）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积极履行社会责任，将社会责任理念融入公司日常经营与发展战略，</w:t>
            </w:r>
            <w:r>
              <w:rPr>
                <w:rFonts w:ascii="Times New Roman" w:hAnsi="Times New Roman" w:eastAsia="仿宋" w:cs="Times New Roman"/>
                <w:sz w:val="24"/>
                <w:szCs w:val="24"/>
              </w:rPr>
              <w:t>披露社会责任报告，报告内容充实、完整。</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w:t>
            </w:r>
            <w:r>
              <w:rPr>
                <w:rFonts w:hint="eastAsia" w:ascii="Times New Roman" w:hAnsi="Times New Roman" w:eastAsia="仿宋" w:cs="Times New Roman"/>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根据《北京证券交易所上市公司持续监管指引第11号—可持续发展报告（试行）》，</w:t>
            </w:r>
            <w:r>
              <w:rPr>
                <w:rFonts w:ascii="Times New Roman" w:hAnsi="Times New Roman" w:eastAsia="仿宋" w:cs="Times New Roman"/>
                <w:sz w:val="24"/>
                <w:szCs w:val="24"/>
              </w:rPr>
              <w:t>披露</w:t>
            </w:r>
            <w:r>
              <w:rPr>
                <w:rFonts w:hint="eastAsia" w:ascii="Times New Roman" w:hAnsi="Times New Roman" w:eastAsia="仿宋" w:cs="Times New Roman"/>
                <w:sz w:val="24"/>
                <w:szCs w:val="24"/>
              </w:rPr>
              <w:t>可持续发展报告</w:t>
            </w:r>
            <w:r>
              <w:rPr>
                <w:rFonts w:ascii="Times New Roman" w:hAnsi="Times New Roman" w:eastAsia="仿宋" w:cs="Times New Roman"/>
                <w:sz w:val="24"/>
                <w:szCs w:val="24"/>
              </w:rPr>
              <w:t>，报告内容充实、完整。</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9" w:type="dxa"/>
            <w:vMerge w:val="restart"/>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支持</w:t>
            </w:r>
            <w:r>
              <w:rPr>
                <w:rFonts w:ascii="Times New Roman" w:hAnsi="Times New Roman" w:eastAsia="仿宋" w:cs="Times New Roman"/>
                <w:sz w:val="24"/>
                <w:szCs w:val="24"/>
              </w:rPr>
              <w:t>本所工作情况</w:t>
            </w:r>
          </w:p>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（加</w:t>
            </w:r>
            <w:r>
              <w:rPr>
                <w:rFonts w:ascii="Times New Roman" w:hAnsi="Times New Roman" w:eastAsia="仿宋" w:cs="Times New Roman"/>
                <w:sz w:val="24"/>
                <w:szCs w:val="24"/>
              </w:rPr>
              <w:t>4</w:t>
            </w:r>
            <w:r>
              <w:rPr>
                <w:rFonts w:hint="eastAsia" w:ascii="Times New Roman" w:hAnsi="Times New Roman" w:eastAsia="仿宋" w:cs="Times New Roman"/>
                <w:sz w:val="24"/>
                <w:szCs w:val="24"/>
              </w:rPr>
              <w:t>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积极参与本所相关规则的制定及修订工作，并提出有效政策建议和意见。</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积极</w:t>
            </w:r>
            <w:r>
              <w:rPr>
                <w:rFonts w:hint="eastAsia" w:ascii="Times New Roman" w:hAnsi="Times New Roman" w:eastAsia="仿宋" w:cs="Times New Roman"/>
                <w:sz w:val="24"/>
                <w:szCs w:val="24"/>
              </w:rPr>
              <w:t>支持</w:t>
            </w:r>
            <w:r>
              <w:rPr>
                <w:rFonts w:ascii="Times New Roman" w:hAnsi="Times New Roman" w:eastAsia="仿宋" w:cs="Times New Roman"/>
                <w:sz w:val="24"/>
                <w:szCs w:val="24"/>
              </w:rPr>
              <w:t>本所信息统计</w:t>
            </w:r>
            <w:r>
              <w:rPr>
                <w:rFonts w:hint="eastAsia" w:ascii="Times New Roman" w:hAnsi="Times New Roman" w:eastAsia="仿宋" w:cs="Times New Roman"/>
                <w:sz w:val="24"/>
                <w:szCs w:val="24"/>
              </w:rPr>
              <w:t>、</w:t>
            </w:r>
            <w:r>
              <w:rPr>
                <w:rFonts w:ascii="Times New Roman" w:hAnsi="Times New Roman" w:eastAsia="仿宋" w:cs="Times New Roman"/>
                <w:sz w:val="24"/>
                <w:szCs w:val="24"/>
              </w:rPr>
              <w:t>走访调研</w:t>
            </w:r>
            <w:r>
              <w:rPr>
                <w:rFonts w:hint="eastAsia" w:ascii="Times New Roman" w:hAnsi="Times New Roman" w:eastAsia="仿宋" w:cs="Times New Roman"/>
                <w:sz w:val="24"/>
                <w:szCs w:val="24"/>
              </w:rPr>
              <w:t>工作，</w:t>
            </w:r>
            <w:r>
              <w:rPr>
                <w:rFonts w:hint="eastAsia" w:ascii="Times New Roman" w:hAnsi="Times New Roman" w:eastAsia="仿宋" w:cs="Times New Roman"/>
                <w:color w:val="000000"/>
                <w:sz w:val="24"/>
                <w:szCs w:val="24"/>
              </w:rPr>
              <w:t>或上市公司董事长、董事会秘书等在本所组织的培训中担任讲师</w:t>
            </w:r>
            <w:r>
              <w:rPr>
                <w:rFonts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4.3</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能够较快地对监管动态作出反应</w:t>
            </w:r>
            <w:r>
              <w:rPr>
                <w:rFonts w:hint="eastAsia" w:ascii="Times New Roman" w:hAnsi="Times New Roman" w:eastAsia="仿宋" w:cs="Times New Roman"/>
                <w:sz w:val="24"/>
                <w:szCs w:val="24"/>
              </w:rPr>
              <w:t>，</w:t>
            </w:r>
            <w:r>
              <w:rPr>
                <w:rFonts w:ascii="Times New Roman" w:hAnsi="Times New Roman" w:eastAsia="仿宋" w:cs="Times New Roman"/>
                <w:sz w:val="24"/>
                <w:szCs w:val="24"/>
              </w:rPr>
              <w:t>监管新规颁布后</w:t>
            </w:r>
            <w:r>
              <w:rPr>
                <w:rFonts w:hint="eastAsia" w:ascii="Times New Roman" w:hAnsi="Times New Roman" w:eastAsia="仿宋" w:cs="Times New Roman"/>
                <w:sz w:val="24"/>
                <w:szCs w:val="24"/>
              </w:rPr>
              <w:t>及时</w:t>
            </w:r>
            <w:r>
              <w:rPr>
                <w:rFonts w:ascii="Times New Roman" w:hAnsi="Times New Roman" w:eastAsia="仿宋" w:cs="Times New Roman"/>
                <w:sz w:val="24"/>
                <w:szCs w:val="24"/>
              </w:rPr>
              <w:t>修订相关制度。</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9" w:type="dxa"/>
            <w:vMerge w:val="continue"/>
          </w:tcPr>
          <w:p>
            <w:pPr>
              <w:adjustRightInd w:val="0"/>
              <w:snapToGrid w:val="0"/>
              <w:spacing w:line="360" w:lineRule="auto"/>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4.4</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主动报告公司在提高上市公司信息披露</w:t>
            </w:r>
            <w:r>
              <w:rPr>
                <w:rFonts w:ascii="Times New Roman" w:hAnsi="Times New Roman" w:eastAsia="仿宋" w:cs="Times New Roman"/>
                <w:sz w:val="24"/>
                <w:szCs w:val="24"/>
              </w:rPr>
              <w:t>质量</w:t>
            </w:r>
            <w:r>
              <w:rPr>
                <w:rFonts w:hint="eastAsia" w:ascii="Times New Roman" w:hAnsi="Times New Roman" w:eastAsia="仿宋" w:cs="Times New Roman"/>
                <w:sz w:val="24"/>
                <w:szCs w:val="24"/>
              </w:rPr>
              <w:t>等方面特色经验</w:t>
            </w:r>
            <w:r>
              <w:rPr>
                <w:rFonts w:ascii="Times New Roman" w:hAnsi="Times New Roman" w:eastAsia="仿宋" w:cs="Times New Roman"/>
                <w:sz w:val="24"/>
                <w:szCs w:val="24"/>
              </w:rPr>
              <w:t>，且相关做法可以</w:t>
            </w:r>
            <w:r>
              <w:rPr>
                <w:rFonts w:hint="eastAsia" w:ascii="Times New Roman" w:hAnsi="Times New Roman" w:eastAsia="仿宋" w:cs="Times New Roman"/>
                <w:sz w:val="24"/>
                <w:szCs w:val="24"/>
              </w:rPr>
              <w:t>有效提升公司的规范运作水平和企业价值</w:t>
            </w:r>
            <w:r>
              <w:rPr>
                <w:rFonts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640" w:type="dxa"/>
            <w:gridSpan w:val="4"/>
            <w:noWrap/>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减分事项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9" w:type="dxa"/>
            <w:vMerge w:val="restart"/>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信息披露规范性</w:t>
            </w: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w:t>
            </w:r>
            <w:r>
              <w:rPr>
                <w:rFonts w:hint="eastAsia" w:ascii="Times New Roman" w:hAnsi="Times New Roman" w:eastAsia="仿宋" w:cs="Times New Roman"/>
                <w:sz w:val="24"/>
                <w:szCs w:val="24"/>
              </w:rPr>
              <w:t>8分）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信息披露基础较差，因不及时</w:t>
            </w:r>
            <w:r>
              <w:rPr>
                <w:rFonts w:ascii="Times New Roman" w:hAnsi="Times New Roman" w:eastAsia="仿宋" w:cs="Times New Roman"/>
                <w:sz w:val="24"/>
                <w:szCs w:val="24"/>
              </w:rPr>
              <w:t>、不准确、不完整</w:t>
            </w:r>
            <w:r>
              <w:rPr>
                <w:rFonts w:hint="eastAsia" w:ascii="Times New Roman" w:hAnsi="Times New Roman" w:eastAsia="仿宋" w:cs="Times New Roman"/>
                <w:sz w:val="24"/>
                <w:szCs w:val="24"/>
              </w:rPr>
              <w:t>等原因，</w:t>
            </w:r>
            <w:r>
              <w:rPr>
                <w:rFonts w:ascii="Times New Roman" w:hAnsi="Times New Roman" w:eastAsia="仿宋" w:cs="Times New Roman"/>
                <w:sz w:val="24"/>
                <w:szCs w:val="24"/>
              </w:rPr>
              <w:t>导致补发</w:t>
            </w:r>
            <w:r>
              <w:rPr>
                <w:rFonts w:hint="eastAsia" w:ascii="Times New Roman" w:hAnsi="Times New Roman" w:eastAsia="仿宋" w:cs="Times New Roman"/>
                <w:sz w:val="24"/>
                <w:szCs w:val="24"/>
              </w:rPr>
              <w:t>或</w:t>
            </w:r>
            <w:r>
              <w:rPr>
                <w:rFonts w:ascii="Times New Roman" w:hAnsi="Times New Roman" w:eastAsia="仿宋" w:cs="Times New Roman"/>
                <w:sz w:val="24"/>
                <w:szCs w:val="24"/>
              </w:rPr>
              <w:t>更正公告。</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最高减</w:t>
            </w:r>
            <w:r>
              <w:rPr>
                <w:rFonts w:ascii="Times New Roman" w:hAnsi="Times New Roman" w:eastAsia="仿宋" w:cs="Times New Roman"/>
                <w:sz w:val="24"/>
                <w:szCs w:val="24"/>
              </w:rPr>
              <w:t>3</w:t>
            </w:r>
            <w:r>
              <w:rPr>
                <w:rFonts w:hint="eastAsia"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利用信息披露文件、官网、公众号或者其他方式迎合市场热点或者与市场热点不当关联，故意夸大相关事项对公司生产、经营、研发、销售、发展等方面的影响，不当影响公司股票及其衍生品种价格，被本所要求澄清、说明或公开补充、更正。</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w:t>
            </w:r>
            <w:r>
              <w:rPr>
                <w:rFonts w:hint="eastAsia" w:ascii="Times New Roman" w:hAnsi="Times New Roman" w:eastAsia="仿宋" w:cs="Times New Roman"/>
                <w:sz w:val="24"/>
                <w:szCs w:val="24"/>
              </w:rPr>
              <w:t>3</w:t>
            </w:r>
            <w:r>
              <w:rPr>
                <w:rFonts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3</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未按本所规定编制公告、提交备查文件，如公告内容与</w:t>
            </w:r>
            <w:r>
              <w:rPr>
                <w:rFonts w:ascii="Times New Roman" w:hAnsi="Times New Roman" w:eastAsia="仿宋" w:cs="Times New Roman"/>
                <w:sz w:val="24"/>
                <w:szCs w:val="24"/>
              </w:rPr>
              <w:t>本所公告格式</w:t>
            </w:r>
            <w:r>
              <w:rPr>
                <w:rFonts w:hint="eastAsia" w:ascii="Times New Roman" w:hAnsi="Times New Roman" w:eastAsia="仿宋" w:cs="Times New Roman"/>
                <w:sz w:val="24"/>
                <w:szCs w:val="24"/>
              </w:rPr>
              <w:t>模板严重不符，或</w:t>
            </w:r>
            <w:r>
              <w:rPr>
                <w:rFonts w:ascii="Times New Roman" w:hAnsi="Times New Roman" w:eastAsia="仿宋" w:cs="Times New Roman"/>
                <w:sz w:val="24"/>
                <w:szCs w:val="24"/>
              </w:rPr>
              <w:t>备查文件</w:t>
            </w:r>
            <w:r>
              <w:rPr>
                <w:rFonts w:hint="eastAsia" w:ascii="Times New Roman" w:hAnsi="Times New Roman" w:eastAsia="仿宋" w:cs="Times New Roman"/>
                <w:sz w:val="24"/>
                <w:szCs w:val="24"/>
              </w:rPr>
              <w:t>缺失、</w:t>
            </w:r>
            <w:r>
              <w:rPr>
                <w:rFonts w:ascii="Times New Roman" w:hAnsi="Times New Roman" w:eastAsia="仿宋" w:cs="Times New Roman"/>
                <w:sz w:val="24"/>
                <w:szCs w:val="24"/>
              </w:rPr>
              <w:t>与信息披露文件不一致</w:t>
            </w:r>
            <w:r>
              <w:rPr>
                <w:rFonts w:hint="eastAsia" w:ascii="Times New Roman" w:hAnsi="Times New Roman" w:eastAsia="仿宋" w:cs="Times New Roman"/>
                <w:sz w:val="24"/>
                <w:szCs w:val="24"/>
              </w:rPr>
              <w:t>等</w:t>
            </w:r>
            <w:r>
              <w:rPr>
                <w:rFonts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因公司自身原因导致在非信息披露提交时段发布公告3</w:t>
            </w:r>
            <w:r>
              <w:rPr>
                <w:rFonts w:hint="eastAsia" w:ascii="Times New Roman" w:hAnsi="Times New Roman" w:eastAsia="仿宋" w:cs="Times New Roman"/>
                <w:sz w:val="24"/>
                <w:szCs w:val="24"/>
              </w:rPr>
              <w:t>次及以上</w:t>
            </w:r>
            <w:r>
              <w:rPr>
                <w:rFonts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39" w:type="dxa"/>
            <w:vMerge w:val="restart"/>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业务操作情况</w:t>
            </w: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减5</w:t>
            </w:r>
            <w:r>
              <w:rPr>
                <w:rFonts w:hint="eastAsia" w:ascii="Times New Roman" w:hAnsi="Times New Roman" w:eastAsia="仿宋" w:cs="Times New Roman"/>
                <w:sz w:val="24"/>
                <w:szCs w:val="24"/>
              </w:rPr>
              <w:t>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信息披露</w:t>
            </w:r>
            <w:r>
              <w:rPr>
                <w:rFonts w:ascii="Times New Roman" w:hAnsi="Times New Roman" w:eastAsia="仿宋" w:cs="Times New Roman"/>
                <w:sz w:val="24"/>
                <w:szCs w:val="24"/>
              </w:rPr>
              <w:t>业务办理过程中，</w:t>
            </w:r>
            <w:r>
              <w:rPr>
                <w:rFonts w:hint="eastAsia" w:ascii="Times New Roman" w:hAnsi="Times New Roman" w:eastAsia="仿宋" w:cs="Times New Roman"/>
                <w:sz w:val="24"/>
                <w:szCs w:val="24"/>
              </w:rPr>
              <w:t>因错选公告类别、业务操作数据填写有误、未及时进行操作结果确认等原因，构成业务运行安全隐患。</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公司重要信息数据报送不及时</w:t>
            </w:r>
            <w:r>
              <w:rPr>
                <w:rFonts w:ascii="Times New Roman" w:hAnsi="Times New Roman" w:eastAsia="仿宋" w:cs="Times New Roman"/>
                <w:sz w:val="24"/>
                <w:szCs w:val="24"/>
              </w:rPr>
              <w:t>、不准确</w:t>
            </w:r>
            <w:r>
              <w:rPr>
                <w:rFonts w:hint="eastAsia" w:ascii="Times New Roman" w:hAnsi="Times New Roman" w:eastAsia="仿宋" w:cs="Times New Roman"/>
                <w:sz w:val="24"/>
                <w:szCs w:val="24"/>
              </w:rPr>
              <w:t>，如上市公司关键人员、一致行动人、内幕信息知情人、持股变动情况等</w:t>
            </w:r>
            <w:r>
              <w:rPr>
                <w:rFonts w:hint="eastAsia" w:ascii="Times New Roman" w:hAnsi="Times New Roman" w:eastAsia="仿宋" w:cs="Times New Roman"/>
                <w:sz w:val="24"/>
                <w:szCs w:val="24"/>
                <w:lang w:eastAsia="zh-CN"/>
              </w:rPr>
              <w:t>信息</w:t>
            </w:r>
            <w:r>
              <w:rPr>
                <w:rFonts w:hint="eastAsia"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39" w:type="dxa"/>
            <w:vMerge w:val="restart"/>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重大负面</w:t>
            </w:r>
            <w:r>
              <w:rPr>
                <w:rFonts w:ascii="Times New Roman" w:hAnsi="Times New Roman" w:eastAsia="仿宋" w:cs="Times New Roman"/>
                <w:sz w:val="24"/>
                <w:szCs w:val="24"/>
              </w:rPr>
              <w:t>事项</w:t>
            </w: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w:t>
            </w:r>
            <w:r>
              <w:rPr>
                <w:rFonts w:hint="eastAsia" w:ascii="Times New Roman" w:hAnsi="Times New Roman" w:eastAsia="仿宋" w:cs="Times New Roman"/>
                <w:sz w:val="24"/>
                <w:szCs w:val="24"/>
              </w:rPr>
              <w:t>6分）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出现联系渠道不畅通、未按要求整改等不配合监管事宜。</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w:t>
            </w:r>
            <w:r>
              <w:rPr>
                <w:rFonts w:hint="eastAsia" w:ascii="Times New Roman" w:hAnsi="Times New Roman" w:eastAsia="仿宋" w:cs="Times New Roman"/>
                <w:sz w:val="24"/>
                <w:szCs w:val="24"/>
              </w:rPr>
              <w:t>3</w:t>
            </w:r>
            <w:r>
              <w:rPr>
                <w:rFonts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出现严重影响投资者决策或损害</w:t>
            </w:r>
            <w:r>
              <w:rPr>
                <w:rFonts w:ascii="Times New Roman" w:hAnsi="Times New Roman" w:eastAsia="仿宋" w:cs="Times New Roman"/>
                <w:sz w:val="24"/>
                <w:szCs w:val="24"/>
              </w:rPr>
              <w:t>投资者利益的情况</w:t>
            </w:r>
            <w:r>
              <w:rPr>
                <w:rFonts w:hint="eastAsia" w:ascii="Times New Roman" w:hAnsi="Times New Roman" w:eastAsia="仿宋" w:cs="Times New Roman"/>
                <w:sz w:val="24"/>
                <w:szCs w:val="24"/>
              </w:rPr>
              <w:t>，如公司未及时、充分披露重大投资损失，重组标的业绩承诺未达标等信息，或重大投资损失、重组标的业绩承诺未达标时，公司未积极采取诉讼等方式保障公司权益。</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减</w:t>
            </w:r>
            <w:r>
              <w:rPr>
                <w:rFonts w:hint="eastAsia" w:ascii="Times New Roman" w:hAnsi="Times New Roman" w:eastAsia="仿宋" w:cs="Times New Roman"/>
                <w:sz w:val="24"/>
                <w:szCs w:val="24"/>
              </w:rPr>
              <w:t>3</w:t>
            </w:r>
            <w:r>
              <w:rPr>
                <w:rFonts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39" w:type="dxa"/>
            <w:vMerge w:val="restart"/>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自律</w:t>
            </w:r>
            <w:r>
              <w:rPr>
                <w:rFonts w:ascii="Times New Roman" w:hAnsi="Times New Roman" w:eastAsia="仿宋" w:cs="Times New Roman"/>
                <w:sz w:val="24"/>
                <w:szCs w:val="24"/>
              </w:rPr>
              <w:t>监管措施和纪律处分</w:t>
            </w: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4.1</w:t>
            </w:r>
          </w:p>
        </w:tc>
        <w:tc>
          <w:tcPr>
            <w:tcW w:w="5556" w:type="dxa"/>
            <w:vAlign w:val="center"/>
          </w:tcPr>
          <w:p>
            <w:pPr>
              <w:widowControl/>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口头警示</w:t>
            </w:r>
            <w:r>
              <w:rPr>
                <w:rFonts w:hint="eastAsia" w:ascii="Times New Roman" w:hAnsi="Times New Roman" w:eastAsia="仿宋" w:cs="Times New Roman"/>
                <w:sz w:val="24"/>
                <w:szCs w:val="24"/>
              </w:rPr>
              <w:t>、监管关注</w:t>
            </w:r>
            <w:r>
              <w:rPr>
                <w:rFonts w:ascii="Times New Roman" w:hAnsi="Times New Roman" w:eastAsia="仿宋" w:cs="Times New Roman"/>
                <w:sz w:val="24"/>
                <w:szCs w:val="24"/>
              </w:rPr>
              <w:t>（上市公司）。</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4.2</w:t>
            </w:r>
          </w:p>
        </w:tc>
        <w:tc>
          <w:tcPr>
            <w:tcW w:w="5556" w:type="dxa"/>
            <w:vAlign w:val="center"/>
          </w:tcPr>
          <w:p>
            <w:pPr>
              <w:widowControl/>
              <w:adjustRightInd w:val="0"/>
              <w:snapToGrid w:val="0"/>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要求提交</w:t>
            </w:r>
            <w:r>
              <w:rPr>
                <w:rFonts w:ascii="Times New Roman" w:hAnsi="Times New Roman" w:eastAsia="仿宋" w:cs="Times New Roman"/>
                <w:sz w:val="24"/>
                <w:szCs w:val="24"/>
              </w:rPr>
              <w:t>书面承诺、约见谈话（上市公司）</w:t>
            </w:r>
            <w:r>
              <w:rPr>
                <w:rFonts w:hint="eastAsia"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3</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口头警示、</w:t>
            </w:r>
            <w:r>
              <w:rPr>
                <w:rFonts w:hint="eastAsia" w:ascii="Times New Roman" w:hAnsi="Times New Roman" w:eastAsia="仿宋" w:cs="Times New Roman"/>
                <w:sz w:val="24"/>
                <w:szCs w:val="24"/>
              </w:rPr>
              <w:t>监管关注、要求提交</w:t>
            </w:r>
            <w:r>
              <w:rPr>
                <w:rFonts w:ascii="Times New Roman" w:hAnsi="Times New Roman" w:eastAsia="仿宋" w:cs="Times New Roman"/>
                <w:sz w:val="24"/>
                <w:szCs w:val="24"/>
              </w:rPr>
              <w:t>书面承诺、约见谈话（上市公司控股股东、实际控制人</w:t>
            </w:r>
            <w:r>
              <w:rPr>
                <w:rFonts w:hint="eastAsia" w:ascii="Times New Roman" w:hAnsi="Times New Roman" w:eastAsia="仿宋" w:cs="Times New Roman"/>
                <w:sz w:val="24"/>
                <w:szCs w:val="24"/>
              </w:rPr>
              <w:t>、</w:t>
            </w:r>
            <w:r>
              <w:rPr>
                <w:rFonts w:ascii="Times New Roman" w:hAnsi="Times New Roman" w:eastAsia="仿宋" w:cs="Times New Roman"/>
                <w:sz w:val="24"/>
                <w:szCs w:val="24"/>
              </w:rPr>
              <w:t>董事、</w:t>
            </w:r>
            <w:r>
              <w:rPr>
                <w:rFonts w:hint="eastAsia" w:ascii="Times New Roman" w:hAnsi="Times New Roman" w:eastAsia="仿宋" w:cs="Times New Roman"/>
                <w:sz w:val="24"/>
                <w:szCs w:val="24"/>
              </w:rPr>
              <w:t>监事（如有）</w:t>
            </w:r>
            <w:r>
              <w:rPr>
                <w:rFonts w:ascii="Times New Roman" w:hAnsi="Times New Roman" w:eastAsia="仿宋" w:cs="Times New Roman"/>
                <w:sz w:val="24"/>
                <w:szCs w:val="24"/>
              </w:rPr>
              <w:t>、高级管理人员）。</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4</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lang w:bidi="ar"/>
              </w:rPr>
              <w:t>出具警示函等其他自律监管措施</w:t>
            </w:r>
            <w:r>
              <w:rPr>
                <w:rFonts w:ascii="Times New Roman" w:hAnsi="Times New Roman" w:eastAsia="仿宋" w:cs="Times New Roman"/>
                <w:sz w:val="24"/>
                <w:szCs w:val="24"/>
              </w:rPr>
              <w:t>（上市公司）。</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5</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lang w:bidi="ar"/>
              </w:rPr>
              <w:t>出具警示函等其他自律监管措施</w:t>
            </w:r>
            <w:r>
              <w:rPr>
                <w:rFonts w:ascii="Times New Roman" w:hAnsi="Times New Roman" w:eastAsia="仿宋" w:cs="Times New Roman"/>
                <w:sz w:val="24"/>
                <w:szCs w:val="24"/>
              </w:rPr>
              <w:t>（上市公司控股股东、实际控制人</w:t>
            </w:r>
            <w:r>
              <w:rPr>
                <w:rFonts w:hint="eastAsia" w:ascii="Times New Roman" w:hAnsi="Times New Roman" w:eastAsia="仿宋" w:cs="Times New Roman"/>
                <w:sz w:val="24"/>
                <w:szCs w:val="24"/>
              </w:rPr>
              <w:t>、</w:t>
            </w:r>
            <w:r>
              <w:rPr>
                <w:rFonts w:ascii="Times New Roman" w:hAnsi="Times New Roman" w:eastAsia="仿宋" w:cs="Times New Roman"/>
                <w:sz w:val="24"/>
                <w:szCs w:val="24"/>
              </w:rPr>
              <w:t>董事、</w:t>
            </w:r>
            <w:r>
              <w:rPr>
                <w:rFonts w:hint="eastAsia" w:ascii="Times New Roman" w:hAnsi="Times New Roman" w:eastAsia="仿宋" w:cs="Times New Roman"/>
                <w:sz w:val="24"/>
                <w:szCs w:val="24"/>
              </w:rPr>
              <w:t>监事（如有）</w:t>
            </w:r>
            <w:r>
              <w:rPr>
                <w:rFonts w:ascii="Times New Roman" w:hAnsi="Times New Roman" w:eastAsia="仿宋" w:cs="Times New Roman"/>
                <w:sz w:val="24"/>
                <w:szCs w:val="24"/>
              </w:rPr>
              <w:t>、高级管理人员）。</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6</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通报批评（上市公司）。</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7</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通报批评（上市公司控股股东、实际控制人</w:t>
            </w:r>
            <w:r>
              <w:rPr>
                <w:rFonts w:hint="eastAsia" w:ascii="Times New Roman" w:hAnsi="Times New Roman" w:eastAsia="仿宋" w:cs="Times New Roman"/>
                <w:sz w:val="24"/>
                <w:szCs w:val="24"/>
              </w:rPr>
              <w:t>、</w:t>
            </w:r>
            <w:r>
              <w:rPr>
                <w:rFonts w:ascii="Times New Roman" w:hAnsi="Times New Roman" w:eastAsia="仿宋" w:cs="Times New Roman"/>
                <w:sz w:val="24"/>
                <w:szCs w:val="24"/>
              </w:rPr>
              <w:t>董事、</w:t>
            </w:r>
            <w:r>
              <w:rPr>
                <w:rFonts w:hint="eastAsia" w:ascii="Times New Roman" w:hAnsi="Times New Roman" w:eastAsia="仿宋" w:cs="Times New Roman"/>
                <w:sz w:val="24"/>
                <w:szCs w:val="24"/>
              </w:rPr>
              <w:t>监事（如有）</w:t>
            </w:r>
            <w:r>
              <w:rPr>
                <w:rFonts w:ascii="Times New Roman" w:hAnsi="Times New Roman" w:eastAsia="仿宋" w:cs="Times New Roman"/>
                <w:sz w:val="24"/>
                <w:szCs w:val="24"/>
              </w:rPr>
              <w:t>、高级管理人员）。</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w:t>
            </w:r>
            <w:r>
              <w:rPr>
                <w:rFonts w:hint="eastAsia" w:ascii="Times New Roman" w:hAnsi="Times New Roman" w:eastAsia="仿宋" w:cs="Times New Roman"/>
                <w:sz w:val="24"/>
                <w:szCs w:val="24"/>
              </w:rPr>
              <w:t>6</w:t>
            </w:r>
            <w:r>
              <w:rPr>
                <w:rFonts w:ascii="Times New Roman" w:hAnsi="Times New Roman"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8</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公开谴责（上市公司）。</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9</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公开谴责（上市公司控股股东、实际控制人</w:t>
            </w:r>
            <w:r>
              <w:rPr>
                <w:rFonts w:hint="eastAsia" w:ascii="Times New Roman" w:hAnsi="Times New Roman" w:eastAsia="仿宋" w:cs="Times New Roman"/>
                <w:sz w:val="24"/>
                <w:szCs w:val="24"/>
              </w:rPr>
              <w:t>、</w:t>
            </w:r>
            <w:r>
              <w:rPr>
                <w:rFonts w:ascii="Times New Roman" w:hAnsi="Times New Roman" w:eastAsia="仿宋" w:cs="Times New Roman"/>
                <w:sz w:val="24"/>
                <w:szCs w:val="24"/>
              </w:rPr>
              <w:t>董事、</w:t>
            </w:r>
            <w:r>
              <w:rPr>
                <w:rFonts w:hint="eastAsia" w:ascii="Times New Roman" w:hAnsi="Times New Roman" w:eastAsia="仿宋" w:cs="Times New Roman"/>
                <w:sz w:val="24"/>
                <w:szCs w:val="24"/>
              </w:rPr>
              <w:t>监事（如有）</w:t>
            </w:r>
            <w:r>
              <w:rPr>
                <w:rFonts w:ascii="Times New Roman" w:hAnsi="Times New Roman" w:eastAsia="仿宋" w:cs="Times New Roman"/>
                <w:sz w:val="24"/>
                <w:szCs w:val="24"/>
              </w:rPr>
              <w:t>、高级管理人员</w:t>
            </w:r>
            <w:bookmarkStart w:id="1" w:name="_GoBack"/>
            <w:bookmarkEnd w:id="1"/>
            <w:r>
              <w:rPr>
                <w:rFonts w:ascii="Times New Roman" w:hAnsi="Times New Roman" w:eastAsia="仿宋" w:cs="Times New Roman"/>
                <w:sz w:val="24"/>
                <w:szCs w:val="24"/>
              </w:rPr>
              <w:t>）。</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10</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公开</w:t>
            </w:r>
            <w:r>
              <w:rPr>
                <w:rFonts w:ascii="Times New Roman" w:hAnsi="Times New Roman" w:eastAsia="仿宋" w:cs="Times New Roman"/>
                <w:sz w:val="24"/>
                <w:szCs w:val="24"/>
              </w:rPr>
              <w:t>认定不适合担任上市公司董事、</w:t>
            </w:r>
            <w:r>
              <w:rPr>
                <w:rFonts w:hint="eastAsia" w:ascii="Times New Roman" w:hAnsi="Times New Roman" w:eastAsia="仿宋" w:cs="Times New Roman"/>
                <w:sz w:val="24"/>
                <w:szCs w:val="24"/>
              </w:rPr>
              <w:t>监事（如有）</w:t>
            </w:r>
            <w:r>
              <w:rPr>
                <w:rFonts w:ascii="Times New Roman" w:hAnsi="Times New Roman" w:eastAsia="仿宋" w:cs="Times New Roman"/>
                <w:sz w:val="24"/>
                <w:szCs w:val="24"/>
              </w:rPr>
              <w:t>、高级管理人员。</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4.11</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暂不接受发行上市申请文件。</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9" w:type="dxa"/>
            <w:vMerge w:val="continue"/>
            <w:vAlign w:val="center"/>
          </w:tcPr>
          <w:p>
            <w:pPr>
              <w:adjustRightInd w:val="0"/>
              <w:snapToGrid w:val="0"/>
              <w:spacing w:line="360" w:lineRule="auto"/>
              <w:jc w:val="center"/>
              <w:rPr>
                <w:rFonts w:ascii="Times New Roman" w:hAnsi="Times New Roman" w:eastAsia="仿宋" w:cs="Times New Roman"/>
                <w:sz w:val="24"/>
                <w:szCs w:val="24"/>
              </w:rPr>
            </w:pPr>
          </w:p>
        </w:tc>
        <w:tc>
          <w:tcPr>
            <w:tcW w:w="697"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4.12</w:t>
            </w:r>
          </w:p>
        </w:tc>
        <w:tc>
          <w:tcPr>
            <w:tcW w:w="5556" w:type="dxa"/>
            <w:vAlign w:val="center"/>
          </w:tcPr>
          <w:p>
            <w:pPr>
              <w:adjustRightInd w:val="0"/>
              <w:snapToGrid w:val="0"/>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收取惩罚性违约金。</w:t>
            </w:r>
          </w:p>
        </w:tc>
        <w:tc>
          <w:tcPr>
            <w:tcW w:w="1848" w:type="dxa"/>
            <w:noWrap/>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减20分</w:t>
            </w:r>
          </w:p>
        </w:tc>
      </w:tr>
    </w:tbl>
    <w:p>
      <w:pPr>
        <w:spacing w:line="600" w:lineRule="exact"/>
        <w:rPr>
          <w:rFonts w:ascii="Times New Roman" w:hAnsi="Times New Roman" w:eastAsia="黑体" w:cs="Times New Roman"/>
          <w:b/>
          <w:sz w:val="32"/>
          <w:szCs w:val="32"/>
        </w:rPr>
      </w:pPr>
    </w:p>
    <w:sectPr>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310119"/>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095935210"/>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EA880"/>
    <w:multiLevelType w:val="singleLevel"/>
    <w:tmpl w:val="EAFEA8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2B"/>
    <w:rsid w:val="0000173C"/>
    <w:rsid w:val="0000176E"/>
    <w:rsid w:val="00001B43"/>
    <w:rsid w:val="0000335A"/>
    <w:rsid w:val="00005D9A"/>
    <w:rsid w:val="00005EDD"/>
    <w:rsid w:val="00006269"/>
    <w:rsid w:val="00010E23"/>
    <w:rsid w:val="00010FAA"/>
    <w:rsid w:val="0001198A"/>
    <w:rsid w:val="00011C6D"/>
    <w:rsid w:val="000142E2"/>
    <w:rsid w:val="0001692F"/>
    <w:rsid w:val="00016D43"/>
    <w:rsid w:val="00020F0A"/>
    <w:rsid w:val="00022D59"/>
    <w:rsid w:val="00027477"/>
    <w:rsid w:val="0002758B"/>
    <w:rsid w:val="00032CEA"/>
    <w:rsid w:val="00033DB3"/>
    <w:rsid w:val="0003760C"/>
    <w:rsid w:val="0004528E"/>
    <w:rsid w:val="00045387"/>
    <w:rsid w:val="0004564E"/>
    <w:rsid w:val="00047408"/>
    <w:rsid w:val="00051777"/>
    <w:rsid w:val="00051F27"/>
    <w:rsid w:val="00054D3C"/>
    <w:rsid w:val="00055EBE"/>
    <w:rsid w:val="000561D9"/>
    <w:rsid w:val="00056692"/>
    <w:rsid w:val="00057E48"/>
    <w:rsid w:val="00057EF7"/>
    <w:rsid w:val="0006145A"/>
    <w:rsid w:val="000619E1"/>
    <w:rsid w:val="0006440A"/>
    <w:rsid w:val="00067F1D"/>
    <w:rsid w:val="000709C0"/>
    <w:rsid w:val="00070E1A"/>
    <w:rsid w:val="000710DB"/>
    <w:rsid w:val="00075246"/>
    <w:rsid w:val="000755B3"/>
    <w:rsid w:val="0007639C"/>
    <w:rsid w:val="00084DD4"/>
    <w:rsid w:val="0008562D"/>
    <w:rsid w:val="00085DE5"/>
    <w:rsid w:val="000866F7"/>
    <w:rsid w:val="00086840"/>
    <w:rsid w:val="00090F67"/>
    <w:rsid w:val="00091797"/>
    <w:rsid w:val="00092A83"/>
    <w:rsid w:val="00095B81"/>
    <w:rsid w:val="000962E4"/>
    <w:rsid w:val="00097FD9"/>
    <w:rsid w:val="000A0888"/>
    <w:rsid w:val="000A1300"/>
    <w:rsid w:val="000A223F"/>
    <w:rsid w:val="000A3798"/>
    <w:rsid w:val="000A3975"/>
    <w:rsid w:val="000A4752"/>
    <w:rsid w:val="000A776B"/>
    <w:rsid w:val="000B0043"/>
    <w:rsid w:val="000B1E20"/>
    <w:rsid w:val="000B2321"/>
    <w:rsid w:val="000B4EBB"/>
    <w:rsid w:val="000B6861"/>
    <w:rsid w:val="000B6A6E"/>
    <w:rsid w:val="000B6BE6"/>
    <w:rsid w:val="000C1693"/>
    <w:rsid w:val="000C221D"/>
    <w:rsid w:val="000C4089"/>
    <w:rsid w:val="000C6DCF"/>
    <w:rsid w:val="000D358D"/>
    <w:rsid w:val="000D7D13"/>
    <w:rsid w:val="000E008F"/>
    <w:rsid w:val="000E048C"/>
    <w:rsid w:val="000E0FBB"/>
    <w:rsid w:val="000E18E2"/>
    <w:rsid w:val="000E22A6"/>
    <w:rsid w:val="000E42C3"/>
    <w:rsid w:val="000F03D1"/>
    <w:rsid w:val="000F2301"/>
    <w:rsid w:val="000F3933"/>
    <w:rsid w:val="000F5CCA"/>
    <w:rsid w:val="0010113F"/>
    <w:rsid w:val="00102CCC"/>
    <w:rsid w:val="001032DE"/>
    <w:rsid w:val="00104572"/>
    <w:rsid w:val="00113D67"/>
    <w:rsid w:val="00114165"/>
    <w:rsid w:val="00114F66"/>
    <w:rsid w:val="001174E4"/>
    <w:rsid w:val="00122DBE"/>
    <w:rsid w:val="001232D9"/>
    <w:rsid w:val="00124979"/>
    <w:rsid w:val="0012601B"/>
    <w:rsid w:val="00130E4C"/>
    <w:rsid w:val="001310A7"/>
    <w:rsid w:val="0013383F"/>
    <w:rsid w:val="001347A3"/>
    <w:rsid w:val="00134857"/>
    <w:rsid w:val="0013695B"/>
    <w:rsid w:val="001374B9"/>
    <w:rsid w:val="001404BB"/>
    <w:rsid w:val="0014075B"/>
    <w:rsid w:val="0014118A"/>
    <w:rsid w:val="001416FA"/>
    <w:rsid w:val="001418C8"/>
    <w:rsid w:val="00142DD7"/>
    <w:rsid w:val="00145226"/>
    <w:rsid w:val="00145CF1"/>
    <w:rsid w:val="001516C2"/>
    <w:rsid w:val="00151A88"/>
    <w:rsid w:val="0015300E"/>
    <w:rsid w:val="00153D72"/>
    <w:rsid w:val="00154610"/>
    <w:rsid w:val="00157B8C"/>
    <w:rsid w:val="00157BC4"/>
    <w:rsid w:val="001603FF"/>
    <w:rsid w:val="00160858"/>
    <w:rsid w:val="00160FFA"/>
    <w:rsid w:val="00162C58"/>
    <w:rsid w:val="0017123F"/>
    <w:rsid w:val="00172181"/>
    <w:rsid w:val="00172B92"/>
    <w:rsid w:val="001732F2"/>
    <w:rsid w:val="00173EFC"/>
    <w:rsid w:val="00176BF1"/>
    <w:rsid w:val="00176EC6"/>
    <w:rsid w:val="001804F5"/>
    <w:rsid w:val="00181734"/>
    <w:rsid w:val="00181CC7"/>
    <w:rsid w:val="0018202C"/>
    <w:rsid w:val="001834A2"/>
    <w:rsid w:val="0018426B"/>
    <w:rsid w:val="00190E58"/>
    <w:rsid w:val="00193AAF"/>
    <w:rsid w:val="00193D64"/>
    <w:rsid w:val="001956BC"/>
    <w:rsid w:val="00197C35"/>
    <w:rsid w:val="00197D58"/>
    <w:rsid w:val="001A31FF"/>
    <w:rsid w:val="001A3C7E"/>
    <w:rsid w:val="001A3C88"/>
    <w:rsid w:val="001A463C"/>
    <w:rsid w:val="001B08D1"/>
    <w:rsid w:val="001B2173"/>
    <w:rsid w:val="001B35C1"/>
    <w:rsid w:val="001B52E4"/>
    <w:rsid w:val="001C0411"/>
    <w:rsid w:val="001C2A51"/>
    <w:rsid w:val="001C51E8"/>
    <w:rsid w:val="001C535E"/>
    <w:rsid w:val="001D0524"/>
    <w:rsid w:val="001D080D"/>
    <w:rsid w:val="001D25ED"/>
    <w:rsid w:val="001D2F98"/>
    <w:rsid w:val="001E06BE"/>
    <w:rsid w:val="001E08B2"/>
    <w:rsid w:val="001E0E97"/>
    <w:rsid w:val="001E1495"/>
    <w:rsid w:val="001E4D8A"/>
    <w:rsid w:val="001E7419"/>
    <w:rsid w:val="001E7901"/>
    <w:rsid w:val="001F174A"/>
    <w:rsid w:val="001F2558"/>
    <w:rsid w:val="001F2800"/>
    <w:rsid w:val="001F629B"/>
    <w:rsid w:val="001F7448"/>
    <w:rsid w:val="001F798A"/>
    <w:rsid w:val="00201DF5"/>
    <w:rsid w:val="0020229F"/>
    <w:rsid w:val="00202476"/>
    <w:rsid w:val="00206CFB"/>
    <w:rsid w:val="002072BF"/>
    <w:rsid w:val="00213027"/>
    <w:rsid w:val="002132E3"/>
    <w:rsid w:val="00215CBF"/>
    <w:rsid w:val="00217DE5"/>
    <w:rsid w:val="002211C3"/>
    <w:rsid w:val="00222103"/>
    <w:rsid w:val="00224952"/>
    <w:rsid w:val="00224B70"/>
    <w:rsid w:val="00225393"/>
    <w:rsid w:val="00230139"/>
    <w:rsid w:val="00230876"/>
    <w:rsid w:val="002355A0"/>
    <w:rsid w:val="00235F5A"/>
    <w:rsid w:val="002365F3"/>
    <w:rsid w:val="00243A70"/>
    <w:rsid w:val="00245043"/>
    <w:rsid w:val="0024532B"/>
    <w:rsid w:val="00251161"/>
    <w:rsid w:val="00256973"/>
    <w:rsid w:val="00257FEB"/>
    <w:rsid w:val="00261D1F"/>
    <w:rsid w:val="00262200"/>
    <w:rsid w:val="00262486"/>
    <w:rsid w:val="002627A3"/>
    <w:rsid w:val="00262E24"/>
    <w:rsid w:val="00266366"/>
    <w:rsid w:val="002678AE"/>
    <w:rsid w:val="00267A4C"/>
    <w:rsid w:val="00270788"/>
    <w:rsid w:val="0027080D"/>
    <w:rsid w:val="0027353A"/>
    <w:rsid w:val="00273E9E"/>
    <w:rsid w:val="00280C6D"/>
    <w:rsid w:val="00282E2B"/>
    <w:rsid w:val="00283401"/>
    <w:rsid w:val="00284490"/>
    <w:rsid w:val="00290BD9"/>
    <w:rsid w:val="00297C37"/>
    <w:rsid w:val="002A0BE0"/>
    <w:rsid w:val="002A21B3"/>
    <w:rsid w:val="002A2357"/>
    <w:rsid w:val="002A5754"/>
    <w:rsid w:val="002A6364"/>
    <w:rsid w:val="002A64DE"/>
    <w:rsid w:val="002A6FB5"/>
    <w:rsid w:val="002B2F8C"/>
    <w:rsid w:val="002B479C"/>
    <w:rsid w:val="002C04A7"/>
    <w:rsid w:val="002C0C4C"/>
    <w:rsid w:val="002C1309"/>
    <w:rsid w:val="002C384B"/>
    <w:rsid w:val="002C3A65"/>
    <w:rsid w:val="002C418D"/>
    <w:rsid w:val="002C5346"/>
    <w:rsid w:val="002D0634"/>
    <w:rsid w:val="002D07A8"/>
    <w:rsid w:val="002D1681"/>
    <w:rsid w:val="002D514C"/>
    <w:rsid w:val="002E0ACB"/>
    <w:rsid w:val="002E1ED6"/>
    <w:rsid w:val="002E2ACF"/>
    <w:rsid w:val="002E2BD4"/>
    <w:rsid w:val="002E46AC"/>
    <w:rsid w:val="002E4D47"/>
    <w:rsid w:val="002E55D8"/>
    <w:rsid w:val="002E5D58"/>
    <w:rsid w:val="002E64CA"/>
    <w:rsid w:val="002E7C9B"/>
    <w:rsid w:val="002F2F5C"/>
    <w:rsid w:val="002F3FDD"/>
    <w:rsid w:val="002F6AE5"/>
    <w:rsid w:val="002F7A1A"/>
    <w:rsid w:val="002F7D03"/>
    <w:rsid w:val="00300BCA"/>
    <w:rsid w:val="003018F8"/>
    <w:rsid w:val="0030591A"/>
    <w:rsid w:val="00311214"/>
    <w:rsid w:val="0031232D"/>
    <w:rsid w:val="00313861"/>
    <w:rsid w:val="00314955"/>
    <w:rsid w:val="00314C4D"/>
    <w:rsid w:val="00315E7C"/>
    <w:rsid w:val="00316186"/>
    <w:rsid w:val="003166C8"/>
    <w:rsid w:val="00317BA9"/>
    <w:rsid w:val="003200FB"/>
    <w:rsid w:val="0032226F"/>
    <w:rsid w:val="003231E9"/>
    <w:rsid w:val="0032475C"/>
    <w:rsid w:val="00326D07"/>
    <w:rsid w:val="00330EC1"/>
    <w:rsid w:val="00335BC6"/>
    <w:rsid w:val="00340457"/>
    <w:rsid w:val="003438D0"/>
    <w:rsid w:val="00343DCE"/>
    <w:rsid w:val="00343DCF"/>
    <w:rsid w:val="003448B7"/>
    <w:rsid w:val="003458C8"/>
    <w:rsid w:val="003476BC"/>
    <w:rsid w:val="003519D3"/>
    <w:rsid w:val="00352D42"/>
    <w:rsid w:val="003531A8"/>
    <w:rsid w:val="00353E15"/>
    <w:rsid w:val="00355DF1"/>
    <w:rsid w:val="00356363"/>
    <w:rsid w:val="00362793"/>
    <w:rsid w:val="00362897"/>
    <w:rsid w:val="00363769"/>
    <w:rsid w:val="00365029"/>
    <w:rsid w:val="00365638"/>
    <w:rsid w:val="00367E75"/>
    <w:rsid w:val="00370BAB"/>
    <w:rsid w:val="0037170C"/>
    <w:rsid w:val="00372D9E"/>
    <w:rsid w:val="0037343E"/>
    <w:rsid w:val="00374196"/>
    <w:rsid w:val="00375934"/>
    <w:rsid w:val="00376117"/>
    <w:rsid w:val="003769DA"/>
    <w:rsid w:val="0037762C"/>
    <w:rsid w:val="003776D2"/>
    <w:rsid w:val="00380FDA"/>
    <w:rsid w:val="003815E0"/>
    <w:rsid w:val="003825BF"/>
    <w:rsid w:val="003836A7"/>
    <w:rsid w:val="0038426D"/>
    <w:rsid w:val="00391F1B"/>
    <w:rsid w:val="0039216B"/>
    <w:rsid w:val="00393342"/>
    <w:rsid w:val="00393B3B"/>
    <w:rsid w:val="0039482C"/>
    <w:rsid w:val="00396E41"/>
    <w:rsid w:val="003A03F0"/>
    <w:rsid w:val="003A07FD"/>
    <w:rsid w:val="003A0B64"/>
    <w:rsid w:val="003A58DA"/>
    <w:rsid w:val="003A65DE"/>
    <w:rsid w:val="003B03B0"/>
    <w:rsid w:val="003B0FD4"/>
    <w:rsid w:val="003B3E1B"/>
    <w:rsid w:val="003B4DB8"/>
    <w:rsid w:val="003B5AE6"/>
    <w:rsid w:val="003B5E03"/>
    <w:rsid w:val="003C2440"/>
    <w:rsid w:val="003C38C8"/>
    <w:rsid w:val="003C419B"/>
    <w:rsid w:val="003C4358"/>
    <w:rsid w:val="003C4A51"/>
    <w:rsid w:val="003C7D64"/>
    <w:rsid w:val="003C7D9D"/>
    <w:rsid w:val="003D1508"/>
    <w:rsid w:val="003D1EC5"/>
    <w:rsid w:val="003D3D5A"/>
    <w:rsid w:val="003D4B67"/>
    <w:rsid w:val="003D59DB"/>
    <w:rsid w:val="003D691B"/>
    <w:rsid w:val="003E1CCF"/>
    <w:rsid w:val="003E2DE2"/>
    <w:rsid w:val="003E40B5"/>
    <w:rsid w:val="003E505D"/>
    <w:rsid w:val="003E52F2"/>
    <w:rsid w:val="003E6ADF"/>
    <w:rsid w:val="003F0926"/>
    <w:rsid w:val="003F2972"/>
    <w:rsid w:val="003F33FE"/>
    <w:rsid w:val="003F437C"/>
    <w:rsid w:val="003F4FE3"/>
    <w:rsid w:val="00402059"/>
    <w:rsid w:val="004034C0"/>
    <w:rsid w:val="004043B4"/>
    <w:rsid w:val="0040484F"/>
    <w:rsid w:val="00406A93"/>
    <w:rsid w:val="00406DFA"/>
    <w:rsid w:val="004075ED"/>
    <w:rsid w:val="00407F35"/>
    <w:rsid w:val="004109D1"/>
    <w:rsid w:val="00411A57"/>
    <w:rsid w:val="00412901"/>
    <w:rsid w:val="00414150"/>
    <w:rsid w:val="00414432"/>
    <w:rsid w:val="00414B58"/>
    <w:rsid w:val="00414D12"/>
    <w:rsid w:val="0041609F"/>
    <w:rsid w:val="00417C03"/>
    <w:rsid w:val="00417D92"/>
    <w:rsid w:val="00420A1B"/>
    <w:rsid w:val="00423503"/>
    <w:rsid w:val="004238A1"/>
    <w:rsid w:val="004250C2"/>
    <w:rsid w:val="00425D32"/>
    <w:rsid w:val="00426C99"/>
    <w:rsid w:val="0042792C"/>
    <w:rsid w:val="00433695"/>
    <w:rsid w:val="00434065"/>
    <w:rsid w:val="0043587E"/>
    <w:rsid w:val="004416D3"/>
    <w:rsid w:val="004428C2"/>
    <w:rsid w:val="004439C7"/>
    <w:rsid w:val="004443B4"/>
    <w:rsid w:val="00450436"/>
    <w:rsid w:val="00450546"/>
    <w:rsid w:val="004520AB"/>
    <w:rsid w:val="00454AC8"/>
    <w:rsid w:val="00454D79"/>
    <w:rsid w:val="0045577E"/>
    <w:rsid w:val="004558BE"/>
    <w:rsid w:val="00460601"/>
    <w:rsid w:val="0046275E"/>
    <w:rsid w:val="0046530F"/>
    <w:rsid w:val="00467A2E"/>
    <w:rsid w:val="00470EB4"/>
    <w:rsid w:val="0047453D"/>
    <w:rsid w:val="00474AF7"/>
    <w:rsid w:val="0047773F"/>
    <w:rsid w:val="004818F2"/>
    <w:rsid w:val="00482E65"/>
    <w:rsid w:val="004830FC"/>
    <w:rsid w:val="004850B6"/>
    <w:rsid w:val="004860DF"/>
    <w:rsid w:val="00486C24"/>
    <w:rsid w:val="00490BED"/>
    <w:rsid w:val="00490C49"/>
    <w:rsid w:val="00493469"/>
    <w:rsid w:val="00496CF6"/>
    <w:rsid w:val="00497400"/>
    <w:rsid w:val="00497579"/>
    <w:rsid w:val="004A18E3"/>
    <w:rsid w:val="004A1EED"/>
    <w:rsid w:val="004A34CC"/>
    <w:rsid w:val="004A3746"/>
    <w:rsid w:val="004A3A75"/>
    <w:rsid w:val="004A3C06"/>
    <w:rsid w:val="004A3D53"/>
    <w:rsid w:val="004A42EC"/>
    <w:rsid w:val="004A5453"/>
    <w:rsid w:val="004A62E0"/>
    <w:rsid w:val="004A75A1"/>
    <w:rsid w:val="004B0E58"/>
    <w:rsid w:val="004B24B0"/>
    <w:rsid w:val="004B2BBD"/>
    <w:rsid w:val="004B4385"/>
    <w:rsid w:val="004B6223"/>
    <w:rsid w:val="004B6A5C"/>
    <w:rsid w:val="004B72D6"/>
    <w:rsid w:val="004C15DE"/>
    <w:rsid w:val="004C5654"/>
    <w:rsid w:val="004C7100"/>
    <w:rsid w:val="004C7C30"/>
    <w:rsid w:val="004D04A6"/>
    <w:rsid w:val="004D07C0"/>
    <w:rsid w:val="004D26BC"/>
    <w:rsid w:val="004D435D"/>
    <w:rsid w:val="004D7A35"/>
    <w:rsid w:val="004E375F"/>
    <w:rsid w:val="004E5310"/>
    <w:rsid w:val="004E7E5A"/>
    <w:rsid w:val="004F0238"/>
    <w:rsid w:val="004F2EB5"/>
    <w:rsid w:val="004F3D3F"/>
    <w:rsid w:val="004F58B4"/>
    <w:rsid w:val="004F5EC3"/>
    <w:rsid w:val="004F7788"/>
    <w:rsid w:val="005033EC"/>
    <w:rsid w:val="005045E5"/>
    <w:rsid w:val="00504B19"/>
    <w:rsid w:val="00504B61"/>
    <w:rsid w:val="00505420"/>
    <w:rsid w:val="00505E80"/>
    <w:rsid w:val="005062AC"/>
    <w:rsid w:val="0051228F"/>
    <w:rsid w:val="00512F5C"/>
    <w:rsid w:val="00513715"/>
    <w:rsid w:val="005149FF"/>
    <w:rsid w:val="0051672A"/>
    <w:rsid w:val="00516753"/>
    <w:rsid w:val="005167CB"/>
    <w:rsid w:val="00517F0F"/>
    <w:rsid w:val="00520D9E"/>
    <w:rsid w:val="00521003"/>
    <w:rsid w:val="00523096"/>
    <w:rsid w:val="00523F01"/>
    <w:rsid w:val="00525B7E"/>
    <w:rsid w:val="005273D6"/>
    <w:rsid w:val="00534527"/>
    <w:rsid w:val="0053618A"/>
    <w:rsid w:val="00536506"/>
    <w:rsid w:val="0053775D"/>
    <w:rsid w:val="00537989"/>
    <w:rsid w:val="00541506"/>
    <w:rsid w:val="00543204"/>
    <w:rsid w:val="005526C8"/>
    <w:rsid w:val="00554A96"/>
    <w:rsid w:val="00557C39"/>
    <w:rsid w:val="005603FB"/>
    <w:rsid w:val="0056073D"/>
    <w:rsid w:val="00560EBD"/>
    <w:rsid w:val="005618F4"/>
    <w:rsid w:val="00562D31"/>
    <w:rsid w:val="005645E5"/>
    <w:rsid w:val="0056507B"/>
    <w:rsid w:val="00565DB1"/>
    <w:rsid w:val="005662A0"/>
    <w:rsid w:val="005669AF"/>
    <w:rsid w:val="00566B46"/>
    <w:rsid w:val="00566F1C"/>
    <w:rsid w:val="00567124"/>
    <w:rsid w:val="00567B9B"/>
    <w:rsid w:val="00567C8E"/>
    <w:rsid w:val="00571912"/>
    <w:rsid w:val="00571DF0"/>
    <w:rsid w:val="00574383"/>
    <w:rsid w:val="00581302"/>
    <w:rsid w:val="00581613"/>
    <w:rsid w:val="00581ABD"/>
    <w:rsid w:val="00582237"/>
    <w:rsid w:val="0058277B"/>
    <w:rsid w:val="00582EA4"/>
    <w:rsid w:val="00585F69"/>
    <w:rsid w:val="00586AE7"/>
    <w:rsid w:val="00590333"/>
    <w:rsid w:val="00591440"/>
    <w:rsid w:val="005929D0"/>
    <w:rsid w:val="00592BAD"/>
    <w:rsid w:val="00597CBE"/>
    <w:rsid w:val="005A08BC"/>
    <w:rsid w:val="005A1C69"/>
    <w:rsid w:val="005A248C"/>
    <w:rsid w:val="005A37ED"/>
    <w:rsid w:val="005A70D3"/>
    <w:rsid w:val="005A748F"/>
    <w:rsid w:val="005B1732"/>
    <w:rsid w:val="005B30AF"/>
    <w:rsid w:val="005B30C1"/>
    <w:rsid w:val="005B43AD"/>
    <w:rsid w:val="005B6878"/>
    <w:rsid w:val="005C06AE"/>
    <w:rsid w:val="005C0D9E"/>
    <w:rsid w:val="005C117C"/>
    <w:rsid w:val="005C376A"/>
    <w:rsid w:val="005C634B"/>
    <w:rsid w:val="005C65F2"/>
    <w:rsid w:val="005C65F4"/>
    <w:rsid w:val="005C7830"/>
    <w:rsid w:val="005D0551"/>
    <w:rsid w:val="005D0A50"/>
    <w:rsid w:val="005D1E09"/>
    <w:rsid w:val="005D2233"/>
    <w:rsid w:val="005D2515"/>
    <w:rsid w:val="005D2E5B"/>
    <w:rsid w:val="005D4E2F"/>
    <w:rsid w:val="005D5B61"/>
    <w:rsid w:val="005D786C"/>
    <w:rsid w:val="005E17A9"/>
    <w:rsid w:val="005E20E8"/>
    <w:rsid w:val="005E4509"/>
    <w:rsid w:val="005E450F"/>
    <w:rsid w:val="005E5C06"/>
    <w:rsid w:val="005E5E70"/>
    <w:rsid w:val="005E608A"/>
    <w:rsid w:val="005E679A"/>
    <w:rsid w:val="005E6E8C"/>
    <w:rsid w:val="005E7F95"/>
    <w:rsid w:val="005F0714"/>
    <w:rsid w:val="005F4125"/>
    <w:rsid w:val="005F541F"/>
    <w:rsid w:val="005F5D24"/>
    <w:rsid w:val="005F750E"/>
    <w:rsid w:val="00600842"/>
    <w:rsid w:val="006043BE"/>
    <w:rsid w:val="00607216"/>
    <w:rsid w:val="00610094"/>
    <w:rsid w:val="00610352"/>
    <w:rsid w:val="00610415"/>
    <w:rsid w:val="0061106F"/>
    <w:rsid w:val="006116E7"/>
    <w:rsid w:val="0061264A"/>
    <w:rsid w:val="00612E3D"/>
    <w:rsid w:val="0061335C"/>
    <w:rsid w:val="00613365"/>
    <w:rsid w:val="006227A3"/>
    <w:rsid w:val="0062285F"/>
    <w:rsid w:val="00623EA0"/>
    <w:rsid w:val="006252BD"/>
    <w:rsid w:val="00625571"/>
    <w:rsid w:val="00625F6E"/>
    <w:rsid w:val="0063281D"/>
    <w:rsid w:val="006328CE"/>
    <w:rsid w:val="00635E0A"/>
    <w:rsid w:val="00635F0E"/>
    <w:rsid w:val="006365E5"/>
    <w:rsid w:val="006373EA"/>
    <w:rsid w:val="00637837"/>
    <w:rsid w:val="0064469F"/>
    <w:rsid w:val="0064589C"/>
    <w:rsid w:val="00646CFF"/>
    <w:rsid w:val="006473F3"/>
    <w:rsid w:val="006504BC"/>
    <w:rsid w:val="006507F2"/>
    <w:rsid w:val="0065259C"/>
    <w:rsid w:val="00653BA1"/>
    <w:rsid w:val="006578D6"/>
    <w:rsid w:val="006602F6"/>
    <w:rsid w:val="00661A9E"/>
    <w:rsid w:val="00663B02"/>
    <w:rsid w:val="00664617"/>
    <w:rsid w:val="00677C37"/>
    <w:rsid w:val="00681927"/>
    <w:rsid w:val="00682886"/>
    <w:rsid w:val="0068288D"/>
    <w:rsid w:val="0068557D"/>
    <w:rsid w:val="0068570C"/>
    <w:rsid w:val="006860B1"/>
    <w:rsid w:val="00695E54"/>
    <w:rsid w:val="006A08FD"/>
    <w:rsid w:val="006A2D6D"/>
    <w:rsid w:val="006A2EA2"/>
    <w:rsid w:val="006A4104"/>
    <w:rsid w:val="006A7078"/>
    <w:rsid w:val="006B0335"/>
    <w:rsid w:val="006B0A00"/>
    <w:rsid w:val="006B24AE"/>
    <w:rsid w:val="006B490C"/>
    <w:rsid w:val="006B508C"/>
    <w:rsid w:val="006B6E3B"/>
    <w:rsid w:val="006B7058"/>
    <w:rsid w:val="006B7E33"/>
    <w:rsid w:val="006C1635"/>
    <w:rsid w:val="006C448E"/>
    <w:rsid w:val="006D04B6"/>
    <w:rsid w:val="006D04E7"/>
    <w:rsid w:val="006D0E08"/>
    <w:rsid w:val="006D218C"/>
    <w:rsid w:val="006D2788"/>
    <w:rsid w:val="006D5812"/>
    <w:rsid w:val="006E072F"/>
    <w:rsid w:val="006E0835"/>
    <w:rsid w:val="006E106E"/>
    <w:rsid w:val="006E2152"/>
    <w:rsid w:val="006E2C3A"/>
    <w:rsid w:val="006E3CDD"/>
    <w:rsid w:val="006E6FCD"/>
    <w:rsid w:val="006E7A6E"/>
    <w:rsid w:val="006F22A4"/>
    <w:rsid w:val="006F30BA"/>
    <w:rsid w:val="006F387F"/>
    <w:rsid w:val="006F421B"/>
    <w:rsid w:val="006F4E4B"/>
    <w:rsid w:val="006F551F"/>
    <w:rsid w:val="006F5D8E"/>
    <w:rsid w:val="006F6632"/>
    <w:rsid w:val="006F7B3A"/>
    <w:rsid w:val="00701DF4"/>
    <w:rsid w:val="00702AF7"/>
    <w:rsid w:val="007035AD"/>
    <w:rsid w:val="00703C1F"/>
    <w:rsid w:val="00704A7F"/>
    <w:rsid w:val="007074E6"/>
    <w:rsid w:val="007078AA"/>
    <w:rsid w:val="00707CDF"/>
    <w:rsid w:val="00711174"/>
    <w:rsid w:val="00713B76"/>
    <w:rsid w:val="007164D4"/>
    <w:rsid w:val="00716B96"/>
    <w:rsid w:val="007227D1"/>
    <w:rsid w:val="00722A82"/>
    <w:rsid w:val="00723016"/>
    <w:rsid w:val="0072394F"/>
    <w:rsid w:val="00723B48"/>
    <w:rsid w:val="00723EB0"/>
    <w:rsid w:val="00724343"/>
    <w:rsid w:val="00727253"/>
    <w:rsid w:val="0073042C"/>
    <w:rsid w:val="0073187C"/>
    <w:rsid w:val="00732887"/>
    <w:rsid w:val="0073363E"/>
    <w:rsid w:val="00733688"/>
    <w:rsid w:val="00734A76"/>
    <w:rsid w:val="007353E4"/>
    <w:rsid w:val="007355D7"/>
    <w:rsid w:val="00735655"/>
    <w:rsid w:val="00736931"/>
    <w:rsid w:val="00737749"/>
    <w:rsid w:val="007401DD"/>
    <w:rsid w:val="007430C6"/>
    <w:rsid w:val="00744979"/>
    <w:rsid w:val="0074657B"/>
    <w:rsid w:val="007475F7"/>
    <w:rsid w:val="00747EE7"/>
    <w:rsid w:val="00751BCF"/>
    <w:rsid w:val="0075230D"/>
    <w:rsid w:val="0076024D"/>
    <w:rsid w:val="00760B9D"/>
    <w:rsid w:val="007629BA"/>
    <w:rsid w:val="00763E54"/>
    <w:rsid w:val="007662B5"/>
    <w:rsid w:val="007676F0"/>
    <w:rsid w:val="007724B9"/>
    <w:rsid w:val="00773649"/>
    <w:rsid w:val="00773984"/>
    <w:rsid w:val="007749FB"/>
    <w:rsid w:val="00774A41"/>
    <w:rsid w:val="007763E5"/>
    <w:rsid w:val="00777440"/>
    <w:rsid w:val="00777F05"/>
    <w:rsid w:val="007801A6"/>
    <w:rsid w:val="007805C3"/>
    <w:rsid w:val="00781F15"/>
    <w:rsid w:val="00782FD8"/>
    <w:rsid w:val="007839DC"/>
    <w:rsid w:val="00784220"/>
    <w:rsid w:val="0079009F"/>
    <w:rsid w:val="00793144"/>
    <w:rsid w:val="00793525"/>
    <w:rsid w:val="007935FC"/>
    <w:rsid w:val="00793DCD"/>
    <w:rsid w:val="00793F81"/>
    <w:rsid w:val="00793F82"/>
    <w:rsid w:val="00794E2C"/>
    <w:rsid w:val="00795AE4"/>
    <w:rsid w:val="00795C5C"/>
    <w:rsid w:val="00795CE1"/>
    <w:rsid w:val="0079687C"/>
    <w:rsid w:val="00797FE1"/>
    <w:rsid w:val="007A2C36"/>
    <w:rsid w:val="007A34B7"/>
    <w:rsid w:val="007A43AD"/>
    <w:rsid w:val="007A466D"/>
    <w:rsid w:val="007A4E1F"/>
    <w:rsid w:val="007B2322"/>
    <w:rsid w:val="007B2C2A"/>
    <w:rsid w:val="007B32B2"/>
    <w:rsid w:val="007B3A8E"/>
    <w:rsid w:val="007C07DD"/>
    <w:rsid w:val="007C1D1F"/>
    <w:rsid w:val="007C33BC"/>
    <w:rsid w:val="007C5112"/>
    <w:rsid w:val="007C5DB0"/>
    <w:rsid w:val="007C6150"/>
    <w:rsid w:val="007D02AF"/>
    <w:rsid w:val="007D129F"/>
    <w:rsid w:val="007D24F5"/>
    <w:rsid w:val="007D3F74"/>
    <w:rsid w:val="007D5A74"/>
    <w:rsid w:val="007D67F6"/>
    <w:rsid w:val="007D76A8"/>
    <w:rsid w:val="007E19E1"/>
    <w:rsid w:val="007E4968"/>
    <w:rsid w:val="007E4C9F"/>
    <w:rsid w:val="007E5769"/>
    <w:rsid w:val="007E5B93"/>
    <w:rsid w:val="007F1D43"/>
    <w:rsid w:val="007F1D59"/>
    <w:rsid w:val="007F27C6"/>
    <w:rsid w:val="007F2982"/>
    <w:rsid w:val="007F3C32"/>
    <w:rsid w:val="007F66B7"/>
    <w:rsid w:val="00803840"/>
    <w:rsid w:val="0080464A"/>
    <w:rsid w:val="00804CD0"/>
    <w:rsid w:val="00806291"/>
    <w:rsid w:val="00806970"/>
    <w:rsid w:val="008074E7"/>
    <w:rsid w:val="00815479"/>
    <w:rsid w:val="0081689A"/>
    <w:rsid w:val="008212F4"/>
    <w:rsid w:val="00822CBA"/>
    <w:rsid w:val="0082324B"/>
    <w:rsid w:val="008243FA"/>
    <w:rsid w:val="00825210"/>
    <w:rsid w:val="00825678"/>
    <w:rsid w:val="008267D0"/>
    <w:rsid w:val="00826A6A"/>
    <w:rsid w:val="00832B79"/>
    <w:rsid w:val="0083326D"/>
    <w:rsid w:val="00834614"/>
    <w:rsid w:val="0083728F"/>
    <w:rsid w:val="00840214"/>
    <w:rsid w:val="00841CC6"/>
    <w:rsid w:val="00842F58"/>
    <w:rsid w:val="00843B08"/>
    <w:rsid w:val="00843B9E"/>
    <w:rsid w:val="00843E48"/>
    <w:rsid w:val="008455BB"/>
    <w:rsid w:val="00850FBB"/>
    <w:rsid w:val="008529E8"/>
    <w:rsid w:val="00852ACB"/>
    <w:rsid w:val="008555BB"/>
    <w:rsid w:val="0086004C"/>
    <w:rsid w:val="0086198B"/>
    <w:rsid w:val="008627DB"/>
    <w:rsid w:val="00862A0A"/>
    <w:rsid w:val="0087009C"/>
    <w:rsid w:val="00872443"/>
    <w:rsid w:val="00873B62"/>
    <w:rsid w:val="00875ADF"/>
    <w:rsid w:val="0087677A"/>
    <w:rsid w:val="008809AC"/>
    <w:rsid w:val="00880C22"/>
    <w:rsid w:val="0088176D"/>
    <w:rsid w:val="00881C7F"/>
    <w:rsid w:val="00882DE6"/>
    <w:rsid w:val="00883A41"/>
    <w:rsid w:val="00884A0F"/>
    <w:rsid w:val="00887067"/>
    <w:rsid w:val="008875A9"/>
    <w:rsid w:val="008916E1"/>
    <w:rsid w:val="00891F58"/>
    <w:rsid w:val="008928B2"/>
    <w:rsid w:val="0089332F"/>
    <w:rsid w:val="00896485"/>
    <w:rsid w:val="00897470"/>
    <w:rsid w:val="008A06DE"/>
    <w:rsid w:val="008A168D"/>
    <w:rsid w:val="008A3196"/>
    <w:rsid w:val="008A4E07"/>
    <w:rsid w:val="008A57BD"/>
    <w:rsid w:val="008A62C4"/>
    <w:rsid w:val="008A6865"/>
    <w:rsid w:val="008B00E2"/>
    <w:rsid w:val="008B16B8"/>
    <w:rsid w:val="008B182B"/>
    <w:rsid w:val="008B26DB"/>
    <w:rsid w:val="008B5B7B"/>
    <w:rsid w:val="008B67BE"/>
    <w:rsid w:val="008B71AC"/>
    <w:rsid w:val="008C1982"/>
    <w:rsid w:val="008C1A38"/>
    <w:rsid w:val="008C3D76"/>
    <w:rsid w:val="008C4AE0"/>
    <w:rsid w:val="008C5BA7"/>
    <w:rsid w:val="008C7B50"/>
    <w:rsid w:val="008D28FF"/>
    <w:rsid w:val="008D4F55"/>
    <w:rsid w:val="008D5027"/>
    <w:rsid w:val="008D5336"/>
    <w:rsid w:val="008D5CB1"/>
    <w:rsid w:val="008D7B33"/>
    <w:rsid w:val="008E06ED"/>
    <w:rsid w:val="008E14C5"/>
    <w:rsid w:val="008E6320"/>
    <w:rsid w:val="008E63B6"/>
    <w:rsid w:val="008E79DC"/>
    <w:rsid w:val="008F1B4C"/>
    <w:rsid w:val="008F20F0"/>
    <w:rsid w:val="008F2E4D"/>
    <w:rsid w:val="008F47D7"/>
    <w:rsid w:val="008F505A"/>
    <w:rsid w:val="008F6F07"/>
    <w:rsid w:val="008F7A82"/>
    <w:rsid w:val="008F7F14"/>
    <w:rsid w:val="009059D0"/>
    <w:rsid w:val="009108FC"/>
    <w:rsid w:val="00913D67"/>
    <w:rsid w:val="00914BBB"/>
    <w:rsid w:val="00915463"/>
    <w:rsid w:val="009171C6"/>
    <w:rsid w:val="0091782C"/>
    <w:rsid w:val="00921790"/>
    <w:rsid w:val="00924861"/>
    <w:rsid w:val="00924A7A"/>
    <w:rsid w:val="00925E7D"/>
    <w:rsid w:val="00931CCF"/>
    <w:rsid w:val="009342A5"/>
    <w:rsid w:val="009344EB"/>
    <w:rsid w:val="0093473E"/>
    <w:rsid w:val="009353B5"/>
    <w:rsid w:val="00935EFD"/>
    <w:rsid w:val="009365B1"/>
    <w:rsid w:val="00936882"/>
    <w:rsid w:val="009372D1"/>
    <w:rsid w:val="009405DA"/>
    <w:rsid w:val="00944600"/>
    <w:rsid w:val="00947254"/>
    <w:rsid w:val="00950C91"/>
    <w:rsid w:val="009511C6"/>
    <w:rsid w:val="00954133"/>
    <w:rsid w:val="00955718"/>
    <w:rsid w:val="00957488"/>
    <w:rsid w:val="00957AF1"/>
    <w:rsid w:val="009603E4"/>
    <w:rsid w:val="0096075E"/>
    <w:rsid w:val="009617EA"/>
    <w:rsid w:val="00961FD5"/>
    <w:rsid w:val="009639D0"/>
    <w:rsid w:val="0096581C"/>
    <w:rsid w:val="009668F7"/>
    <w:rsid w:val="00967F0E"/>
    <w:rsid w:val="00971B59"/>
    <w:rsid w:val="00971F72"/>
    <w:rsid w:val="0097205D"/>
    <w:rsid w:val="00972BEA"/>
    <w:rsid w:val="009732EF"/>
    <w:rsid w:val="00975837"/>
    <w:rsid w:val="00977FC0"/>
    <w:rsid w:val="00980892"/>
    <w:rsid w:val="00980B0B"/>
    <w:rsid w:val="00980D66"/>
    <w:rsid w:val="009823B7"/>
    <w:rsid w:val="0098244F"/>
    <w:rsid w:val="00983951"/>
    <w:rsid w:val="00984DCC"/>
    <w:rsid w:val="0098566E"/>
    <w:rsid w:val="009862AC"/>
    <w:rsid w:val="00990475"/>
    <w:rsid w:val="00991128"/>
    <w:rsid w:val="009913F2"/>
    <w:rsid w:val="00991F65"/>
    <w:rsid w:val="0099302D"/>
    <w:rsid w:val="0099472B"/>
    <w:rsid w:val="00995CA3"/>
    <w:rsid w:val="00997C06"/>
    <w:rsid w:val="00997EAE"/>
    <w:rsid w:val="009A040D"/>
    <w:rsid w:val="009A2211"/>
    <w:rsid w:val="009A22C3"/>
    <w:rsid w:val="009A2412"/>
    <w:rsid w:val="009A611D"/>
    <w:rsid w:val="009A62C9"/>
    <w:rsid w:val="009A7BBF"/>
    <w:rsid w:val="009B0B26"/>
    <w:rsid w:val="009B10FF"/>
    <w:rsid w:val="009B1A03"/>
    <w:rsid w:val="009B1BEF"/>
    <w:rsid w:val="009B2497"/>
    <w:rsid w:val="009B32FF"/>
    <w:rsid w:val="009B3308"/>
    <w:rsid w:val="009B3578"/>
    <w:rsid w:val="009B3F24"/>
    <w:rsid w:val="009C0081"/>
    <w:rsid w:val="009C15D4"/>
    <w:rsid w:val="009C2D70"/>
    <w:rsid w:val="009C668E"/>
    <w:rsid w:val="009C7810"/>
    <w:rsid w:val="009C7C50"/>
    <w:rsid w:val="009D1D71"/>
    <w:rsid w:val="009D25AA"/>
    <w:rsid w:val="009D5212"/>
    <w:rsid w:val="009D6DE4"/>
    <w:rsid w:val="009D767C"/>
    <w:rsid w:val="009E2A06"/>
    <w:rsid w:val="009E2F0B"/>
    <w:rsid w:val="009E459A"/>
    <w:rsid w:val="009E76F3"/>
    <w:rsid w:val="009E7797"/>
    <w:rsid w:val="009E7F3D"/>
    <w:rsid w:val="009F10E8"/>
    <w:rsid w:val="009F2B89"/>
    <w:rsid w:val="009F5220"/>
    <w:rsid w:val="009F59D8"/>
    <w:rsid w:val="009F770A"/>
    <w:rsid w:val="009F7EF7"/>
    <w:rsid w:val="00A018E0"/>
    <w:rsid w:val="00A02FB7"/>
    <w:rsid w:val="00A0406C"/>
    <w:rsid w:val="00A042A4"/>
    <w:rsid w:val="00A048CF"/>
    <w:rsid w:val="00A0742F"/>
    <w:rsid w:val="00A0752A"/>
    <w:rsid w:val="00A07565"/>
    <w:rsid w:val="00A1158D"/>
    <w:rsid w:val="00A12732"/>
    <w:rsid w:val="00A12BBD"/>
    <w:rsid w:val="00A13C15"/>
    <w:rsid w:val="00A13DD7"/>
    <w:rsid w:val="00A14458"/>
    <w:rsid w:val="00A14D3E"/>
    <w:rsid w:val="00A15725"/>
    <w:rsid w:val="00A17786"/>
    <w:rsid w:val="00A17CA0"/>
    <w:rsid w:val="00A202A4"/>
    <w:rsid w:val="00A2062C"/>
    <w:rsid w:val="00A225C4"/>
    <w:rsid w:val="00A24C9B"/>
    <w:rsid w:val="00A26495"/>
    <w:rsid w:val="00A2754B"/>
    <w:rsid w:val="00A34430"/>
    <w:rsid w:val="00A34B83"/>
    <w:rsid w:val="00A422F4"/>
    <w:rsid w:val="00A44C7E"/>
    <w:rsid w:val="00A456B9"/>
    <w:rsid w:val="00A46719"/>
    <w:rsid w:val="00A472C3"/>
    <w:rsid w:val="00A47C45"/>
    <w:rsid w:val="00A54E38"/>
    <w:rsid w:val="00A645E3"/>
    <w:rsid w:val="00A65122"/>
    <w:rsid w:val="00A65E62"/>
    <w:rsid w:val="00A669A8"/>
    <w:rsid w:val="00A71075"/>
    <w:rsid w:val="00A72CAA"/>
    <w:rsid w:val="00A73CDB"/>
    <w:rsid w:val="00A74A5D"/>
    <w:rsid w:val="00A74B7E"/>
    <w:rsid w:val="00A7677A"/>
    <w:rsid w:val="00A769EB"/>
    <w:rsid w:val="00A770F4"/>
    <w:rsid w:val="00A773B4"/>
    <w:rsid w:val="00A775B2"/>
    <w:rsid w:val="00A77ED6"/>
    <w:rsid w:val="00A80646"/>
    <w:rsid w:val="00A82445"/>
    <w:rsid w:val="00A83885"/>
    <w:rsid w:val="00A84567"/>
    <w:rsid w:val="00A84BFE"/>
    <w:rsid w:val="00A852A2"/>
    <w:rsid w:val="00A85652"/>
    <w:rsid w:val="00A85C51"/>
    <w:rsid w:val="00A85C9D"/>
    <w:rsid w:val="00A865E0"/>
    <w:rsid w:val="00A9089C"/>
    <w:rsid w:val="00A90D35"/>
    <w:rsid w:val="00A92C84"/>
    <w:rsid w:val="00A95162"/>
    <w:rsid w:val="00AA0ACF"/>
    <w:rsid w:val="00AA3FD0"/>
    <w:rsid w:val="00AA48DE"/>
    <w:rsid w:val="00AA57F0"/>
    <w:rsid w:val="00AA731E"/>
    <w:rsid w:val="00AB18F3"/>
    <w:rsid w:val="00AB1FDF"/>
    <w:rsid w:val="00AB3435"/>
    <w:rsid w:val="00AB3684"/>
    <w:rsid w:val="00AB3B85"/>
    <w:rsid w:val="00AB4301"/>
    <w:rsid w:val="00AB5692"/>
    <w:rsid w:val="00AB5863"/>
    <w:rsid w:val="00AC123E"/>
    <w:rsid w:val="00AC1734"/>
    <w:rsid w:val="00AC2003"/>
    <w:rsid w:val="00AC71B8"/>
    <w:rsid w:val="00AC7B7A"/>
    <w:rsid w:val="00AD005F"/>
    <w:rsid w:val="00AD0161"/>
    <w:rsid w:val="00AD19C2"/>
    <w:rsid w:val="00AD1E31"/>
    <w:rsid w:val="00AD25F0"/>
    <w:rsid w:val="00AD3597"/>
    <w:rsid w:val="00AD3F47"/>
    <w:rsid w:val="00AD52BA"/>
    <w:rsid w:val="00AE0701"/>
    <w:rsid w:val="00AE6020"/>
    <w:rsid w:val="00AE6BDC"/>
    <w:rsid w:val="00AE7168"/>
    <w:rsid w:val="00AF0423"/>
    <w:rsid w:val="00AF1800"/>
    <w:rsid w:val="00AF67CF"/>
    <w:rsid w:val="00B01106"/>
    <w:rsid w:val="00B0239A"/>
    <w:rsid w:val="00B028BA"/>
    <w:rsid w:val="00B02F23"/>
    <w:rsid w:val="00B03E70"/>
    <w:rsid w:val="00B04AB8"/>
    <w:rsid w:val="00B04B84"/>
    <w:rsid w:val="00B05B98"/>
    <w:rsid w:val="00B06868"/>
    <w:rsid w:val="00B0699B"/>
    <w:rsid w:val="00B07692"/>
    <w:rsid w:val="00B07790"/>
    <w:rsid w:val="00B10659"/>
    <w:rsid w:val="00B14F56"/>
    <w:rsid w:val="00B15853"/>
    <w:rsid w:val="00B17580"/>
    <w:rsid w:val="00B22B8F"/>
    <w:rsid w:val="00B2397F"/>
    <w:rsid w:val="00B24DD1"/>
    <w:rsid w:val="00B256B5"/>
    <w:rsid w:val="00B273C3"/>
    <w:rsid w:val="00B27A2C"/>
    <w:rsid w:val="00B306F7"/>
    <w:rsid w:val="00B33C10"/>
    <w:rsid w:val="00B3457D"/>
    <w:rsid w:val="00B35975"/>
    <w:rsid w:val="00B35B87"/>
    <w:rsid w:val="00B36855"/>
    <w:rsid w:val="00B41433"/>
    <w:rsid w:val="00B425BC"/>
    <w:rsid w:val="00B43224"/>
    <w:rsid w:val="00B43AAD"/>
    <w:rsid w:val="00B44FE4"/>
    <w:rsid w:val="00B4567F"/>
    <w:rsid w:val="00B46A01"/>
    <w:rsid w:val="00B500C9"/>
    <w:rsid w:val="00B50D2A"/>
    <w:rsid w:val="00B540FC"/>
    <w:rsid w:val="00B5489A"/>
    <w:rsid w:val="00B5685F"/>
    <w:rsid w:val="00B61C25"/>
    <w:rsid w:val="00B626C1"/>
    <w:rsid w:val="00B62FE7"/>
    <w:rsid w:val="00B6342A"/>
    <w:rsid w:val="00B63761"/>
    <w:rsid w:val="00B65DAB"/>
    <w:rsid w:val="00B67052"/>
    <w:rsid w:val="00B700D6"/>
    <w:rsid w:val="00B7066B"/>
    <w:rsid w:val="00B723DF"/>
    <w:rsid w:val="00B73670"/>
    <w:rsid w:val="00B80CC8"/>
    <w:rsid w:val="00B817AF"/>
    <w:rsid w:val="00B836CD"/>
    <w:rsid w:val="00B85033"/>
    <w:rsid w:val="00B85539"/>
    <w:rsid w:val="00B868F1"/>
    <w:rsid w:val="00B91971"/>
    <w:rsid w:val="00B91CD5"/>
    <w:rsid w:val="00B94E1F"/>
    <w:rsid w:val="00B94E2A"/>
    <w:rsid w:val="00B96BCE"/>
    <w:rsid w:val="00B971E8"/>
    <w:rsid w:val="00B97982"/>
    <w:rsid w:val="00BA0462"/>
    <w:rsid w:val="00BA468C"/>
    <w:rsid w:val="00BA5203"/>
    <w:rsid w:val="00BA5A22"/>
    <w:rsid w:val="00BA6CEE"/>
    <w:rsid w:val="00BA7D3D"/>
    <w:rsid w:val="00BB2286"/>
    <w:rsid w:val="00BB3067"/>
    <w:rsid w:val="00BB30FC"/>
    <w:rsid w:val="00BB328B"/>
    <w:rsid w:val="00BB37E6"/>
    <w:rsid w:val="00BB6B01"/>
    <w:rsid w:val="00BC293C"/>
    <w:rsid w:val="00BC296E"/>
    <w:rsid w:val="00BC5FEF"/>
    <w:rsid w:val="00BC65C1"/>
    <w:rsid w:val="00BC6B15"/>
    <w:rsid w:val="00BC7165"/>
    <w:rsid w:val="00BC7454"/>
    <w:rsid w:val="00BD02C0"/>
    <w:rsid w:val="00BD1F86"/>
    <w:rsid w:val="00BD229D"/>
    <w:rsid w:val="00BD3370"/>
    <w:rsid w:val="00BD4040"/>
    <w:rsid w:val="00BE0D45"/>
    <w:rsid w:val="00BE140D"/>
    <w:rsid w:val="00BE1EEC"/>
    <w:rsid w:val="00BE2AFF"/>
    <w:rsid w:val="00BE5388"/>
    <w:rsid w:val="00BE5CDE"/>
    <w:rsid w:val="00BE6E65"/>
    <w:rsid w:val="00BF0A69"/>
    <w:rsid w:val="00C000F3"/>
    <w:rsid w:val="00C00C6C"/>
    <w:rsid w:val="00C017F6"/>
    <w:rsid w:val="00C03403"/>
    <w:rsid w:val="00C03893"/>
    <w:rsid w:val="00C04445"/>
    <w:rsid w:val="00C06063"/>
    <w:rsid w:val="00C0760A"/>
    <w:rsid w:val="00C07D8F"/>
    <w:rsid w:val="00C104BF"/>
    <w:rsid w:val="00C119CC"/>
    <w:rsid w:val="00C12AC9"/>
    <w:rsid w:val="00C140F0"/>
    <w:rsid w:val="00C151B3"/>
    <w:rsid w:val="00C15C59"/>
    <w:rsid w:val="00C17365"/>
    <w:rsid w:val="00C212D5"/>
    <w:rsid w:val="00C21DC1"/>
    <w:rsid w:val="00C225B9"/>
    <w:rsid w:val="00C22B6A"/>
    <w:rsid w:val="00C27932"/>
    <w:rsid w:val="00C32153"/>
    <w:rsid w:val="00C326FD"/>
    <w:rsid w:val="00C32BCB"/>
    <w:rsid w:val="00C3449A"/>
    <w:rsid w:val="00C34CD2"/>
    <w:rsid w:val="00C351A7"/>
    <w:rsid w:val="00C353F8"/>
    <w:rsid w:val="00C36BB2"/>
    <w:rsid w:val="00C405E2"/>
    <w:rsid w:val="00C41465"/>
    <w:rsid w:val="00C42326"/>
    <w:rsid w:val="00C42D4D"/>
    <w:rsid w:val="00C44F72"/>
    <w:rsid w:val="00C529B6"/>
    <w:rsid w:val="00C530E6"/>
    <w:rsid w:val="00C55778"/>
    <w:rsid w:val="00C60BE8"/>
    <w:rsid w:val="00C64987"/>
    <w:rsid w:val="00C663C2"/>
    <w:rsid w:val="00C6668D"/>
    <w:rsid w:val="00C71546"/>
    <w:rsid w:val="00C71632"/>
    <w:rsid w:val="00C73C62"/>
    <w:rsid w:val="00C7548F"/>
    <w:rsid w:val="00C769DB"/>
    <w:rsid w:val="00C80332"/>
    <w:rsid w:val="00C8072B"/>
    <w:rsid w:val="00C83A44"/>
    <w:rsid w:val="00C83C80"/>
    <w:rsid w:val="00C85C05"/>
    <w:rsid w:val="00C86963"/>
    <w:rsid w:val="00C90C4D"/>
    <w:rsid w:val="00C90C6C"/>
    <w:rsid w:val="00C92C8B"/>
    <w:rsid w:val="00C949E8"/>
    <w:rsid w:val="00C956F9"/>
    <w:rsid w:val="00C96613"/>
    <w:rsid w:val="00CA0352"/>
    <w:rsid w:val="00CA24BC"/>
    <w:rsid w:val="00CA3899"/>
    <w:rsid w:val="00CA51C8"/>
    <w:rsid w:val="00CA5D02"/>
    <w:rsid w:val="00CA5F2E"/>
    <w:rsid w:val="00CA6227"/>
    <w:rsid w:val="00CA776A"/>
    <w:rsid w:val="00CA7C2A"/>
    <w:rsid w:val="00CB022C"/>
    <w:rsid w:val="00CB22E0"/>
    <w:rsid w:val="00CB233A"/>
    <w:rsid w:val="00CB31B6"/>
    <w:rsid w:val="00CB6AF9"/>
    <w:rsid w:val="00CC192A"/>
    <w:rsid w:val="00CC2E25"/>
    <w:rsid w:val="00CC5417"/>
    <w:rsid w:val="00CC6553"/>
    <w:rsid w:val="00CC7D29"/>
    <w:rsid w:val="00CD1A21"/>
    <w:rsid w:val="00CD2483"/>
    <w:rsid w:val="00CD2FF9"/>
    <w:rsid w:val="00CE1028"/>
    <w:rsid w:val="00CE142B"/>
    <w:rsid w:val="00CE1635"/>
    <w:rsid w:val="00CE2730"/>
    <w:rsid w:val="00CE2D5D"/>
    <w:rsid w:val="00CE4A31"/>
    <w:rsid w:val="00CE4DE6"/>
    <w:rsid w:val="00CE4EAC"/>
    <w:rsid w:val="00CE6E25"/>
    <w:rsid w:val="00CE7F3D"/>
    <w:rsid w:val="00CF02FA"/>
    <w:rsid w:val="00CF08A5"/>
    <w:rsid w:val="00CF1E8E"/>
    <w:rsid w:val="00CF371E"/>
    <w:rsid w:val="00CF6117"/>
    <w:rsid w:val="00CF622D"/>
    <w:rsid w:val="00CF6CF0"/>
    <w:rsid w:val="00CF721D"/>
    <w:rsid w:val="00CF762D"/>
    <w:rsid w:val="00D02BFC"/>
    <w:rsid w:val="00D031F3"/>
    <w:rsid w:val="00D0398B"/>
    <w:rsid w:val="00D052AC"/>
    <w:rsid w:val="00D0586F"/>
    <w:rsid w:val="00D061C0"/>
    <w:rsid w:val="00D070CF"/>
    <w:rsid w:val="00D0773E"/>
    <w:rsid w:val="00D11255"/>
    <w:rsid w:val="00D11B95"/>
    <w:rsid w:val="00D1269F"/>
    <w:rsid w:val="00D12BEE"/>
    <w:rsid w:val="00D13D53"/>
    <w:rsid w:val="00D1541D"/>
    <w:rsid w:val="00D175AC"/>
    <w:rsid w:val="00D177D7"/>
    <w:rsid w:val="00D21E66"/>
    <w:rsid w:val="00D22B42"/>
    <w:rsid w:val="00D23656"/>
    <w:rsid w:val="00D24442"/>
    <w:rsid w:val="00D3087E"/>
    <w:rsid w:val="00D32B5C"/>
    <w:rsid w:val="00D330A1"/>
    <w:rsid w:val="00D33689"/>
    <w:rsid w:val="00D34B24"/>
    <w:rsid w:val="00D358C4"/>
    <w:rsid w:val="00D36C65"/>
    <w:rsid w:val="00D3713E"/>
    <w:rsid w:val="00D37C84"/>
    <w:rsid w:val="00D4134B"/>
    <w:rsid w:val="00D4172C"/>
    <w:rsid w:val="00D43679"/>
    <w:rsid w:val="00D44330"/>
    <w:rsid w:val="00D444EF"/>
    <w:rsid w:val="00D4484A"/>
    <w:rsid w:val="00D473E2"/>
    <w:rsid w:val="00D47775"/>
    <w:rsid w:val="00D51E31"/>
    <w:rsid w:val="00D529C9"/>
    <w:rsid w:val="00D545F9"/>
    <w:rsid w:val="00D54A4C"/>
    <w:rsid w:val="00D5620A"/>
    <w:rsid w:val="00D570AA"/>
    <w:rsid w:val="00D57354"/>
    <w:rsid w:val="00D57EE2"/>
    <w:rsid w:val="00D60A97"/>
    <w:rsid w:val="00D61481"/>
    <w:rsid w:val="00D62FBA"/>
    <w:rsid w:val="00D631BE"/>
    <w:rsid w:val="00D636C6"/>
    <w:rsid w:val="00D63726"/>
    <w:rsid w:val="00D645F1"/>
    <w:rsid w:val="00D70E81"/>
    <w:rsid w:val="00D742CB"/>
    <w:rsid w:val="00D765BC"/>
    <w:rsid w:val="00D828DD"/>
    <w:rsid w:val="00D8368B"/>
    <w:rsid w:val="00D838E0"/>
    <w:rsid w:val="00D8720C"/>
    <w:rsid w:val="00D878FB"/>
    <w:rsid w:val="00D90B6A"/>
    <w:rsid w:val="00D9478B"/>
    <w:rsid w:val="00D95352"/>
    <w:rsid w:val="00DA1F44"/>
    <w:rsid w:val="00DA25EF"/>
    <w:rsid w:val="00DA4C0F"/>
    <w:rsid w:val="00DA4CE1"/>
    <w:rsid w:val="00DA4F64"/>
    <w:rsid w:val="00DA75B8"/>
    <w:rsid w:val="00DA7AE2"/>
    <w:rsid w:val="00DB248D"/>
    <w:rsid w:val="00DB3008"/>
    <w:rsid w:val="00DB43B7"/>
    <w:rsid w:val="00DB44D8"/>
    <w:rsid w:val="00DB4C60"/>
    <w:rsid w:val="00DB541C"/>
    <w:rsid w:val="00DC392B"/>
    <w:rsid w:val="00DC3CBA"/>
    <w:rsid w:val="00DC3D38"/>
    <w:rsid w:val="00DD2637"/>
    <w:rsid w:val="00DD2BEE"/>
    <w:rsid w:val="00DD3E6B"/>
    <w:rsid w:val="00DD46C9"/>
    <w:rsid w:val="00DD6FDD"/>
    <w:rsid w:val="00DD7AED"/>
    <w:rsid w:val="00DE1E0E"/>
    <w:rsid w:val="00DE2E83"/>
    <w:rsid w:val="00DE6395"/>
    <w:rsid w:val="00DE75F4"/>
    <w:rsid w:val="00DF1AD9"/>
    <w:rsid w:val="00DF1EA1"/>
    <w:rsid w:val="00DF34A2"/>
    <w:rsid w:val="00DF5854"/>
    <w:rsid w:val="00DF63C5"/>
    <w:rsid w:val="00DF7571"/>
    <w:rsid w:val="00DF76DA"/>
    <w:rsid w:val="00E00E45"/>
    <w:rsid w:val="00E01165"/>
    <w:rsid w:val="00E026BF"/>
    <w:rsid w:val="00E0677B"/>
    <w:rsid w:val="00E12BFC"/>
    <w:rsid w:val="00E13E2D"/>
    <w:rsid w:val="00E14951"/>
    <w:rsid w:val="00E1593B"/>
    <w:rsid w:val="00E163E5"/>
    <w:rsid w:val="00E23520"/>
    <w:rsid w:val="00E24620"/>
    <w:rsid w:val="00E24A20"/>
    <w:rsid w:val="00E25873"/>
    <w:rsid w:val="00E27035"/>
    <w:rsid w:val="00E27551"/>
    <w:rsid w:val="00E31E37"/>
    <w:rsid w:val="00E32A0F"/>
    <w:rsid w:val="00E3334C"/>
    <w:rsid w:val="00E337BB"/>
    <w:rsid w:val="00E369D3"/>
    <w:rsid w:val="00E37AEF"/>
    <w:rsid w:val="00E43A72"/>
    <w:rsid w:val="00E4496E"/>
    <w:rsid w:val="00E44FB2"/>
    <w:rsid w:val="00E45C89"/>
    <w:rsid w:val="00E5023C"/>
    <w:rsid w:val="00E50DEA"/>
    <w:rsid w:val="00E50E8B"/>
    <w:rsid w:val="00E53107"/>
    <w:rsid w:val="00E54492"/>
    <w:rsid w:val="00E54979"/>
    <w:rsid w:val="00E56017"/>
    <w:rsid w:val="00E5699D"/>
    <w:rsid w:val="00E57B47"/>
    <w:rsid w:val="00E604D7"/>
    <w:rsid w:val="00E607BA"/>
    <w:rsid w:val="00E60D1C"/>
    <w:rsid w:val="00E6104C"/>
    <w:rsid w:val="00E612A8"/>
    <w:rsid w:val="00E6136B"/>
    <w:rsid w:val="00E64048"/>
    <w:rsid w:val="00E6557B"/>
    <w:rsid w:val="00E6580E"/>
    <w:rsid w:val="00E65E27"/>
    <w:rsid w:val="00E66DFC"/>
    <w:rsid w:val="00E6730D"/>
    <w:rsid w:val="00E7012B"/>
    <w:rsid w:val="00E70DCF"/>
    <w:rsid w:val="00E724EE"/>
    <w:rsid w:val="00E738C5"/>
    <w:rsid w:val="00E77974"/>
    <w:rsid w:val="00E802CA"/>
    <w:rsid w:val="00E80B00"/>
    <w:rsid w:val="00E810D1"/>
    <w:rsid w:val="00E81815"/>
    <w:rsid w:val="00E862CF"/>
    <w:rsid w:val="00E916F9"/>
    <w:rsid w:val="00E92E98"/>
    <w:rsid w:val="00E9351A"/>
    <w:rsid w:val="00E937D9"/>
    <w:rsid w:val="00E9383B"/>
    <w:rsid w:val="00E938A9"/>
    <w:rsid w:val="00E939B9"/>
    <w:rsid w:val="00E93B0A"/>
    <w:rsid w:val="00E95454"/>
    <w:rsid w:val="00E965FB"/>
    <w:rsid w:val="00E96C4A"/>
    <w:rsid w:val="00EA193C"/>
    <w:rsid w:val="00EA4287"/>
    <w:rsid w:val="00EA61EC"/>
    <w:rsid w:val="00EA7948"/>
    <w:rsid w:val="00EA7AD2"/>
    <w:rsid w:val="00EB016B"/>
    <w:rsid w:val="00EB0A0C"/>
    <w:rsid w:val="00EB1468"/>
    <w:rsid w:val="00EB17AB"/>
    <w:rsid w:val="00EB18DD"/>
    <w:rsid w:val="00EB1E76"/>
    <w:rsid w:val="00EB2567"/>
    <w:rsid w:val="00EB6B0F"/>
    <w:rsid w:val="00EC0A1E"/>
    <w:rsid w:val="00EC0F14"/>
    <w:rsid w:val="00EC3B2A"/>
    <w:rsid w:val="00ED53DE"/>
    <w:rsid w:val="00ED575E"/>
    <w:rsid w:val="00ED5AE9"/>
    <w:rsid w:val="00EE3F23"/>
    <w:rsid w:val="00EE5A95"/>
    <w:rsid w:val="00EE7809"/>
    <w:rsid w:val="00EF20BF"/>
    <w:rsid w:val="00EF7658"/>
    <w:rsid w:val="00F01028"/>
    <w:rsid w:val="00F0189B"/>
    <w:rsid w:val="00F042C1"/>
    <w:rsid w:val="00F049D1"/>
    <w:rsid w:val="00F05EC0"/>
    <w:rsid w:val="00F11CBD"/>
    <w:rsid w:val="00F122A3"/>
    <w:rsid w:val="00F12518"/>
    <w:rsid w:val="00F1266A"/>
    <w:rsid w:val="00F12BA1"/>
    <w:rsid w:val="00F14BC9"/>
    <w:rsid w:val="00F14F2F"/>
    <w:rsid w:val="00F22CCC"/>
    <w:rsid w:val="00F239B2"/>
    <w:rsid w:val="00F23EC8"/>
    <w:rsid w:val="00F255AB"/>
    <w:rsid w:val="00F2703B"/>
    <w:rsid w:val="00F27646"/>
    <w:rsid w:val="00F30344"/>
    <w:rsid w:val="00F30ACA"/>
    <w:rsid w:val="00F327DE"/>
    <w:rsid w:val="00F349ED"/>
    <w:rsid w:val="00F3593F"/>
    <w:rsid w:val="00F36E03"/>
    <w:rsid w:val="00F36F2A"/>
    <w:rsid w:val="00F37B21"/>
    <w:rsid w:val="00F37DD4"/>
    <w:rsid w:val="00F40841"/>
    <w:rsid w:val="00F41650"/>
    <w:rsid w:val="00F435D0"/>
    <w:rsid w:val="00F4417D"/>
    <w:rsid w:val="00F4577B"/>
    <w:rsid w:val="00F45C0D"/>
    <w:rsid w:val="00F512DD"/>
    <w:rsid w:val="00F51DEA"/>
    <w:rsid w:val="00F53B1B"/>
    <w:rsid w:val="00F54033"/>
    <w:rsid w:val="00F55FE5"/>
    <w:rsid w:val="00F5651A"/>
    <w:rsid w:val="00F57326"/>
    <w:rsid w:val="00F57A01"/>
    <w:rsid w:val="00F60BAB"/>
    <w:rsid w:val="00F6179A"/>
    <w:rsid w:val="00F6207D"/>
    <w:rsid w:val="00F63286"/>
    <w:rsid w:val="00F66600"/>
    <w:rsid w:val="00F67726"/>
    <w:rsid w:val="00F678FB"/>
    <w:rsid w:val="00F70458"/>
    <w:rsid w:val="00F736AB"/>
    <w:rsid w:val="00F743F6"/>
    <w:rsid w:val="00F74983"/>
    <w:rsid w:val="00F759CE"/>
    <w:rsid w:val="00F76058"/>
    <w:rsid w:val="00F76F0C"/>
    <w:rsid w:val="00F777F4"/>
    <w:rsid w:val="00F7782C"/>
    <w:rsid w:val="00F828D0"/>
    <w:rsid w:val="00F82DC2"/>
    <w:rsid w:val="00F82EB7"/>
    <w:rsid w:val="00F83715"/>
    <w:rsid w:val="00F8714E"/>
    <w:rsid w:val="00F877D1"/>
    <w:rsid w:val="00F87E03"/>
    <w:rsid w:val="00F91A1A"/>
    <w:rsid w:val="00F93C02"/>
    <w:rsid w:val="00F95515"/>
    <w:rsid w:val="00F96974"/>
    <w:rsid w:val="00F97AE3"/>
    <w:rsid w:val="00FA1BF1"/>
    <w:rsid w:val="00FA347C"/>
    <w:rsid w:val="00FA68BE"/>
    <w:rsid w:val="00FA764B"/>
    <w:rsid w:val="00FB2C50"/>
    <w:rsid w:val="00FB4D8F"/>
    <w:rsid w:val="00FB646B"/>
    <w:rsid w:val="00FB6BEB"/>
    <w:rsid w:val="00FB75A2"/>
    <w:rsid w:val="00FC1B50"/>
    <w:rsid w:val="00FC2249"/>
    <w:rsid w:val="00FC24C8"/>
    <w:rsid w:val="00FC34FE"/>
    <w:rsid w:val="00FC410F"/>
    <w:rsid w:val="00FC447E"/>
    <w:rsid w:val="00FC45CC"/>
    <w:rsid w:val="00FC4D6C"/>
    <w:rsid w:val="00FC795E"/>
    <w:rsid w:val="00FD0109"/>
    <w:rsid w:val="00FD0310"/>
    <w:rsid w:val="00FD147F"/>
    <w:rsid w:val="00FD3033"/>
    <w:rsid w:val="00FD545F"/>
    <w:rsid w:val="00FD6CC5"/>
    <w:rsid w:val="00FD7380"/>
    <w:rsid w:val="00FD7AF1"/>
    <w:rsid w:val="00FE1131"/>
    <w:rsid w:val="00FE2073"/>
    <w:rsid w:val="00FE30DA"/>
    <w:rsid w:val="00FE312A"/>
    <w:rsid w:val="00FE3212"/>
    <w:rsid w:val="00FE4FD1"/>
    <w:rsid w:val="00FE566F"/>
    <w:rsid w:val="00FE65BB"/>
    <w:rsid w:val="00FE73F3"/>
    <w:rsid w:val="00FF2C70"/>
    <w:rsid w:val="00FF3740"/>
    <w:rsid w:val="00FF3D0D"/>
    <w:rsid w:val="00FF5400"/>
    <w:rsid w:val="00FF5D79"/>
    <w:rsid w:val="00FF6901"/>
    <w:rsid w:val="07BBEFB2"/>
    <w:rsid w:val="10FF1319"/>
    <w:rsid w:val="159E4528"/>
    <w:rsid w:val="17FB0DEF"/>
    <w:rsid w:val="1DDF4C7A"/>
    <w:rsid w:val="2DBB29CD"/>
    <w:rsid w:val="2EEC77CC"/>
    <w:rsid w:val="2F7FA3BA"/>
    <w:rsid w:val="33978ACB"/>
    <w:rsid w:val="34799887"/>
    <w:rsid w:val="36DF7959"/>
    <w:rsid w:val="376633A0"/>
    <w:rsid w:val="377FA519"/>
    <w:rsid w:val="37FFACE3"/>
    <w:rsid w:val="39F7C378"/>
    <w:rsid w:val="3BFBE7AA"/>
    <w:rsid w:val="3DFDB368"/>
    <w:rsid w:val="3EDF6EBA"/>
    <w:rsid w:val="3F7D1B2C"/>
    <w:rsid w:val="3FBEA0AC"/>
    <w:rsid w:val="487709D6"/>
    <w:rsid w:val="49C04C56"/>
    <w:rsid w:val="53978C0F"/>
    <w:rsid w:val="53D782E7"/>
    <w:rsid w:val="57779DE4"/>
    <w:rsid w:val="577F3F2B"/>
    <w:rsid w:val="57EED811"/>
    <w:rsid w:val="58B7F91E"/>
    <w:rsid w:val="59DE0FBF"/>
    <w:rsid w:val="5A9F97CC"/>
    <w:rsid w:val="5B500D92"/>
    <w:rsid w:val="5E1F92D4"/>
    <w:rsid w:val="5EBBC653"/>
    <w:rsid w:val="5FEE1837"/>
    <w:rsid w:val="66BD1A2E"/>
    <w:rsid w:val="677F6AC0"/>
    <w:rsid w:val="67BF6688"/>
    <w:rsid w:val="67C62737"/>
    <w:rsid w:val="67FFAC92"/>
    <w:rsid w:val="6BFBDC4C"/>
    <w:rsid w:val="6CFD145A"/>
    <w:rsid w:val="6D1F9E5D"/>
    <w:rsid w:val="6DDDFBBD"/>
    <w:rsid w:val="6DFAC471"/>
    <w:rsid w:val="6EFA536D"/>
    <w:rsid w:val="6F9FA0DE"/>
    <w:rsid w:val="6FD9C352"/>
    <w:rsid w:val="6FFF201D"/>
    <w:rsid w:val="717D513F"/>
    <w:rsid w:val="725E7723"/>
    <w:rsid w:val="73F62401"/>
    <w:rsid w:val="753B8F18"/>
    <w:rsid w:val="76FF4782"/>
    <w:rsid w:val="771F47CC"/>
    <w:rsid w:val="773F9257"/>
    <w:rsid w:val="77772BDE"/>
    <w:rsid w:val="77FB9B05"/>
    <w:rsid w:val="79FD3780"/>
    <w:rsid w:val="7AFE458A"/>
    <w:rsid w:val="7BAD2DCE"/>
    <w:rsid w:val="7BBEE905"/>
    <w:rsid w:val="7BFFCD0E"/>
    <w:rsid w:val="7CFA373D"/>
    <w:rsid w:val="7CFD6241"/>
    <w:rsid w:val="7D7DF0BF"/>
    <w:rsid w:val="7DBB9582"/>
    <w:rsid w:val="7DDFEE0D"/>
    <w:rsid w:val="7DFF7B3D"/>
    <w:rsid w:val="7EA7C527"/>
    <w:rsid w:val="7F3F7383"/>
    <w:rsid w:val="7F5DD882"/>
    <w:rsid w:val="7F6B8B38"/>
    <w:rsid w:val="7F6FD184"/>
    <w:rsid w:val="7F7BB7F9"/>
    <w:rsid w:val="7F7FCC67"/>
    <w:rsid w:val="7FBA525F"/>
    <w:rsid w:val="7FBBAB61"/>
    <w:rsid w:val="7FD546F1"/>
    <w:rsid w:val="7FE9D259"/>
    <w:rsid w:val="7FF779B8"/>
    <w:rsid w:val="7FFC32BE"/>
    <w:rsid w:val="8FBD0D02"/>
    <w:rsid w:val="96FF1BEC"/>
    <w:rsid w:val="9ED7FE9E"/>
    <w:rsid w:val="9EFBD3B4"/>
    <w:rsid w:val="A70C9AB2"/>
    <w:rsid w:val="A7FC3B94"/>
    <w:rsid w:val="AF369C0C"/>
    <w:rsid w:val="AFBFD097"/>
    <w:rsid w:val="B35F4E23"/>
    <w:rsid w:val="B7CF4439"/>
    <w:rsid w:val="B7FEF806"/>
    <w:rsid w:val="B8F57C5F"/>
    <w:rsid w:val="B9DE5226"/>
    <w:rsid w:val="BB9FDB35"/>
    <w:rsid w:val="BBCF57C2"/>
    <w:rsid w:val="BBED030A"/>
    <w:rsid w:val="BDBF847A"/>
    <w:rsid w:val="BECAB373"/>
    <w:rsid w:val="BFBFFBA8"/>
    <w:rsid w:val="C5667667"/>
    <w:rsid w:val="C7EBC2FE"/>
    <w:rsid w:val="C93D7227"/>
    <w:rsid w:val="CEFD95D8"/>
    <w:rsid w:val="CF96A8EE"/>
    <w:rsid w:val="CFBC7E24"/>
    <w:rsid w:val="D51601DD"/>
    <w:rsid w:val="D76D414B"/>
    <w:rsid w:val="D9EFA4EE"/>
    <w:rsid w:val="DADF480B"/>
    <w:rsid w:val="DB65D359"/>
    <w:rsid w:val="DBAD1373"/>
    <w:rsid w:val="DDF37659"/>
    <w:rsid w:val="DE1F4CFA"/>
    <w:rsid w:val="DE5D6D0F"/>
    <w:rsid w:val="DE9FB6C5"/>
    <w:rsid w:val="DFEF547B"/>
    <w:rsid w:val="DFEF578C"/>
    <w:rsid w:val="DFF764BE"/>
    <w:rsid w:val="E3BA81BE"/>
    <w:rsid w:val="E77E59F3"/>
    <w:rsid w:val="E7FF2F84"/>
    <w:rsid w:val="EA7F7248"/>
    <w:rsid w:val="EAFD4C56"/>
    <w:rsid w:val="EB777A08"/>
    <w:rsid w:val="EBDFED79"/>
    <w:rsid w:val="EFFB3505"/>
    <w:rsid w:val="EFFBED01"/>
    <w:rsid w:val="F2D6E65F"/>
    <w:rsid w:val="F4CECC7F"/>
    <w:rsid w:val="F56D435A"/>
    <w:rsid w:val="F71D43BA"/>
    <w:rsid w:val="F7BFD7DF"/>
    <w:rsid w:val="F7EE12E7"/>
    <w:rsid w:val="F7FEB38C"/>
    <w:rsid w:val="F9FFCB52"/>
    <w:rsid w:val="FB572EF9"/>
    <w:rsid w:val="FC9B885B"/>
    <w:rsid w:val="FD762623"/>
    <w:rsid w:val="FDB3D4AA"/>
    <w:rsid w:val="FDD7E9DA"/>
    <w:rsid w:val="FDF9B145"/>
    <w:rsid w:val="FDFE8332"/>
    <w:rsid w:val="FE3DA023"/>
    <w:rsid w:val="FE556575"/>
    <w:rsid w:val="FE77C0C4"/>
    <w:rsid w:val="FE7D0781"/>
    <w:rsid w:val="FEA332A9"/>
    <w:rsid w:val="FEBDC83C"/>
    <w:rsid w:val="FEDECED8"/>
    <w:rsid w:val="FF3F93A3"/>
    <w:rsid w:val="FF53DCC6"/>
    <w:rsid w:val="FF55EE07"/>
    <w:rsid w:val="FF65B53C"/>
    <w:rsid w:val="FF69B619"/>
    <w:rsid w:val="FF775CF2"/>
    <w:rsid w:val="FF77AEEB"/>
    <w:rsid w:val="FFAFDE45"/>
    <w:rsid w:val="FFF5FD86"/>
    <w:rsid w:val="FFF97AD1"/>
    <w:rsid w:val="FFFBDDA5"/>
    <w:rsid w:val="FFFC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endnote text"/>
    <w:basedOn w:val="1"/>
    <w:link w:val="20"/>
    <w:semiHidden/>
    <w:unhideWhenUsed/>
    <w:qFormat/>
    <w:uiPriority w:val="99"/>
    <w:pPr>
      <w:snapToGrid w:val="0"/>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basedOn w:val="11"/>
    <w:semiHidden/>
    <w:unhideWhenUsed/>
    <w:qFormat/>
    <w:uiPriority w:val="99"/>
    <w:rPr>
      <w:vertAlign w:val="superscript"/>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paragraph" w:styleId="17">
    <w:name w:val="List Paragraph"/>
    <w:basedOn w:val="1"/>
    <w:link w:val="22"/>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character" w:customStyle="1" w:styleId="20">
    <w:name w:val="尾注文本 Char"/>
    <w:basedOn w:val="11"/>
    <w:link w:val="4"/>
    <w:semiHidden/>
    <w:qFormat/>
    <w:uiPriority w:val="99"/>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列出段落 Char"/>
    <w:link w:val="17"/>
    <w:qFormat/>
    <w:uiPriority w:val="34"/>
    <w:rPr>
      <w:kern w:val="2"/>
      <w:sz w:val="21"/>
      <w:szCs w:val="22"/>
    </w:rPr>
  </w:style>
  <w:style w:type="character" w:customStyle="1" w:styleId="23">
    <w:name w:val="标题 2 Char"/>
    <w:basedOn w:val="11"/>
    <w:link w:val="2"/>
    <w:qFormat/>
    <w:uiPriority w:val="9"/>
    <w:rPr>
      <w:rFonts w:asciiTheme="majorHAnsi" w:hAnsiTheme="majorHAnsi" w:eastAsiaTheme="majorEastAsia" w:cstheme="majorBidi"/>
      <w:b/>
      <w:bCs/>
      <w:kern w:val="2"/>
      <w:sz w:val="32"/>
      <w:szCs w:val="32"/>
    </w:rPr>
  </w:style>
  <w:style w:type="table" w:customStyle="1" w:styleId="24">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1622</Words>
  <Characters>9252</Characters>
  <Lines>77</Lines>
  <Paragraphs>21</Paragraphs>
  <TotalTime>1</TotalTime>
  <ScaleCrop>false</ScaleCrop>
  <LinksUpToDate>false</LinksUpToDate>
  <CharactersWithSpaces>10853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2024-12-21T09:54:00Z</dcterms:created>
  <dc:creator>zhangby</dc:creator>
  <cp:lastModifiedBy>hanzy</cp:lastModifiedBy>
  <cp:lastPrinted>2024-10-31T19:18:00Z</cp:lastPrinted>
  <dcterms:modified xsi:type="dcterms:W3CDTF">2024-12-20T21:02:00Z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