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rPr>
          <w:rFonts w:ascii="黑体" w:hAnsi="黑体" w:eastAsia="黑体" w:cs="Times New Roman"/>
          <w:szCs w:val="32"/>
          <w:highlight w:val="none"/>
        </w:rPr>
      </w:pPr>
      <w:bookmarkStart w:id="0" w:name="_Toc118488947"/>
      <w:bookmarkStart w:id="37" w:name="_GoBack"/>
      <w:bookmarkEnd w:id="37"/>
      <w:r>
        <w:rPr>
          <w:rFonts w:hint="eastAsia" w:ascii="黑体" w:hAnsi="黑体" w:eastAsia="黑体" w:cs="Times New Roman"/>
          <w:szCs w:val="32"/>
          <w:highlight w:val="none"/>
        </w:rPr>
        <w:t>附件</w:t>
      </w:r>
    </w:p>
    <w:p>
      <w:pPr>
        <w:adjustRightInd w:val="0"/>
        <w:snapToGrid w:val="0"/>
        <w:spacing w:line="560" w:lineRule="exact"/>
        <w:ind w:firstLine="0" w:firstLineChars="0"/>
        <w:rPr>
          <w:rFonts w:ascii="黑体" w:hAnsi="黑体" w:eastAsia="黑体" w:cs="Times New Roman"/>
          <w:szCs w:val="32"/>
          <w:highlight w:val="none"/>
        </w:rPr>
      </w:pPr>
    </w:p>
    <w:p>
      <w:pPr>
        <w:adjustRightInd w:val="0"/>
        <w:snapToGrid w:val="0"/>
        <w:spacing w:line="240" w:lineRule="auto"/>
        <w:ind w:firstLine="0" w:firstLineChars="0"/>
        <w:jc w:val="center"/>
        <w:rPr>
          <w:rFonts w:ascii="方正小标宋简体" w:eastAsia="方正小标宋简体" w:cs="Times New Roman" w:hAnsiTheme="majorEastAsia"/>
          <w:sz w:val="44"/>
          <w:szCs w:val="44"/>
          <w:highlight w:val="none"/>
        </w:rPr>
      </w:pPr>
      <w:r>
        <w:rPr>
          <w:rFonts w:hint="eastAsia" w:ascii="方正小标宋简体" w:eastAsia="方正小标宋简体" w:cs="Times New Roman" w:hAnsiTheme="majorEastAsia"/>
          <w:sz w:val="44"/>
          <w:szCs w:val="44"/>
          <w:highlight w:val="none"/>
        </w:rPr>
        <w:t>深圳证券交易所资产支持证券存续期监管业务指引第3号——信用风险管理</w:t>
      </w:r>
    </w:p>
    <w:p>
      <w:pPr>
        <w:widowControl/>
        <w:ind w:firstLine="0" w:firstLineChars="0"/>
        <w:jc w:val="left"/>
        <w:rPr>
          <w:rFonts w:ascii="黑体" w:hAnsi="黑体" w:eastAsia="黑体" w:cs="Times New Roman"/>
          <w:bCs/>
          <w:kern w:val="44"/>
          <w:szCs w:val="32"/>
          <w:highlight w:val="none"/>
        </w:rPr>
      </w:pPr>
      <w:bookmarkStart w:id="1" w:name="_Toc121941203"/>
      <w:bookmarkStart w:id="2" w:name="_Toc120129826"/>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r>
        <w:rPr>
          <w:rFonts w:hint="eastAsia" w:ascii="黑体" w:hAnsi="黑体" w:cs="Times New Roman"/>
          <w:b w:val="0"/>
          <w:szCs w:val="32"/>
          <w:highlight w:val="none"/>
        </w:rPr>
        <w:t>总则</w:t>
      </w:r>
      <w:bookmarkEnd w:id="0"/>
      <w:bookmarkEnd w:id="1"/>
      <w:bookmarkEnd w:id="2"/>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第一条</w:t>
      </w:r>
      <w:r>
        <w:rPr>
          <w:rFonts w:hint="eastAsia" w:ascii="仿宋" w:hAnsi="仿宋"/>
          <w:szCs w:val="32"/>
          <w:highlight w:val="none"/>
        </w:rPr>
        <w:t xml:space="preserve"> 为了规范资产支持证券信用风险管理业务，保护投资者合法权益，根据《深圳证券交易所资产支持证券业务规则》等业务规则，制定本指引。</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第二条</w:t>
      </w:r>
      <w:r>
        <w:rPr>
          <w:rFonts w:hint="eastAsia" w:ascii="仿宋" w:hAnsi="仿宋"/>
          <w:szCs w:val="32"/>
          <w:highlight w:val="none"/>
        </w:rPr>
        <w:t xml:space="preserve"> </w:t>
      </w:r>
      <w:r>
        <w:rPr>
          <w:rFonts w:hint="eastAsia" w:ascii="仿宋" w:hAnsi="仿宋" w:eastAsia="仿宋"/>
          <w:sz w:val="32"/>
          <w:szCs w:val="32"/>
          <w:highlight w:val="none"/>
        </w:rPr>
        <w:t>本指引适用于</w:t>
      </w:r>
      <w:r>
        <w:rPr>
          <w:rFonts w:hint="eastAsia" w:ascii="仿宋" w:hAnsi="仿宋"/>
          <w:szCs w:val="32"/>
          <w:highlight w:val="none"/>
        </w:rPr>
        <w:t>在深圳证券交易所（以下简称本所）挂牌转让的资产支持证券的信用风险管理。</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第三条</w:t>
      </w:r>
      <w:r>
        <w:rPr>
          <w:rFonts w:hint="eastAsia" w:ascii="仿宋" w:hAnsi="仿宋"/>
          <w:szCs w:val="32"/>
          <w:highlight w:val="none"/>
        </w:rPr>
        <w:t xml:space="preserve"> 资产支持证券的信用风险管理遵循市场化、法治化原则，管理人、原始权益人、资产服务机构、托管人、增信机构、证券服务机构（以下统称信用风险管理业务参与人）</w:t>
      </w:r>
      <w:r>
        <w:rPr>
          <w:rFonts w:hint="eastAsia" w:ascii="仿宋" w:hAnsi="仿宋" w:eastAsia="仿宋"/>
          <w:sz w:val="32"/>
          <w:szCs w:val="32"/>
          <w:highlight w:val="none"/>
        </w:rPr>
        <w:t>和投资者</w:t>
      </w:r>
      <w:r>
        <w:rPr>
          <w:rFonts w:hint="eastAsia" w:ascii="仿宋" w:hAnsi="仿宋"/>
          <w:szCs w:val="32"/>
          <w:highlight w:val="none"/>
        </w:rPr>
        <w:t>应当在平等、自愿的基础上合理确定各方的权利和义务，自行承担相应风险。</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信用风险管理业务参与人及其相关人员应当严格遵守法律</w:t>
      </w:r>
      <w:r>
        <w:rPr>
          <w:rFonts w:hint="eastAsia" w:ascii="仿宋" w:hAnsi="仿宋"/>
          <w:szCs w:val="32"/>
          <w:highlight w:val="none"/>
          <w:lang w:eastAsia="zh-CN"/>
        </w:rPr>
        <w:t>、行政</w:t>
      </w:r>
      <w:r>
        <w:rPr>
          <w:rFonts w:hint="eastAsia" w:ascii="仿宋" w:hAnsi="仿宋"/>
          <w:szCs w:val="32"/>
          <w:highlight w:val="none"/>
        </w:rPr>
        <w:t>法规</w:t>
      </w:r>
      <w:r>
        <w:rPr>
          <w:rFonts w:hint="eastAsia" w:ascii="仿宋" w:hAnsi="仿宋" w:eastAsia="仿宋"/>
          <w:sz w:val="32"/>
          <w:szCs w:val="32"/>
          <w:highlight w:val="none"/>
        </w:rPr>
        <w:t>、部门规章、规范性文件（以下统称法律法规）</w:t>
      </w:r>
      <w:r>
        <w:rPr>
          <w:rFonts w:hint="eastAsia" w:ascii="仿宋" w:hAnsi="仿宋"/>
          <w:szCs w:val="32"/>
          <w:highlight w:val="none"/>
        </w:rPr>
        <w:t>、本所业务规则和执业规范，诚实守信、勤勉尽责，保护投资者合法权益，接受本所自律管理。</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第四条</w:t>
      </w:r>
      <w:r>
        <w:rPr>
          <w:rFonts w:hint="eastAsia" w:ascii="仿宋" w:hAnsi="仿宋"/>
          <w:szCs w:val="32"/>
          <w:highlight w:val="none"/>
        </w:rPr>
        <w:t xml:space="preserve"> 信用风险管理业务参与人应当建立内部信息隔离和保密制度。</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信用风险管理业务参与人及其相关人员不得利用信用风险管理业务进行内幕交易、操纵市场、利益输送或者其他损害投资者合法权益的不正当行为。</w:t>
      </w:r>
    </w:p>
    <w:p>
      <w:pPr>
        <w:numPr>
          <w:ilvl w:val="0"/>
          <w:numId w:val="2"/>
        </w:numPr>
        <w:adjustRightInd w:val="0"/>
        <w:snapToGrid w:val="0"/>
        <w:spacing w:line="560" w:lineRule="exact"/>
        <w:ind w:firstLine="643"/>
        <w:rPr>
          <w:rFonts w:hint="eastAsia" w:ascii="仿宋" w:hAnsi="仿宋"/>
          <w:szCs w:val="32"/>
          <w:highlight w:val="none"/>
        </w:rPr>
      </w:pPr>
      <w:r>
        <w:rPr>
          <w:rFonts w:hint="eastAsia" w:ascii="仿宋" w:hAnsi="仿宋"/>
          <w:szCs w:val="32"/>
          <w:highlight w:val="none"/>
        </w:rPr>
        <w:t>信用风险管理业务参与人根据信用风险管理需要，对资产支持证券信用风险管理约定更高要求的，从其约定。</w:t>
      </w:r>
    </w:p>
    <w:p>
      <w:pPr>
        <w:adjustRightInd w:val="0"/>
        <w:snapToGrid w:val="0"/>
        <w:spacing w:line="560" w:lineRule="exact"/>
        <w:ind w:firstLine="643"/>
        <w:rPr>
          <w:rFonts w:hint="eastAsia" w:ascii="仿宋" w:hAnsi="仿宋"/>
          <w:szCs w:val="32"/>
          <w:highlight w:val="none"/>
        </w:rPr>
      </w:pPr>
      <w:r>
        <w:rPr>
          <w:rFonts w:hint="eastAsia" w:ascii="仿宋" w:hAnsi="仿宋" w:eastAsia="仿宋"/>
          <w:b/>
          <w:sz w:val="32"/>
          <w:szCs w:val="32"/>
          <w:highlight w:val="none"/>
        </w:rPr>
        <w:t>第</w:t>
      </w:r>
      <w:r>
        <w:rPr>
          <w:rFonts w:hint="eastAsia" w:ascii="仿宋" w:hAnsi="仿宋"/>
          <w:b/>
          <w:sz w:val="32"/>
          <w:szCs w:val="32"/>
          <w:highlight w:val="none"/>
          <w:lang w:eastAsia="zh-CN"/>
        </w:rPr>
        <w:t>六</w:t>
      </w:r>
      <w:r>
        <w:rPr>
          <w:rFonts w:hint="eastAsia" w:ascii="仿宋" w:hAnsi="仿宋" w:eastAsia="仿宋"/>
          <w:b/>
          <w:sz w:val="32"/>
          <w:szCs w:val="32"/>
          <w:highlight w:val="none"/>
        </w:rPr>
        <w:t>条</w:t>
      </w:r>
      <w:r>
        <w:rPr>
          <w:rFonts w:ascii="仿宋" w:hAnsi="仿宋" w:eastAsia="仿宋"/>
          <w:bCs/>
          <w:sz w:val="32"/>
          <w:szCs w:val="32"/>
          <w:highlight w:val="none"/>
        </w:rPr>
        <w:t xml:space="preserve"> </w:t>
      </w:r>
      <w:r>
        <w:rPr>
          <w:rFonts w:hint="eastAsia" w:ascii="仿宋" w:hAnsi="仿宋" w:eastAsia="仿宋"/>
          <w:bCs/>
          <w:sz w:val="32"/>
          <w:szCs w:val="32"/>
          <w:highlight w:val="none"/>
        </w:rPr>
        <w:t>投资者应当严格</w:t>
      </w:r>
      <w:r>
        <w:rPr>
          <w:rFonts w:hint="eastAsia" w:ascii="仿宋" w:hAnsi="仿宋" w:eastAsia="仿宋"/>
          <w:sz w:val="32"/>
          <w:szCs w:val="32"/>
          <w:highlight w:val="none"/>
        </w:rPr>
        <w:t>遵守本所投资者适当性管理规定，自主判断投资价值，审慎作出投资决策，自行承担投资风险，</w:t>
      </w:r>
      <w:r>
        <w:rPr>
          <w:rFonts w:hint="eastAsia" w:ascii="仿宋" w:hAnsi="仿宋" w:eastAsia="仿宋"/>
          <w:bCs/>
          <w:sz w:val="32"/>
          <w:szCs w:val="32"/>
          <w:highlight w:val="none"/>
        </w:rPr>
        <w:t>依法维护自身合法权益。</w:t>
      </w:r>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bookmarkStart w:id="3" w:name="_Toc121819067"/>
      <w:bookmarkEnd w:id="3"/>
      <w:bookmarkStart w:id="4" w:name="_Toc121819021"/>
      <w:bookmarkEnd w:id="4"/>
      <w:bookmarkStart w:id="5" w:name="_Toc121941204"/>
      <w:bookmarkStart w:id="6" w:name="_Toc120129827"/>
      <w:r>
        <w:rPr>
          <w:rFonts w:hint="eastAsia" w:ascii="黑体" w:hAnsi="黑体" w:cs="Times New Roman"/>
          <w:b w:val="0"/>
          <w:szCs w:val="32"/>
          <w:highlight w:val="none"/>
        </w:rPr>
        <w:t>信用风险管理职责</w:t>
      </w:r>
      <w:bookmarkEnd w:id="5"/>
      <w:bookmarkEnd w:id="6"/>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七</w:t>
      </w:r>
      <w:r>
        <w:rPr>
          <w:rFonts w:hint="eastAsia" w:ascii="仿宋" w:hAnsi="仿宋"/>
          <w:b/>
          <w:szCs w:val="32"/>
          <w:highlight w:val="none"/>
        </w:rPr>
        <w:t>条</w:t>
      </w:r>
      <w:r>
        <w:rPr>
          <w:rFonts w:ascii="仿宋" w:hAnsi="仿宋"/>
          <w:b/>
          <w:szCs w:val="32"/>
          <w:highlight w:val="none"/>
        </w:rPr>
        <w:t xml:space="preserve"> </w:t>
      </w:r>
      <w:r>
        <w:rPr>
          <w:rFonts w:hint="eastAsia" w:ascii="仿宋" w:hAnsi="仿宋"/>
          <w:szCs w:val="32"/>
          <w:highlight w:val="none"/>
        </w:rPr>
        <w:t>特定原始权益人、管理人及其相关人员应当在信用风险管理中发挥核心作用。</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八</w:t>
      </w:r>
      <w:r>
        <w:rPr>
          <w:rFonts w:hint="eastAsia" w:ascii="仿宋" w:hAnsi="仿宋"/>
          <w:b/>
          <w:szCs w:val="32"/>
          <w:highlight w:val="none"/>
        </w:rPr>
        <w:t>条</w:t>
      </w:r>
      <w:r>
        <w:rPr>
          <w:rFonts w:ascii="仿宋" w:hAnsi="仿宋"/>
          <w:b/>
          <w:szCs w:val="32"/>
          <w:highlight w:val="none"/>
        </w:rPr>
        <w:t xml:space="preserve"> </w:t>
      </w:r>
      <w:r>
        <w:rPr>
          <w:rFonts w:hint="eastAsia" w:ascii="仿宋" w:hAnsi="仿宋"/>
          <w:szCs w:val="32"/>
          <w:highlight w:val="none"/>
        </w:rPr>
        <w:t>原始权益人应当在资产支持证券信用风险管理中履行下列职责：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（一）确保基础资产真实、合法、有效；</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（二）按照规定</w:t>
      </w:r>
      <w:r>
        <w:rPr>
          <w:rFonts w:hint="eastAsia" w:ascii="仿宋" w:hAnsi="仿宋"/>
          <w:szCs w:val="32"/>
          <w:highlight w:val="none"/>
          <w:lang w:eastAsia="zh-CN"/>
        </w:rPr>
        <w:t>和</w:t>
      </w:r>
      <w:r>
        <w:rPr>
          <w:rFonts w:hint="eastAsia" w:ascii="仿宋" w:hAnsi="仿宋"/>
          <w:szCs w:val="32"/>
          <w:highlight w:val="none"/>
        </w:rPr>
        <w:t>约定转移基础资产，确保转移给专项计划的基础资产及其产生的现金流与原始权益人固有财产不存在混同，不得以任何方式侵占、损害专项计划资产；</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（三）出现基础资产未能按照规定或者约定转移至专项计划、已转移基础资产及其产生的现金流可能或者已经与原始权益人固有财产发生混同等情形的，积极采取有效应对措施并及时告知管理人；</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（四）配合管理人等信用风险管理业务参与人开展信用风险管理工作；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（五）法律法规、本所业务规则等规定和专项计划说明书等</w:t>
      </w:r>
      <w:r>
        <w:rPr>
          <w:rFonts w:hint="eastAsia" w:ascii="仿宋" w:hAnsi="仿宋"/>
          <w:szCs w:val="32"/>
          <w:highlight w:val="none"/>
          <w:lang w:eastAsia="zh-CN"/>
        </w:rPr>
        <w:t>文件</w:t>
      </w:r>
      <w:r>
        <w:rPr>
          <w:rFonts w:hint="eastAsia" w:ascii="仿宋" w:hAnsi="仿宋"/>
          <w:szCs w:val="32"/>
          <w:highlight w:val="none"/>
        </w:rPr>
        <w:t>约定的其他职责。</w:t>
      </w:r>
    </w:p>
    <w:p>
      <w:pPr>
        <w:adjustRightInd w:val="0"/>
        <w:snapToGrid w:val="0"/>
        <w:spacing w:line="560" w:lineRule="exact"/>
        <w:ind w:firstLine="640"/>
        <w:rPr>
          <w:rFonts w:hint="eastAsia" w:ascii="仿宋" w:hAnsi="仿宋"/>
          <w:szCs w:val="32"/>
          <w:highlight w:val="none"/>
        </w:rPr>
      </w:pPr>
      <w:r>
        <w:rPr>
          <w:rFonts w:hint="eastAsia" w:ascii="仿宋" w:hAnsi="仿宋"/>
          <w:szCs w:val="32"/>
          <w:highlight w:val="none"/>
          <w:lang w:eastAsia="zh-CN"/>
        </w:rPr>
        <w:t>特定原始权益人应当维持正常的生产经营活动，维护自身生产经营、现金流和信用水平的稳定，加强负债、资金和现金流管理，为基础资产产生预期现金流提供必要的保障。基础资产发生重大不利变化的，特定原始权益人应当及时告知管理人</w:t>
      </w:r>
      <w:r>
        <w:rPr>
          <w:rFonts w:hint="eastAsia" w:ascii="仿宋" w:hAnsi="仿宋"/>
          <w:szCs w:val="32"/>
          <w:highlight w:val="none"/>
        </w:rPr>
        <w:t>。</w:t>
      </w:r>
    </w:p>
    <w:p>
      <w:pPr>
        <w:adjustRightInd/>
        <w:snapToGrid/>
        <w:spacing w:line="560" w:lineRule="exact"/>
        <w:ind w:firstLine="643"/>
        <w:rPr>
          <w:rFonts w:hint="eastAsia" w:ascii="仿宋" w:hAnsi="仿宋"/>
          <w:szCs w:val="32"/>
          <w:highlight w:val="none"/>
        </w:rPr>
      </w:pPr>
      <w:r>
        <w:rPr>
          <w:rFonts w:hint="eastAsia" w:ascii="仿宋" w:hAnsi="仿宋"/>
          <w:b/>
          <w:bCs/>
          <w:szCs w:val="32"/>
          <w:highlight w:val="none"/>
        </w:rPr>
        <w:t>第</w:t>
      </w:r>
      <w:r>
        <w:rPr>
          <w:rFonts w:hint="eastAsia" w:ascii="仿宋" w:hAnsi="仿宋"/>
          <w:b/>
          <w:bCs/>
          <w:szCs w:val="32"/>
          <w:highlight w:val="none"/>
          <w:lang w:eastAsia="zh-CN"/>
        </w:rPr>
        <w:t>九</w:t>
      </w:r>
      <w:r>
        <w:rPr>
          <w:rFonts w:hint="eastAsia" w:ascii="仿宋" w:hAnsi="仿宋"/>
          <w:b/>
          <w:bCs/>
          <w:szCs w:val="32"/>
          <w:highlight w:val="none"/>
        </w:rPr>
        <w:t>条</w:t>
      </w:r>
      <w:r>
        <w:rPr>
          <w:rFonts w:hint="eastAsia" w:ascii="仿宋" w:hAnsi="仿宋"/>
          <w:szCs w:val="32"/>
          <w:highlight w:val="none"/>
        </w:rPr>
        <w:t xml:space="preserve"> </w:t>
      </w:r>
      <w:r>
        <w:rPr>
          <w:rFonts w:hint="eastAsia" w:ascii="仿宋" w:hAnsi="仿宋" w:eastAsia="仿宋" w:cs="仿宋"/>
          <w:sz w:val="32"/>
          <w:szCs w:val="32"/>
          <w:highlight w:val="none"/>
        </w:rPr>
        <w:t>特定原始权益人的控股股东、实际控制人、董事、监事、高级管理人员或者履行同等职责的人员应当诚实守信，按照</w:t>
      </w:r>
      <w:r>
        <w:rPr>
          <w:rFonts w:hint="eastAsia" w:ascii="仿宋" w:hAnsi="仿宋" w:eastAsia="仿宋" w:cs="仿宋"/>
          <w:sz w:val="32"/>
          <w:szCs w:val="32"/>
          <w:highlight w:val="none"/>
          <w:lang w:eastAsia="zh-CN"/>
        </w:rPr>
        <w:t>规定和</w:t>
      </w:r>
      <w:r>
        <w:rPr>
          <w:rFonts w:hint="eastAsia" w:ascii="仿宋" w:hAnsi="仿宋" w:eastAsia="仿宋" w:cs="仿宋"/>
          <w:sz w:val="32"/>
          <w:szCs w:val="32"/>
          <w:highlight w:val="none"/>
        </w:rPr>
        <w:t>约定行使权利，严格履行所作出的各项承诺，督促特定原始权益人履行规定、约定和承诺的各项义务，切实维护投资者权益。</w:t>
      </w:r>
    </w:p>
    <w:p>
      <w:pPr>
        <w:adjustRightInd w:val="0"/>
        <w:snapToGrid w:val="0"/>
        <w:spacing w:line="560" w:lineRule="exact"/>
        <w:ind w:firstLine="640"/>
        <w:rPr>
          <w:rFonts w:hint="eastAsia" w:ascii="仿宋" w:hAnsi="仿宋"/>
          <w:szCs w:val="32"/>
          <w:highlight w:val="none"/>
        </w:rPr>
      </w:pPr>
      <w:r>
        <w:rPr>
          <w:rFonts w:hint="eastAsia" w:ascii="仿宋" w:hAnsi="仿宋"/>
          <w:b/>
          <w:bCs/>
          <w:szCs w:val="32"/>
          <w:highlight w:val="none"/>
          <w:lang w:eastAsia="zh-CN"/>
        </w:rPr>
        <w:t>第十条</w:t>
      </w:r>
      <w:r>
        <w:rPr>
          <w:rFonts w:hint="eastAsia" w:ascii="仿宋" w:hAnsi="仿宋"/>
          <w:szCs w:val="32"/>
          <w:highlight w:val="none"/>
          <w:lang w:val="en-US" w:eastAsia="zh-CN"/>
        </w:rPr>
        <w:t xml:space="preserve"> </w:t>
      </w:r>
      <w:r>
        <w:rPr>
          <w:rFonts w:hint="eastAsia" w:ascii="仿宋" w:hAnsi="仿宋"/>
          <w:szCs w:val="32"/>
          <w:highlight w:val="none"/>
        </w:rPr>
        <w:t>特定原始权益人的董事、监事、高级管理人员或者履行同等职责的人员应当积极配合管理人等信用风险管理业务参与人履行信用风险管理职责，及时告知可能影响偿付能力、</w:t>
      </w:r>
      <w:r>
        <w:rPr>
          <w:rFonts w:hint="eastAsia" w:ascii="仿宋" w:hAnsi="仿宋"/>
          <w:szCs w:val="32"/>
          <w:highlight w:val="none"/>
          <w:lang w:eastAsia="zh-CN"/>
        </w:rPr>
        <w:t>资产支持证券</w:t>
      </w:r>
      <w:r>
        <w:rPr>
          <w:rFonts w:hint="eastAsia" w:ascii="仿宋" w:hAnsi="仿宋"/>
          <w:szCs w:val="32"/>
          <w:highlight w:val="none"/>
        </w:rPr>
        <w:t>交易价格或者投资者合法权益的重大事项，保证提供的相关文件、资料和信息真实、准确、完整，保护投资者合法权益。</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十一</w:t>
      </w:r>
      <w:r>
        <w:rPr>
          <w:rFonts w:hint="eastAsia" w:ascii="仿宋" w:hAnsi="仿宋"/>
          <w:b/>
          <w:szCs w:val="32"/>
          <w:highlight w:val="none"/>
        </w:rPr>
        <w:t>条</w:t>
      </w:r>
      <w:r>
        <w:rPr>
          <w:rFonts w:hint="eastAsia" w:ascii="仿宋" w:hAnsi="仿宋"/>
          <w:szCs w:val="32"/>
          <w:highlight w:val="none"/>
        </w:rPr>
        <w:t xml:space="preserve"> 增信机构应当关注所增信资产支持证券的信用风险情况，在资产支持证券信用风险管理中履行下列义务：</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（一）及时告知管理人可能影响自身代偿能力、</w:t>
      </w:r>
      <w:r>
        <w:rPr>
          <w:rFonts w:hint="eastAsia" w:ascii="仿宋" w:hAnsi="仿宋"/>
          <w:szCs w:val="32"/>
          <w:highlight w:val="none"/>
          <w:lang w:eastAsia="zh-CN"/>
        </w:rPr>
        <w:t>资产支持证券</w:t>
      </w:r>
      <w:r>
        <w:rPr>
          <w:rFonts w:hint="eastAsia" w:ascii="仿宋" w:hAnsi="仿宋"/>
          <w:szCs w:val="32"/>
          <w:highlight w:val="none"/>
        </w:rPr>
        <w:t>增信措施有效性、</w:t>
      </w:r>
      <w:r>
        <w:rPr>
          <w:rFonts w:hint="eastAsia" w:ascii="仿宋" w:hAnsi="仿宋"/>
          <w:szCs w:val="32"/>
          <w:highlight w:val="none"/>
          <w:lang w:eastAsia="zh-CN"/>
        </w:rPr>
        <w:t>资产支持证券</w:t>
      </w:r>
      <w:r>
        <w:rPr>
          <w:rFonts w:hint="eastAsia" w:ascii="仿宋" w:hAnsi="仿宋"/>
          <w:szCs w:val="32"/>
          <w:highlight w:val="none"/>
        </w:rPr>
        <w:t>交易价格或者投资者合法权益的重大事项；</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（二）按照规定和约定对预期或者实际违约的资产支持证券及时承担增信责任，不得无故拖延或者拒绝；</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（三）配合管理人等信用风险管理业务参与人开展信用风险管理工作；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（四）法律法规、本所业务规则等规定和增信协议等协议约定的其他义务。</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十二</w:t>
      </w:r>
      <w:r>
        <w:rPr>
          <w:rFonts w:hint="eastAsia" w:ascii="仿宋" w:hAnsi="仿宋"/>
          <w:b/>
          <w:szCs w:val="32"/>
          <w:highlight w:val="none"/>
        </w:rPr>
        <w:t>条</w:t>
      </w:r>
      <w:r>
        <w:rPr>
          <w:rFonts w:hint="eastAsia" w:ascii="仿宋" w:hAnsi="仿宋"/>
          <w:szCs w:val="32"/>
          <w:highlight w:val="none"/>
        </w:rPr>
        <w:t xml:space="preserve"> 管理人应当在资产支持证券信用风险管理中履行下列职责：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（一）管理、运用、处分专项计划资产，向资产支持证券持有人分配收益（含按照约定支付资产支持证券本金和收益、其他权利行权资金等，下同）；</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（二）按照规定</w:t>
      </w:r>
      <w:r>
        <w:rPr>
          <w:rFonts w:hint="eastAsia" w:ascii="仿宋" w:hAnsi="仿宋"/>
          <w:szCs w:val="32"/>
          <w:highlight w:val="none"/>
          <w:lang w:eastAsia="zh-CN"/>
        </w:rPr>
        <w:t>和</w:t>
      </w:r>
      <w:r>
        <w:rPr>
          <w:rFonts w:hint="eastAsia" w:ascii="仿宋" w:hAnsi="仿宋"/>
          <w:szCs w:val="32"/>
          <w:highlight w:val="none"/>
        </w:rPr>
        <w:t>约定落实现金流归集、不合格基础资产赎回或者替换等维护专项计划资产安全的机制；</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（三）督促原始权益人、增信机构、资产服务机构等信用风险管理业务参与人履行规定或者约定的义务；</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（四）持续动态监测基础资产质量变化情况，以及特定原始权益人、重要现金流提供方、增信机构的信用风险变化情况，跟踪基础资产现金流产生、归集和划转情况，进行风险分类管理；</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（五）协助、督导特定原始权益人主动管理信用风险；</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（六）履行信息披露义务；</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（七）督促、协调原始权益人、增信机构、资产服务机构等信用风险管理业务参与人采取信用风险化解处置措施，履行规定和约定的信用风险管理义务；</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（八）</w:t>
      </w:r>
      <w:r>
        <w:rPr>
          <w:rFonts w:hint="eastAsia" w:ascii="仿宋" w:hAnsi="仿宋"/>
          <w:highlight w:val="none"/>
        </w:rPr>
        <w:t>沟通、协调</w:t>
      </w:r>
      <w:r>
        <w:rPr>
          <w:rFonts w:hint="eastAsia" w:ascii="仿宋" w:hAnsi="仿宋"/>
          <w:szCs w:val="32"/>
          <w:highlight w:val="none"/>
        </w:rPr>
        <w:t>资产支持证券持有人，按照规定和约定召集持有人会议；</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（九）开展专项计划终止清算，并披露清算报告；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（十）根据相关规定、约定或者资产支持证券持有人委托，代表</w:t>
      </w:r>
      <w:r>
        <w:rPr>
          <w:rFonts w:hint="eastAsia" w:ascii="仿宋" w:hAnsi="仿宋"/>
          <w:szCs w:val="32"/>
          <w:highlight w:val="none"/>
          <w:lang w:eastAsia="zh-CN"/>
        </w:rPr>
        <w:t>资产支持证券</w:t>
      </w:r>
      <w:r>
        <w:rPr>
          <w:rFonts w:hint="eastAsia" w:ascii="仿宋" w:hAnsi="仿宋"/>
          <w:szCs w:val="32"/>
          <w:highlight w:val="none"/>
        </w:rPr>
        <w:t>持有人维护</w:t>
      </w:r>
      <w:r>
        <w:rPr>
          <w:rFonts w:hint="eastAsia" w:ascii="仿宋" w:hAnsi="仿宋"/>
          <w:szCs w:val="32"/>
          <w:highlight w:val="none"/>
          <w:lang w:eastAsia="zh-CN"/>
        </w:rPr>
        <w:t>其</w:t>
      </w:r>
      <w:r>
        <w:rPr>
          <w:rFonts w:hint="eastAsia" w:ascii="仿宋" w:hAnsi="仿宋"/>
          <w:szCs w:val="32"/>
          <w:highlight w:val="none"/>
        </w:rPr>
        <w:t>合法权益；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（十一）接受托管人监督，配合托管人办理托管业务；</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（十二）法律法规、本所业务规则等规定和协议等约定的其他职责。</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三</w:t>
      </w:r>
      <w:r>
        <w:rPr>
          <w:rFonts w:hint="eastAsia" w:ascii="仿宋" w:hAnsi="仿宋"/>
          <w:b/>
          <w:szCs w:val="32"/>
          <w:highlight w:val="none"/>
        </w:rPr>
        <w:t>条</w:t>
      </w:r>
      <w:r>
        <w:rPr>
          <w:rFonts w:hint="eastAsia" w:ascii="仿宋" w:hAnsi="仿宋"/>
          <w:szCs w:val="32"/>
          <w:highlight w:val="none"/>
        </w:rPr>
        <w:t xml:space="preserve"> 管理人应当</w:t>
      </w:r>
      <w:r>
        <w:rPr>
          <w:rFonts w:hint="eastAsia" w:ascii="仿宋" w:hAnsi="仿宋"/>
          <w:highlight w:val="none"/>
        </w:rPr>
        <w:t>建立健全</w:t>
      </w:r>
      <w:r>
        <w:rPr>
          <w:rFonts w:hint="eastAsia" w:ascii="仿宋" w:hAnsi="仿宋"/>
          <w:szCs w:val="32"/>
          <w:highlight w:val="none"/>
        </w:rPr>
        <w:t>资产支持证券信用风险管理制度，完善信用风险管理业务流程，设立专门机构或者岗位</w:t>
      </w:r>
      <w:r>
        <w:rPr>
          <w:rFonts w:hint="eastAsia" w:ascii="仿宋" w:hAnsi="仿宋"/>
          <w:szCs w:val="32"/>
          <w:highlight w:val="none"/>
          <w:lang w:eastAsia="zh-CN"/>
        </w:rPr>
        <w:t>负责</w:t>
      </w:r>
      <w:r>
        <w:rPr>
          <w:rFonts w:hint="eastAsia" w:ascii="仿宋" w:hAnsi="仿宋"/>
          <w:szCs w:val="32"/>
          <w:highlight w:val="none"/>
        </w:rPr>
        <w:t>信用风险管理相关工作，配备充足资源和满足履职要求的专业人员，并将信用风险管理工作情况纳入业绩考核</w:t>
      </w:r>
      <w:r>
        <w:rPr>
          <w:rFonts w:hint="eastAsia" w:ascii="仿宋" w:hAnsi="仿宋"/>
          <w:szCs w:val="32"/>
          <w:highlight w:val="none"/>
          <w:lang w:eastAsia="zh-CN"/>
        </w:rPr>
        <w:t>指标</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管理人应当建立关于信用风险管理的集体决策机制，由主要负责人或者分管资产支持证券、风险管理等业务的高级管理人员（以下简称相关高级管理人员）负责，定期分析信用风险管理工作形势，明确工作方向和重点，就管理人认为的信用风险管理履职重要事项做出决策并督促落实。</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四</w:t>
      </w:r>
      <w:r>
        <w:rPr>
          <w:rFonts w:hint="eastAsia" w:ascii="仿宋" w:hAnsi="仿宋"/>
          <w:b/>
          <w:szCs w:val="32"/>
          <w:highlight w:val="none"/>
        </w:rPr>
        <w:t>条</w:t>
      </w:r>
      <w:r>
        <w:rPr>
          <w:rFonts w:hint="eastAsia" w:ascii="仿宋" w:hAnsi="仿宋"/>
          <w:szCs w:val="32"/>
          <w:highlight w:val="none"/>
        </w:rPr>
        <w:t xml:space="preserve"> 资产服务机构应当在资产支持证券信用风险管理中履行下列职责：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（一）基础资产管理、运营、维护职责，监测基础资产质量变化情况；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（二）归集和划转现金流，防范基础资产及其现金流与自身或者相关参与机构固有财产混同，维护专项计划资产安全；</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（三）按照规定</w:t>
      </w:r>
      <w:r>
        <w:rPr>
          <w:rFonts w:hint="eastAsia" w:ascii="仿宋" w:hAnsi="仿宋"/>
          <w:szCs w:val="32"/>
          <w:highlight w:val="none"/>
          <w:lang w:eastAsia="zh-CN"/>
        </w:rPr>
        <w:t>和</w:t>
      </w:r>
      <w:r>
        <w:rPr>
          <w:rFonts w:hint="eastAsia" w:ascii="仿宋" w:hAnsi="仿宋"/>
          <w:szCs w:val="32"/>
          <w:highlight w:val="none"/>
        </w:rPr>
        <w:t>约定落实现金流归集、不合格基础资产赎回或者替换等维护专项计划资产安全的机制；</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（四）配合管理人等信用风险管理业务参与人开展</w:t>
      </w:r>
      <w:r>
        <w:rPr>
          <w:rFonts w:hint="eastAsia" w:ascii="仿宋" w:hAnsi="仿宋"/>
          <w:szCs w:val="32"/>
          <w:highlight w:val="none"/>
          <w:lang w:eastAsia="zh-CN"/>
        </w:rPr>
        <w:t>信用</w:t>
      </w:r>
      <w:r>
        <w:rPr>
          <w:rFonts w:hint="eastAsia" w:ascii="仿宋" w:hAnsi="仿宋"/>
          <w:szCs w:val="32"/>
          <w:highlight w:val="none"/>
        </w:rPr>
        <w:t>风险管理工作，发现影响专项计划资产安全、投资者利益等风险事项及时告知管理人；</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（五）法律法规、本所业务规则等规定和协议约定的其他职责。</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五</w:t>
      </w:r>
      <w:r>
        <w:rPr>
          <w:rFonts w:hint="eastAsia" w:ascii="仿宋" w:hAnsi="仿宋"/>
          <w:b/>
          <w:szCs w:val="32"/>
          <w:highlight w:val="none"/>
        </w:rPr>
        <w:t>条</w:t>
      </w:r>
      <w:r>
        <w:rPr>
          <w:rFonts w:hint="eastAsia" w:ascii="仿宋" w:hAnsi="仿宋"/>
          <w:szCs w:val="32"/>
          <w:highlight w:val="none"/>
        </w:rPr>
        <w:t xml:space="preserve"> 托管人应当在资产支持证券信用风险管理中履行下列职责：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（一）安全保管专项计划资产；</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（二）监督管理人管理、运用、处分专项计划资产的情况，发现管理人的管理指令违反专项计划说明书或者托管协议约定的，应当要求改正；未能改正的，应当拒绝执行并及时向本所和相关监管机构报告；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（三）履行信息披露义务，出具资产托管报告；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（四）配合管理人等信用风险管理业务参与人开展</w:t>
      </w:r>
      <w:r>
        <w:rPr>
          <w:rFonts w:hint="eastAsia" w:ascii="仿宋" w:hAnsi="仿宋"/>
          <w:szCs w:val="32"/>
          <w:highlight w:val="none"/>
          <w:lang w:eastAsia="zh-CN"/>
        </w:rPr>
        <w:t>信用</w:t>
      </w:r>
      <w:r>
        <w:rPr>
          <w:rFonts w:hint="eastAsia" w:ascii="仿宋" w:hAnsi="仿宋"/>
          <w:szCs w:val="32"/>
          <w:highlight w:val="none"/>
        </w:rPr>
        <w:t>风险管理工作；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（五）法律法规、本所业务规则等规定和协议约定的其他职责。</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六</w:t>
      </w:r>
      <w:r>
        <w:rPr>
          <w:rFonts w:hint="eastAsia" w:ascii="仿宋" w:hAnsi="仿宋"/>
          <w:b/>
          <w:szCs w:val="32"/>
          <w:highlight w:val="none"/>
        </w:rPr>
        <w:t>条</w:t>
      </w:r>
      <w:r>
        <w:rPr>
          <w:rFonts w:hint="eastAsia" w:ascii="仿宋" w:hAnsi="仿宋"/>
          <w:szCs w:val="32"/>
          <w:highlight w:val="none"/>
        </w:rPr>
        <w:t xml:space="preserve"> 资信评级机构应当在资产支持证券信用风险管理中履行下列职责：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（一）按照规定和约定开展定期跟踪评级并</w:t>
      </w:r>
      <w:r>
        <w:rPr>
          <w:rFonts w:hint="eastAsia" w:ascii="仿宋" w:hAnsi="仿宋"/>
          <w:szCs w:val="32"/>
          <w:highlight w:val="none"/>
          <w:lang w:eastAsia="zh-CN"/>
        </w:rPr>
        <w:t>披露</w:t>
      </w:r>
      <w:r>
        <w:rPr>
          <w:rFonts w:hint="eastAsia" w:ascii="仿宋" w:hAnsi="仿宋"/>
          <w:szCs w:val="32"/>
          <w:highlight w:val="none"/>
        </w:rPr>
        <w:t>定期跟踪评级结果；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（二）持续</w:t>
      </w:r>
      <w:r>
        <w:rPr>
          <w:rFonts w:hint="eastAsia" w:ascii="仿宋" w:hAnsi="仿宋"/>
          <w:szCs w:val="32"/>
          <w:highlight w:val="none"/>
          <w:lang w:eastAsia="zh-CN"/>
        </w:rPr>
        <w:t>关注</w:t>
      </w:r>
      <w:r>
        <w:rPr>
          <w:rFonts w:hint="eastAsia" w:ascii="仿宋" w:hAnsi="仿宋"/>
          <w:szCs w:val="32"/>
          <w:highlight w:val="none"/>
        </w:rPr>
        <w:t>所评级资产支持证券的资信状况，及时开展不定期跟踪评级并</w:t>
      </w:r>
      <w:r>
        <w:rPr>
          <w:rFonts w:hint="eastAsia" w:ascii="仿宋" w:hAnsi="仿宋"/>
          <w:szCs w:val="32"/>
          <w:highlight w:val="none"/>
          <w:lang w:eastAsia="zh-CN"/>
        </w:rPr>
        <w:t>披露</w:t>
      </w:r>
      <w:r>
        <w:rPr>
          <w:rFonts w:hint="eastAsia" w:ascii="仿宋" w:hAnsi="仿宋"/>
          <w:szCs w:val="32"/>
          <w:highlight w:val="none"/>
        </w:rPr>
        <w:t>不定期跟踪评级结果；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（三）配合管理人等信用风险管理业务参与人开展信用风险管理工作；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（四）法律法规、本所业务规则等规定和协议约定的其他职责。</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七</w:t>
      </w:r>
      <w:r>
        <w:rPr>
          <w:rFonts w:hint="eastAsia" w:ascii="仿宋" w:hAnsi="仿宋"/>
          <w:b/>
          <w:szCs w:val="32"/>
          <w:highlight w:val="none"/>
        </w:rPr>
        <w:t>条</w:t>
      </w:r>
      <w:r>
        <w:rPr>
          <w:rFonts w:hint="eastAsia" w:ascii="仿宋" w:hAnsi="仿宋"/>
          <w:szCs w:val="32"/>
          <w:highlight w:val="none"/>
        </w:rPr>
        <w:t xml:space="preserve"> 会计师事务所、律师事务所、资产评估机构等应当按照规定和约定履行</w:t>
      </w:r>
      <w:r>
        <w:rPr>
          <w:rFonts w:hint="eastAsia" w:ascii="仿宋" w:hAnsi="仿宋"/>
          <w:szCs w:val="32"/>
          <w:highlight w:val="none"/>
          <w:lang w:eastAsia="zh-CN"/>
        </w:rPr>
        <w:t>自身</w:t>
      </w:r>
      <w:r>
        <w:rPr>
          <w:rFonts w:hint="eastAsia" w:ascii="仿宋" w:hAnsi="仿宋"/>
          <w:szCs w:val="32"/>
          <w:highlight w:val="none"/>
        </w:rPr>
        <w:t>职责，配合管理人等信用风险管理业务参与人开展信用风险管理工作。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管理人为履行信用风险管理职责，需要约定重要现金流提供方履行配合提供信息、主动管理风险等义务的，应当通过协议或者</w:t>
      </w:r>
      <w:r>
        <w:rPr>
          <w:rFonts w:hint="eastAsia" w:ascii="仿宋" w:hAnsi="仿宋"/>
          <w:szCs w:val="32"/>
          <w:highlight w:val="none"/>
          <w:lang w:eastAsia="zh-CN"/>
        </w:rPr>
        <w:t>其他相关文件</w:t>
      </w:r>
      <w:r>
        <w:rPr>
          <w:rFonts w:hint="eastAsia" w:ascii="仿宋" w:hAnsi="仿宋"/>
          <w:szCs w:val="32"/>
          <w:highlight w:val="none"/>
        </w:rPr>
        <w:t>加以约定。</w:t>
      </w:r>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bookmarkStart w:id="7" w:name="_Toc121941205"/>
      <w:bookmarkStart w:id="8" w:name="_Toc120129828"/>
      <w:r>
        <w:rPr>
          <w:rFonts w:hint="eastAsia" w:ascii="黑体" w:hAnsi="黑体" w:cs="Times New Roman"/>
          <w:b w:val="0"/>
          <w:szCs w:val="32"/>
          <w:highlight w:val="none"/>
        </w:rPr>
        <w:t>信用风险监测与预警</w:t>
      </w:r>
      <w:bookmarkEnd w:id="7"/>
      <w:bookmarkEnd w:id="8"/>
    </w:p>
    <w:p>
      <w:pPr>
        <w:pStyle w:val="3"/>
        <w:ind w:firstLine="0" w:firstLineChars="0"/>
        <w:jc w:val="center"/>
        <w:rPr>
          <w:highlight w:val="none"/>
        </w:rPr>
      </w:pPr>
      <w:bookmarkStart w:id="9" w:name="_Toc121941206"/>
      <w:bookmarkStart w:id="10" w:name="_Toc120129829"/>
      <w:r>
        <w:rPr>
          <w:rFonts w:hint="eastAsia" w:ascii="楷体" w:hAnsi="楷体" w:eastAsia="楷体"/>
          <w:b w:val="0"/>
          <w:highlight w:val="none"/>
        </w:rPr>
        <w:t>第一节 信用风险监测</w:t>
      </w:r>
      <w:bookmarkEnd w:id="9"/>
      <w:bookmarkEnd w:id="10"/>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八</w:t>
      </w:r>
      <w:r>
        <w:rPr>
          <w:rFonts w:hint="eastAsia" w:ascii="仿宋" w:hAnsi="仿宋"/>
          <w:b/>
          <w:szCs w:val="32"/>
          <w:highlight w:val="none"/>
        </w:rPr>
        <w:t>条</w:t>
      </w:r>
      <w:r>
        <w:rPr>
          <w:rFonts w:hint="eastAsia" w:ascii="仿宋" w:hAnsi="仿宋"/>
          <w:szCs w:val="32"/>
          <w:highlight w:val="none"/>
        </w:rPr>
        <w:t xml:space="preserve"> 管理人应当每季度分析资产支持证券市场信用风险形势和所管理资产支持证券及其特定原始权益人、重要现金流提供方、增信机构等负有偿付义务主体的信用风险情况，确定信用风险管理重点，安排相关信用风险管理工作。</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第十</w:t>
      </w:r>
      <w:r>
        <w:rPr>
          <w:rFonts w:hint="eastAsia" w:ascii="仿宋" w:hAnsi="仿宋"/>
          <w:b/>
          <w:szCs w:val="32"/>
          <w:highlight w:val="none"/>
          <w:lang w:eastAsia="zh-CN"/>
        </w:rPr>
        <w:t>九</w:t>
      </w:r>
      <w:r>
        <w:rPr>
          <w:rFonts w:hint="eastAsia" w:ascii="仿宋" w:hAnsi="仿宋"/>
          <w:b/>
          <w:szCs w:val="32"/>
          <w:highlight w:val="none"/>
        </w:rPr>
        <w:t>条</w:t>
      </w:r>
      <w:r>
        <w:rPr>
          <w:rFonts w:hint="eastAsia" w:ascii="仿宋" w:hAnsi="仿宋"/>
          <w:szCs w:val="32"/>
          <w:highlight w:val="none"/>
        </w:rPr>
        <w:t xml:space="preserve"> 管理人应当持续关注下列事项，结合基础资产类型、交易结构安排、收益分配时间、投资者保护条款等因素，分析专项计划的资信状况：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（一）基础资产类型、特征、权属、担保负担及其他权利限制以及质量变化情况；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（二）基础资产现金流归集、划转以及预计基础资产产生现金流能力的变化情况；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（三）资产服务机构提供基础资产管理服务的相关业务资质、风险控制措施有效性；</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（四）专项计划交易结构各环节实施情况、风险控制措施的</w:t>
      </w:r>
      <w:r>
        <w:rPr>
          <w:rFonts w:hint="eastAsia" w:ascii="仿宋" w:hAnsi="仿宋"/>
          <w:highlight w:val="none"/>
        </w:rPr>
        <w:t>落实情况</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（五）可能影响资产支持证券资信状况的其他事项。</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管理人应当持续关注特定原始权益人、重要现金流提供方、增信机构及其所属企业集团的行业情况、经营状况、财务状况、公司治理情况、市场表现情况和增信措施有效性的变化情况，分析</w:t>
      </w:r>
      <w:r>
        <w:rPr>
          <w:rFonts w:hint="eastAsia" w:ascii="仿宋" w:hAnsi="仿宋"/>
          <w:szCs w:val="32"/>
          <w:highlight w:val="none"/>
          <w:lang w:eastAsia="zh-CN"/>
        </w:rPr>
        <w:t>相关情况</w:t>
      </w:r>
      <w:r>
        <w:rPr>
          <w:rFonts w:hint="eastAsia" w:ascii="仿宋" w:hAnsi="仿宋"/>
          <w:szCs w:val="32"/>
          <w:highlight w:val="none"/>
        </w:rPr>
        <w:t>对</w:t>
      </w:r>
      <w:r>
        <w:rPr>
          <w:rFonts w:hint="eastAsia" w:ascii="仿宋" w:hAnsi="仿宋"/>
          <w:szCs w:val="32"/>
          <w:highlight w:val="none"/>
          <w:lang w:eastAsia="zh-CN"/>
        </w:rPr>
        <w:t>资产支持证券按照约定分配收益可能产生</w:t>
      </w:r>
      <w:r>
        <w:rPr>
          <w:rFonts w:hint="eastAsia" w:ascii="仿宋" w:hAnsi="仿宋"/>
          <w:szCs w:val="32"/>
          <w:highlight w:val="none"/>
        </w:rPr>
        <w:t>的影响。</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二十</w:t>
      </w:r>
      <w:r>
        <w:rPr>
          <w:rFonts w:hint="eastAsia" w:ascii="仿宋" w:hAnsi="仿宋"/>
          <w:b/>
          <w:szCs w:val="32"/>
          <w:highlight w:val="none"/>
        </w:rPr>
        <w:t>条</w:t>
      </w:r>
      <w:r>
        <w:rPr>
          <w:rFonts w:hint="eastAsia" w:ascii="仿宋" w:hAnsi="仿宋"/>
          <w:szCs w:val="32"/>
          <w:highlight w:val="none"/>
        </w:rPr>
        <w:t xml:space="preserve"> 管理人应当通过日常主动</w:t>
      </w:r>
      <w:r>
        <w:rPr>
          <w:rFonts w:hint="eastAsia" w:ascii="仿宋" w:hAnsi="仿宋"/>
          <w:szCs w:val="32"/>
          <w:highlight w:val="none"/>
          <w:lang w:eastAsia="zh-CN"/>
        </w:rPr>
        <w:t>开展风险排查</w:t>
      </w:r>
      <w:r>
        <w:rPr>
          <w:rFonts w:hint="eastAsia" w:ascii="仿宋" w:hAnsi="仿宋"/>
          <w:szCs w:val="32"/>
          <w:highlight w:val="none"/>
        </w:rPr>
        <w:t>、查阅公开信息、监测二级市场交易情况、关注舆情动态等多种方式和渠道，</w:t>
      </w:r>
      <w:r>
        <w:rPr>
          <w:rFonts w:hint="eastAsia" w:ascii="仿宋" w:hAnsi="仿宋"/>
          <w:highlight w:val="none"/>
        </w:rPr>
        <w:t>持续</w:t>
      </w:r>
      <w:r>
        <w:rPr>
          <w:rFonts w:hint="eastAsia" w:ascii="仿宋" w:hAnsi="仿宋"/>
          <w:szCs w:val="32"/>
          <w:highlight w:val="none"/>
        </w:rPr>
        <w:t>收集可能影响资产支持证券信用风险的信息，及时、准确掌握资产支持证券信用风险的变化情况。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lang w:eastAsia="zh-CN"/>
        </w:rPr>
        <w:t>本所</w:t>
      </w:r>
      <w:r>
        <w:rPr>
          <w:rFonts w:hint="eastAsia" w:ascii="仿宋" w:hAnsi="仿宋"/>
          <w:szCs w:val="32"/>
          <w:highlight w:val="none"/>
        </w:rPr>
        <w:t>鼓励管理人结合所管理资产支持证券及其融资主体的风险特征，建立信用风险监测指标体系或者模型，运用技术手段持续动态监测资产支持证券的信用风险。</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管理人可以聘请外部专业机构协助其开展信用风险监测工作，但是不能免除其自身应当承担的信用风险管理责任。</w:t>
      </w:r>
    </w:p>
    <w:p>
      <w:pPr>
        <w:pStyle w:val="3"/>
        <w:ind w:firstLine="0" w:firstLineChars="0"/>
        <w:jc w:val="center"/>
        <w:rPr>
          <w:rFonts w:ascii="楷体" w:hAnsi="楷体" w:eastAsia="楷体"/>
          <w:b w:val="0"/>
          <w:highlight w:val="none"/>
        </w:rPr>
      </w:pPr>
      <w:bookmarkStart w:id="11" w:name="_Toc121941207"/>
      <w:bookmarkStart w:id="12" w:name="_Toc120129830"/>
      <w:r>
        <w:rPr>
          <w:rFonts w:hint="eastAsia" w:ascii="楷体" w:hAnsi="楷体" w:eastAsia="楷体"/>
          <w:b w:val="0"/>
          <w:highlight w:val="none"/>
        </w:rPr>
        <w:t>第二节 信用风险分类</w:t>
      </w:r>
      <w:bookmarkEnd w:id="11"/>
      <w:bookmarkEnd w:id="12"/>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二十一</w:t>
      </w:r>
      <w:r>
        <w:rPr>
          <w:rFonts w:hint="eastAsia" w:ascii="仿宋" w:hAnsi="仿宋"/>
          <w:b/>
          <w:szCs w:val="32"/>
          <w:highlight w:val="none"/>
        </w:rPr>
        <w:t>条</w:t>
      </w:r>
      <w:r>
        <w:rPr>
          <w:rFonts w:ascii="仿宋" w:hAnsi="仿宋"/>
          <w:b/>
          <w:szCs w:val="32"/>
          <w:highlight w:val="none"/>
        </w:rPr>
        <w:t xml:space="preserve"> </w:t>
      </w:r>
      <w:r>
        <w:rPr>
          <w:rFonts w:hint="eastAsia" w:ascii="仿宋" w:hAnsi="仿宋"/>
          <w:szCs w:val="32"/>
          <w:highlight w:val="none"/>
        </w:rPr>
        <w:t>管理人应当根据资产支持证券的信用风险程度，将所管理资产支持证券划分为正常类、一般关注类、重点关注类、风险类和违约类，实施差异化的风险监测、排查、化解和处置安排，并在内部制度流程中予以明确。</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本所可以根据日常监管情况和信用风险管理需要，要求管理人调整资产支持证券的信用风险分类，并提出相应信用风险管理工作要求。</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二</w:t>
      </w:r>
      <w:r>
        <w:rPr>
          <w:rFonts w:hint="eastAsia" w:ascii="仿宋" w:hAnsi="仿宋"/>
          <w:b/>
          <w:szCs w:val="32"/>
          <w:highlight w:val="none"/>
        </w:rPr>
        <w:t>条</w:t>
      </w:r>
      <w:r>
        <w:rPr>
          <w:rFonts w:hint="eastAsia" w:ascii="仿宋" w:hAnsi="仿宋"/>
          <w:szCs w:val="32"/>
          <w:highlight w:val="none"/>
        </w:rPr>
        <w:t xml:space="preserve"> </w:t>
      </w:r>
      <w:r>
        <w:rPr>
          <w:rFonts w:hint="eastAsia" w:ascii="仿宋" w:hAnsi="仿宋"/>
          <w:szCs w:val="32"/>
          <w:highlight w:val="none"/>
          <w:lang w:eastAsia="zh-CN"/>
        </w:rPr>
        <w:t>本指引所称</w:t>
      </w:r>
      <w:r>
        <w:rPr>
          <w:rFonts w:hint="eastAsia" w:ascii="仿宋" w:hAnsi="仿宋"/>
          <w:szCs w:val="32"/>
          <w:highlight w:val="none"/>
        </w:rPr>
        <w:t>一般关注类资产支持证券</w:t>
      </w:r>
      <w:r>
        <w:rPr>
          <w:rFonts w:hint="eastAsia" w:ascii="仿宋" w:hAnsi="仿宋"/>
          <w:szCs w:val="32"/>
          <w:highlight w:val="none"/>
          <w:lang w:eastAsia="zh-CN"/>
        </w:rPr>
        <w:t>，</w:t>
      </w:r>
      <w:r>
        <w:rPr>
          <w:rFonts w:hint="eastAsia" w:ascii="仿宋" w:hAnsi="仿宋"/>
          <w:szCs w:val="32"/>
          <w:highlight w:val="none"/>
        </w:rPr>
        <w:t>是指基础资产质量、产生现金流能力、交易结构有效性或者增信措施有效性中一项或者多项已经或者正在发生不利变化，可能对资产支持证券按照约定分配收益产生实质影响，需要持续关注信用风险是否进一步增大的资产支持证券。</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发生下列情形之一的，管理人可以将相关资产支持证券列为一般关注类：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（一）基础资产和其他相关资产因政策变化、质量变化、涉及法律纠纷等，产生的现金流可能不足以按照约定分配收益；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（二）基础资产现金流归集等账户被冻结或者限制使用，可能影响按照约定分配收益；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（三）专项计划交易结构安排的现金流归集、不合格基础资产赎回或者替换、权利完善等维护专项计划资产安全的机制未能有效实施或者不足以防范风险；</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（四）原始权益人、资产服务机构、托管人等信用风险管理业务参与人发生重大变化或者不履行规定或者约定的职责、义务，可能影响专项计划资产安全或者投资者利益；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特定原始权益人、重要现金流提供方以及前述主体的控股股东、实际控制人或者与其处于同一控制下的其他重要关联主体出现行业环境、生产经营情况、组织架构、财务情况等方面的不利变化，可能影响专项计划资产安全或者现金流稳定归集；</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（六）增信机构出现行业环境、生产经营情况、组织架构、财务情况等方面的不利变化，可能对其代偿能力产生不利影响，或者在其他债务中存在无故拖延、拒绝承担增信责任的情形；</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（七）担保物灭失或者价值发生</w:t>
      </w:r>
      <w:r>
        <w:rPr>
          <w:rFonts w:hint="eastAsia" w:ascii="仿宋" w:hAnsi="仿宋"/>
          <w:highlight w:val="none"/>
        </w:rPr>
        <w:t>较大减损</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（八）可能对资产支持证券收益分配产生不利影响或者管理人认为需要予以关注的其他情形。</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三</w:t>
      </w:r>
      <w:r>
        <w:rPr>
          <w:rFonts w:hint="eastAsia" w:ascii="仿宋" w:hAnsi="仿宋"/>
          <w:b/>
          <w:szCs w:val="32"/>
          <w:highlight w:val="none"/>
        </w:rPr>
        <w:t>条</w:t>
      </w:r>
      <w:r>
        <w:rPr>
          <w:rFonts w:hint="eastAsia" w:ascii="仿宋" w:hAnsi="仿宋"/>
          <w:szCs w:val="32"/>
          <w:highlight w:val="none"/>
        </w:rPr>
        <w:t xml:space="preserve"> </w:t>
      </w:r>
      <w:r>
        <w:rPr>
          <w:rFonts w:hint="eastAsia" w:ascii="仿宋" w:hAnsi="仿宋"/>
          <w:szCs w:val="32"/>
          <w:highlight w:val="none"/>
          <w:lang w:eastAsia="zh-CN"/>
        </w:rPr>
        <w:t>本指引所称</w:t>
      </w:r>
      <w:r>
        <w:rPr>
          <w:rFonts w:hint="eastAsia" w:ascii="仿宋" w:hAnsi="仿宋"/>
          <w:szCs w:val="32"/>
          <w:highlight w:val="none"/>
        </w:rPr>
        <w:t>重点关注类资产支持证券</w:t>
      </w:r>
      <w:r>
        <w:rPr>
          <w:rFonts w:hint="eastAsia" w:ascii="仿宋" w:hAnsi="仿宋"/>
          <w:szCs w:val="32"/>
          <w:highlight w:val="none"/>
          <w:lang w:eastAsia="zh-CN"/>
        </w:rPr>
        <w:t>，</w:t>
      </w:r>
      <w:r>
        <w:rPr>
          <w:rFonts w:hint="eastAsia" w:ascii="仿宋" w:hAnsi="仿宋"/>
          <w:szCs w:val="32"/>
          <w:highlight w:val="none"/>
        </w:rPr>
        <w:t>是指基础资产质量、产生现金流能力、交易结构有效性或者增信措施有效性中一项或者多项已经发生明显不利变化，按照约定分配收益存在较大不确定性，需要提前采取应对措施的资产支持证券。</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发生下列情形之一的，管理人应当将相关资产支持证券列为重点关注类：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（一）发生本指引第二十</w:t>
      </w:r>
      <w:r>
        <w:rPr>
          <w:rFonts w:hint="eastAsia" w:ascii="仿宋" w:hAnsi="仿宋"/>
          <w:szCs w:val="32"/>
          <w:highlight w:val="none"/>
          <w:lang w:eastAsia="zh-CN"/>
        </w:rPr>
        <w:t>二</w:t>
      </w:r>
      <w:r>
        <w:rPr>
          <w:rFonts w:hint="eastAsia" w:ascii="仿宋" w:hAnsi="仿宋"/>
          <w:szCs w:val="32"/>
          <w:highlight w:val="none"/>
        </w:rPr>
        <w:t>条</w:t>
      </w:r>
      <w:r>
        <w:rPr>
          <w:rFonts w:hint="eastAsia" w:ascii="仿宋" w:hAnsi="仿宋"/>
          <w:szCs w:val="32"/>
          <w:highlight w:val="none"/>
          <w:lang w:eastAsia="zh-CN"/>
        </w:rPr>
        <w:t>第二款</w:t>
      </w:r>
      <w:r>
        <w:rPr>
          <w:rFonts w:hint="eastAsia" w:ascii="仿宋" w:hAnsi="仿宋"/>
          <w:szCs w:val="32"/>
          <w:highlight w:val="none"/>
        </w:rPr>
        <w:t>规定的情形，并且专项计划交易结构安排中缺乏其他保障专项计划资产安全、投资者权益的有效措施或者预计相关措施难以有效实施；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（二）最近三个月内资产支持证券面临收益分配，基础资产现金流预计难以覆盖，并且专项计划交易结构安排中缺乏其他保障专项计划资产安全、投资者权益的有效措施或者预计相关措施难以有效实施；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（三）特定原始权益人、重要现金流提供方及其主要子公司在缺乏合理交易背景、交易对价，或者违反计划说明书、相关协议约定的情况下，转让主要资产或者将其用于抵押、质押等增信措施；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（四）原始权益人、资产服务机构等信用风险管理业务参与人</w:t>
      </w:r>
      <w:r>
        <w:rPr>
          <w:rFonts w:hint="eastAsia"/>
          <w:highlight w:val="none"/>
          <w:lang w:eastAsia="zh-CN"/>
        </w:rPr>
        <w:t>或者</w:t>
      </w:r>
      <w:r>
        <w:rPr>
          <w:rFonts w:hint="eastAsia" w:ascii="仿宋" w:hAnsi="仿宋"/>
          <w:szCs w:val="32"/>
          <w:highlight w:val="none"/>
          <w:lang w:eastAsia="zh-CN"/>
        </w:rPr>
        <w:t>重要现金流提供方</w:t>
      </w:r>
      <w:r>
        <w:rPr>
          <w:rFonts w:hint="eastAsia" w:ascii="仿宋" w:hAnsi="仿宋"/>
          <w:szCs w:val="32"/>
          <w:highlight w:val="none"/>
        </w:rPr>
        <w:t>拒不配合管理人履职，导致管理人无法正常开展信用风险管理工作</w:t>
      </w:r>
      <w:r>
        <w:rPr>
          <w:rFonts w:hint="eastAsia" w:ascii="仿宋" w:hAnsi="仿宋"/>
          <w:szCs w:val="32"/>
          <w:highlight w:val="none"/>
          <w:lang w:eastAsia="zh-CN"/>
        </w:rPr>
        <w:t>、无法</w:t>
      </w:r>
      <w:r>
        <w:rPr>
          <w:rFonts w:hint="eastAsia" w:ascii="仿宋" w:hAnsi="仿宋"/>
          <w:szCs w:val="32"/>
          <w:highlight w:val="none"/>
        </w:rPr>
        <w:t>准确分析资产支持证券</w:t>
      </w:r>
      <w:r>
        <w:rPr>
          <w:rFonts w:hint="eastAsia" w:ascii="仿宋" w:hAnsi="仿宋"/>
          <w:szCs w:val="32"/>
          <w:highlight w:val="none"/>
          <w:lang w:eastAsia="zh-CN"/>
        </w:rPr>
        <w:t>的</w:t>
      </w:r>
      <w:r>
        <w:rPr>
          <w:rFonts w:hint="eastAsia" w:ascii="仿宋" w:hAnsi="仿宋"/>
          <w:szCs w:val="32"/>
          <w:highlight w:val="none"/>
        </w:rPr>
        <w:t>信用风险程度；</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（五）发生可能触发计划说明书约定的加速归集、交叉违约或者提前终止等条款的事件；</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（六）管理人认为应当列为重点关注</w:t>
      </w:r>
      <w:r>
        <w:rPr>
          <w:rFonts w:hint="eastAsia" w:ascii="仿宋" w:hAnsi="仿宋"/>
          <w:szCs w:val="32"/>
          <w:highlight w:val="none"/>
          <w:lang w:eastAsia="zh-CN"/>
        </w:rPr>
        <w:t>类</w:t>
      </w:r>
      <w:r>
        <w:rPr>
          <w:rFonts w:hint="eastAsia" w:ascii="仿宋" w:hAnsi="仿宋"/>
          <w:szCs w:val="32"/>
          <w:highlight w:val="none"/>
        </w:rPr>
        <w:t>的其他情形。</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四</w:t>
      </w:r>
      <w:r>
        <w:rPr>
          <w:rFonts w:hint="eastAsia" w:ascii="仿宋" w:hAnsi="仿宋"/>
          <w:b/>
          <w:szCs w:val="32"/>
          <w:highlight w:val="none"/>
        </w:rPr>
        <w:t>条</w:t>
      </w:r>
      <w:r>
        <w:rPr>
          <w:rFonts w:hint="eastAsia" w:ascii="仿宋" w:hAnsi="仿宋"/>
          <w:szCs w:val="32"/>
          <w:highlight w:val="none"/>
        </w:rPr>
        <w:t xml:space="preserve"> </w:t>
      </w:r>
      <w:r>
        <w:rPr>
          <w:rFonts w:hint="eastAsia" w:ascii="仿宋" w:hAnsi="仿宋"/>
          <w:szCs w:val="32"/>
          <w:highlight w:val="none"/>
          <w:lang w:eastAsia="zh-CN"/>
        </w:rPr>
        <w:t>本指引所称</w:t>
      </w:r>
      <w:r>
        <w:rPr>
          <w:rFonts w:hint="eastAsia" w:ascii="仿宋" w:hAnsi="仿宋"/>
          <w:szCs w:val="32"/>
          <w:highlight w:val="none"/>
        </w:rPr>
        <w:t>风险类资产支持证券</w:t>
      </w:r>
      <w:r>
        <w:rPr>
          <w:rFonts w:hint="eastAsia" w:ascii="仿宋" w:hAnsi="仿宋"/>
          <w:szCs w:val="32"/>
          <w:highlight w:val="none"/>
          <w:lang w:eastAsia="zh-CN"/>
        </w:rPr>
        <w:t>，</w:t>
      </w:r>
      <w:r>
        <w:rPr>
          <w:rFonts w:hint="eastAsia" w:ascii="仿宋" w:hAnsi="仿宋"/>
          <w:szCs w:val="32"/>
          <w:highlight w:val="none"/>
        </w:rPr>
        <w:t>是指基础资产质量、产生现金流能力、交易结构有效性和增信措施有效性中一项或者多项严重恶化，预计无法按照约定分配收益的资产支持证券。</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发生下列情形之一的，管理人应当将相关资产支持证券列为风险类：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（一）已经或者应当被列为重点关注类的资产支持证券未能</w:t>
      </w:r>
      <w:r>
        <w:rPr>
          <w:rFonts w:hint="eastAsia" w:ascii="仿宋" w:hAnsi="仿宋"/>
          <w:szCs w:val="32"/>
          <w:highlight w:val="none"/>
          <w:lang w:eastAsia="zh-CN"/>
        </w:rPr>
        <w:t>积极</w:t>
      </w:r>
      <w:r>
        <w:rPr>
          <w:rFonts w:hint="eastAsia" w:ascii="仿宋" w:hAnsi="仿宋"/>
          <w:szCs w:val="32"/>
          <w:highlight w:val="none"/>
        </w:rPr>
        <w:t>主动采取风险应对措施，或者已采取的措施效果有限，专项计划信用风险进一步恶化，可能严重影响资产支持证券按照约定分配收益；</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（二）发生可能触发计划说明书约定的加速归集、交叉违约或者提前终止等条款的事件，并且专项计划交易结构安排中缺乏其他保障专项计划资产安全、投资者权益的有效措施或者预计相关措施难以有效实施；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（三）管理人认为应当列为风险类的其他情形。</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五</w:t>
      </w:r>
      <w:r>
        <w:rPr>
          <w:rFonts w:hint="eastAsia" w:ascii="仿宋" w:hAnsi="仿宋"/>
          <w:b/>
          <w:szCs w:val="32"/>
          <w:highlight w:val="none"/>
        </w:rPr>
        <w:t>条</w:t>
      </w:r>
      <w:r>
        <w:rPr>
          <w:rFonts w:hint="eastAsia" w:ascii="仿宋" w:hAnsi="仿宋"/>
          <w:szCs w:val="32"/>
          <w:highlight w:val="none"/>
        </w:rPr>
        <w:t xml:space="preserve"> </w:t>
      </w:r>
      <w:r>
        <w:rPr>
          <w:rFonts w:hint="eastAsia" w:ascii="仿宋" w:hAnsi="仿宋"/>
          <w:szCs w:val="32"/>
          <w:highlight w:val="none"/>
          <w:lang w:eastAsia="zh-CN"/>
        </w:rPr>
        <w:t>本指引所称</w:t>
      </w:r>
      <w:r>
        <w:rPr>
          <w:rFonts w:hint="eastAsia" w:ascii="仿宋" w:hAnsi="仿宋"/>
          <w:szCs w:val="32"/>
          <w:highlight w:val="none"/>
        </w:rPr>
        <w:t>违约类资产支持证券</w:t>
      </w:r>
      <w:r>
        <w:rPr>
          <w:rFonts w:hint="eastAsia" w:ascii="仿宋" w:hAnsi="仿宋"/>
          <w:szCs w:val="32"/>
          <w:highlight w:val="none"/>
          <w:lang w:eastAsia="zh-CN"/>
        </w:rPr>
        <w:t>，</w:t>
      </w:r>
      <w:r>
        <w:rPr>
          <w:rFonts w:hint="eastAsia" w:ascii="仿宋" w:hAnsi="仿宋"/>
          <w:szCs w:val="32"/>
          <w:highlight w:val="none"/>
        </w:rPr>
        <w:t>是指未能于计划说明书、持有人会议决议等约定的收益分配日足额分配收益，或者专项计划按照约定提前终止但未能在约定期限内足额分配收益的资产支持证券。相关文件或者协议对分配日期约定宽限期的，以宽限期届满日为准。</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六</w:t>
      </w:r>
      <w:r>
        <w:rPr>
          <w:rFonts w:hint="eastAsia" w:ascii="仿宋" w:hAnsi="仿宋"/>
          <w:b/>
          <w:szCs w:val="32"/>
          <w:highlight w:val="none"/>
        </w:rPr>
        <w:t>条</w:t>
      </w:r>
      <w:r>
        <w:rPr>
          <w:rFonts w:hint="eastAsia" w:ascii="仿宋" w:hAnsi="仿宋"/>
          <w:szCs w:val="32"/>
          <w:highlight w:val="none"/>
        </w:rPr>
        <w:t xml:space="preserve"> 管理人应当按照各风险类别资产支持证券的定义、分类标准和信用风险管理中掌握的情况，综合评估确定所管理资产支持证券的风险分类，并对分类结果进行动态管理。</w:t>
      </w:r>
    </w:p>
    <w:p>
      <w:pPr>
        <w:pStyle w:val="3"/>
        <w:ind w:firstLine="0" w:firstLineChars="0"/>
        <w:jc w:val="center"/>
        <w:rPr>
          <w:rFonts w:ascii="楷体" w:hAnsi="楷体" w:eastAsia="楷体"/>
          <w:b w:val="0"/>
          <w:highlight w:val="none"/>
        </w:rPr>
      </w:pPr>
      <w:bookmarkStart w:id="13" w:name="_Toc121941208"/>
      <w:bookmarkStart w:id="14" w:name="_Toc120129831"/>
      <w:r>
        <w:rPr>
          <w:rFonts w:hint="eastAsia" w:ascii="楷体" w:hAnsi="楷体" w:eastAsia="楷体"/>
          <w:b w:val="0"/>
          <w:highlight w:val="none"/>
        </w:rPr>
        <w:t>第三节 信用风险排查</w:t>
      </w:r>
      <w:bookmarkEnd w:id="13"/>
      <w:bookmarkEnd w:id="14"/>
    </w:p>
    <w:p>
      <w:pPr>
        <w:adjustRightInd w:val="0"/>
        <w:snapToGrid w:val="0"/>
        <w:spacing w:line="560" w:lineRule="exact"/>
        <w:ind w:firstLine="643"/>
        <w:rPr>
          <w:rFonts w:hint="eastAsia" w:ascii="仿宋" w:hAnsi="仿宋" w:eastAsia="仿宋"/>
          <w:bCs/>
          <w:sz w:val="32"/>
          <w:szCs w:val="32"/>
          <w:highlight w:val="none"/>
        </w:rPr>
      </w:pPr>
      <w:r>
        <w:rPr>
          <w:rFonts w:hint="eastAsia" w:ascii="仿宋" w:hAnsi="仿宋"/>
          <w:b/>
          <w:szCs w:val="32"/>
          <w:highlight w:val="none"/>
        </w:rPr>
        <w:t>第二十</w:t>
      </w:r>
      <w:r>
        <w:rPr>
          <w:rFonts w:hint="eastAsia" w:ascii="仿宋" w:hAnsi="仿宋"/>
          <w:b/>
          <w:szCs w:val="32"/>
          <w:highlight w:val="none"/>
          <w:lang w:eastAsia="zh-CN"/>
        </w:rPr>
        <w:t>七</w:t>
      </w:r>
      <w:r>
        <w:rPr>
          <w:rFonts w:hint="eastAsia" w:ascii="仿宋" w:hAnsi="仿宋"/>
          <w:b/>
          <w:szCs w:val="32"/>
          <w:highlight w:val="none"/>
        </w:rPr>
        <w:t>条</w:t>
      </w:r>
      <w:r>
        <w:rPr>
          <w:rFonts w:hint="eastAsia" w:ascii="仿宋" w:hAnsi="仿宋"/>
          <w:szCs w:val="32"/>
          <w:highlight w:val="none"/>
        </w:rPr>
        <w:t xml:space="preserve"> 管理人应当结合风险分类结果，关注信用风险管理重点领域、重点主体和可能对资产支持证券投资价值或者价格有实质性影响的重大事项，及时</w:t>
      </w:r>
      <w:r>
        <w:rPr>
          <w:rFonts w:hint="eastAsia" w:ascii="仿宋" w:hAnsi="仿宋"/>
          <w:szCs w:val="32"/>
          <w:highlight w:val="none"/>
          <w:lang w:eastAsia="zh-CN"/>
        </w:rPr>
        <w:t>通过</w:t>
      </w:r>
      <w:r>
        <w:rPr>
          <w:rFonts w:hint="eastAsia" w:ascii="仿宋" w:hAnsi="仿宋"/>
          <w:szCs w:val="32"/>
          <w:highlight w:val="none"/>
        </w:rPr>
        <w:t>开展风险排查</w:t>
      </w:r>
      <w:r>
        <w:rPr>
          <w:rFonts w:hint="eastAsia" w:ascii="仿宋" w:hAnsi="仿宋"/>
          <w:szCs w:val="32"/>
          <w:highlight w:val="none"/>
          <w:lang w:eastAsia="zh-CN"/>
        </w:rPr>
        <w:t>了解、</w:t>
      </w:r>
      <w:r>
        <w:rPr>
          <w:rFonts w:hint="eastAsia" w:ascii="仿宋" w:hAnsi="仿宋"/>
          <w:szCs w:val="32"/>
          <w:highlight w:val="none"/>
        </w:rPr>
        <w:t>掌握</w:t>
      </w:r>
      <w:r>
        <w:rPr>
          <w:rFonts w:hint="eastAsia" w:ascii="仿宋" w:hAnsi="仿宋"/>
          <w:szCs w:val="32"/>
          <w:highlight w:val="none"/>
          <w:lang w:eastAsia="zh-CN"/>
        </w:rPr>
        <w:t>所管理资产支持证券的下列情况，</w:t>
      </w:r>
      <w:r>
        <w:rPr>
          <w:rFonts w:hint="eastAsia" w:ascii="仿宋" w:hAnsi="仿宋" w:eastAsia="仿宋"/>
          <w:bCs/>
          <w:sz w:val="32"/>
          <w:szCs w:val="32"/>
          <w:highlight w:val="none"/>
        </w:rPr>
        <w:t>评估对</w:t>
      </w:r>
      <w:r>
        <w:rPr>
          <w:rFonts w:hint="eastAsia" w:ascii="仿宋" w:hAnsi="仿宋"/>
          <w:bCs/>
          <w:sz w:val="32"/>
          <w:szCs w:val="32"/>
          <w:highlight w:val="none"/>
          <w:lang w:eastAsia="zh-CN"/>
        </w:rPr>
        <w:t>资产支持证券</w:t>
      </w:r>
      <w:r>
        <w:rPr>
          <w:rFonts w:hint="eastAsia" w:ascii="仿宋" w:hAnsi="仿宋" w:eastAsia="仿宋"/>
          <w:bCs/>
          <w:sz w:val="32"/>
          <w:szCs w:val="32"/>
          <w:highlight w:val="none"/>
        </w:rPr>
        <w:t>信用风险的影响程度以及是否存在风险传导影响，形成相应风险档案并动态更新：</w:t>
      </w:r>
    </w:p>
    <w:p>
      <w:pPr>
        <w:numPr>
          <w:ilvl w:val="0"/>
          <w:numId w:val="3"/>
        </w:numPr>
        <w:adjustRightInd w:val="0"/>
        <w:snapToGrid w:val="0"/>
        <w:spacing w:line="560" w:lineRule="exact"/>
        <w:ind w:firstLine="643"/>
        <w:rPr>
          <w:rFonts w:ascii="仿宋" w:hAnsi="仿宋"/>
          <w:szCs w:val="32"/>
          <w:highlight w:val="none"/>
        </w:rPr>
      </w:pPr>
      <w:r>
        <w:rPr>
          <w:rFonts w:hint="eastAsia" w:ascii="仿宋" w:hAnsi="仿宋"/>
          <w:szCs w:val="32"/>
          <w:highlight w:val="none"/>
        </w:rPr>
        <w:t>资产支持证券、相关负有偿付义务主体的主要风险情况</w:t>
      </w:r>
      <w:r>
        <w:rPr>
          <w:rFonts w:hint="eastAsia" w:ascii="仿宋" w:hAnsi="仿宋"/>
          <w:szCs w:val="32"/>
          <w:highlight w:val="none"/>
          <w:lang w:eastAsia="zh-CN"/>
        </w:rPr>
        <w:t>；</w:t>
      </w:r>
    </w:p>
    <w:p>
      <w:pPr>
        <w:numPr>
          <w:ilvl w:val="0"/>
          <w:numId w:val="3"/>
        </w:numPr>
        <w:adjustRightInd w:val="0"/>
        <w:snapToGrid w:val="0"/>
        <w:spacing w:line="560" w:lineRule="exact"/>
        <w:ind w:firstLine="643"/>
        <w:rPr>
          <w:rFonts w:ascii="仿宋" w:hAnsi="仿宋"/>
          <w:szCs w:val="32"/>
          <w:highlight w:val="none"/>
        </w:rPr>
      </w:pPr>
      <w:r>
        <w:rPr>
          <w:rFonts w:hint="eastAsia" w:ascii="仿宋" w:hAnsi="仿宋"/>
          <w:szCs w:val="32"/>
          <w:highlight w:val="none"/>
        </w:rPr>
        <w:t>相关负有偿付义务的主体是否具有偿付意愿</w:t>
      </w:r>
      <w:r>
        <w:rPr>
          <w:rFonts w:hint="eastAsia" w:ascii="仿宋" w:hAnsi="仿宋"/>
          <w:szCs w:val="32"/>
          <w:highlight w:val="none"/>
          <w:lang w:eastAsia="zh-CN"/>
        </w:rPr>
        <w:t>；</w:t>
      </w:r>
    </w:p>
    <w:p>
      <w:pPr>
        <w:numPr>
          <w:ilvl w:val="0"/>
          <w:numId w:val="3"/>
        </w:numPr>
        <w:adjustRightInd w:val="0"/>
        <w:snapToGrid w:val="0"/>
        <w:spacing w:line="560" w:lineRule="exact"/>
        <w:ind w:firstLine="643"/>
        <w:rPr>
          <w:rFonts w:ascii="仿宋" w:hAnsi="仿宋"/>
          <w:szCs w:val="32"/>
          <w:highlight w:val="none"/>
        </w:rPr>
      </w:pPr>
      <w:r>
        <w:rPr>
          <w:rFonts w:hint="eastAsia" w:ascii="仿宋" w:hAnsi="仿宋"/>
          <w:szCs w:val="32"/>
          <w:highlight w:val="none"/>
        </w:rPr>
        <w:t>偿付资金筹措、归集情况</w:t>
      </w:r>
      <w:r>
        <w:rPr>
          <w:rFonts w:hint="eastAsia" w:ascii="仿宋" w:hAnsi="仿宋"/>
          <w:szCs w:val="32"/>
          <w:highlight w:val="none"/>
          <w:lang w:eastAsia="zh-CN"/>
        </w:rPr>
        <w:t>；</w:t>
      </w:r>
    </w:p>
    <w:p>
      <w:pPr>
        <w:numPr>
          <w:ilvl w:val="0"/>
          <w:numId w:val="3"/>
        </w:numPr>
        <w:adjustRightInd w:val="0"/>
        <w:snapToGrid w:val="0"/>
        <w:spacing w:line="560" w:lineRule="exact"/>
        <w:ind w:firstLine="643"/>
        <w:rPr>
          <w:rFonts w:ascii="仿宋" w:hAnsi="仿宋"/>
          <w:szCs w:val="32"/>
          <w:highlight w:val="none"/>
        </w:rPr>
      </w:pPr>
      <w:r>
        <w:rPr>
          <w:rFonts w:hint="eastAsia" w:ascii="仿宋" w:hAnsi="仿宋"/>
          <w:szCs w:val="32"/>
          <w:highlight w:val="none"/>
        </w:rPr>
        <w:t>增信措施、投资者权益保护机制和风险应对措施的有效性。</w:t>
      </w:r>
    </w:p>
    <w:p>
      <w:pPr>
        <w:adjustRightInd w:val="0"/>
        <w:snapToGrid w:val="0"/>
        <w:spacing w:line="560" w:lineRule="exact"/>
        <w:ind w:firstLine="643"/>
        <w:rPr>
          <w:rFonts w:hint="eastAsia"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八</w:t>
      </w:r>
      <w:r>
        <w:rPr>
          <w:rFonts w:hint="eastAsia" w:ascii="仿宋" w:hAnsi="仿宋"/>
          <w:b/>
          <w:szCs w:val="32"/>
          <w:highlight w:val="none"/>
        </w:rPr>
        <w:t>条</w:t>
      </w:r>
      <w:r>
        <w:rPr>
          <w:rFonts w:hint="eastAsia" w:ascii="仿宋" w:hAnsi="仿宋"/>
          <w:szCs w:val="32"/>
          <w:highlight w:val="none"/>
        </w:rPr>
        <w:t xml:space="preserve"> 管理人排查信用风险可以采取现场、非现场或者现场与非现场相结合的方式进行。</w:t>
      </w:r>
    </w:p>
    <w:p>
      <w:pPr>
        <w:adjustRightInd w:val="0"/>
        <w:snapToGrid w:val="0"/>
        <w:spacing w:line="560" w:lineRule="exact"/>
        <w:ind w:firstLine="643"/>
        <w:rPr>
          <w:rFonts w:ascii="仿宋" w:hAnsi="仿宋"/>
          <w:szCs w:val="32"/>
          <w:highlight w:val="none"/>
        </w:rPr>
      </w:pPr>
      <w:r>
        <w:rPr>
          <w:rFonts w:hint="eastAsia" w:ascii="仿宋" w:hAnsi="仿宋"/>
          <w:szCs w:val="32"/>
          <w:highlight w:val="none"/>
          <w:lang w:eastAsia="zh-CN"/>
        </w:rPr>
        <w:t>管理人进行</w:t>
      </w:r>
      <w:r>
        <w:rPr>
          <w:rFonts w:hint="eastAsia" w:ascii="仿宋" w:hAnsi="仿宋"/>
          <w:szCs w:val="32"/>
          <w:highlight w:val="none"/>
        </w:rPr>
        <w:t>信用风险排查应当综合运用查阅调取资料、访谈相关人员、书面函证、现场走访等形式，必要时应当实地了解相关负有偿付义务主体的相关情况，并可以视情况对其控股股东、实际控制人、供应商、客户、债权人、相关专业机构等进行延伸排查，不得仅以电话、邮件或者通用问题列表问询等形式开展排查。</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第二十</w:t>
      </w:r>
      <w:r>
        <w:rPr>
          <w:rFonts w:hint="eastAsia" w:ascii="仿宋" w:hAnsi="仿宋"/>
          <w:b/>
          <w:szCs w:val="32"/>
          <w:highlight w:val="none"/>
          <w:lang w:eastAsia="zh-CN"/>
        </w:rPr>
        <w:t>九</w:t>
      </w:r>
      <w:r>
        <w:rPr>
          <w:rFonts w:hint="eastAsia" w:ascii="仿宋" w:hAnsi="仿宋"/>
          <w:b/>
          <w:szCs w:val="32"/>
          <w:highlight w:val="none"/>
        </w:rPr>
        <w:t>条</w:t>
      </w:r>
      <w:r>
        <w:rPr>
          <w:rFonts w:hint="eastAsia" w:ascii="仿宋" w:hAnsi="仿宋"/>
          <w:szCs w:val="32"/>
          <w:highlight w:val="none"/>
        </w:rPr>
        <w:t xml:space="preserve"> 管理人应当结合资产支持证券的信用风险程度、收益分配日、投资者保护条款的约定等因素，统筹安排信用风险排查工作，优先排查风险程度较高、收益分配日较近的资产支持证券。</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本所可以根据日常监管情况和信用风险管理需要，要求管理人实施全面风险排查或者对特定行业、特定区域相关主体和特定风险事项实施专项风险排查。</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三十</w:t>
      </w:r>
      <w:r>
        <w:rPr>
          <w:rFonts w:hint="eastAsia" w:ascii="仿宋" w:hAnsi="仿宋"/>
          <w:b/>
          <w:szCs w:val="32"/>
          <w:highlight w:val="none"/>
        </w:rPr>
        <w:t>条</w:t>
      </w:r>
      <w:r>
        <w:rPr>
          <w:rFonts w:hint="eastAsia" w:ascii="仿宋" w:hAnsi="仿宋"/>
          <w:szCs w:val="32"/>
          <w:highlight w:val="none"/>
        </w:rPr>
        <w:t xml:space="preserve"> 正常类资产支持证券</w:t>
      </w:r>
      <w:r>
        <w:rPr>
          <w:rFonts w:hint="eastAsia" w:ascii="仿宋" w:hAnsi="仿宋"/>
          <w:szCs w:val="32"/>
          <w:highlight w:val="none"/>
          <w:lang w:eastAsia="zh-CN"/>
        </w:rPr>
        <w:t>的</w:t>
      </w:r>
      <w:r>
        <w:rPr>
          <w:rFonts w:hint="eastAsia" w:ascii="仿宋" w:hAnsi="仿宋"/>
          <w:szCs w:val="32"/>
          <w:highlight w:val="none"/>
        </w:rPr>
        <w:t>管理人应当至少在</w:t>
      </w:r>
      <w:r>
        <w:rPr>
          <w:rFonts w:hint="eastAsia" w:ascii="仿宋" w:hAnsi="仿宋"/>
          <w:szCs w:val="32"/>
          <w:highlight w:val="none"/>
          <w:lang w:eastAsia="zh-CN"/>
        </w:rPr>
        <w:t>相关资产支持证券</w:t>
      </w:r>
      <w:r>
        <w:rPr>
          <w:rFonts w:hint="eastAsia" w:ascii="仿宋" w:hAnsi="仿宋"/>
          <w:szCs w:val="32"/>
          <w:highlight w:val="none"/>
        </w:rPr>
        <w:t>收益分配日前一个月开展风险排查，并持续跟踪偿付资金筹措、归集情况。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资产支持证券约定按月分配收益的，管理人应当至少在收益分配日前五个交易日按照前款规定履职。</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三十一</w:t>
      </w:r>
      <w:r>
        <w:rPr>
          <w:rFonts w:hint="eastAsia" w:ascii="仿宋" w:hAnsi="仿宋"/>
          <w:b/>
          <w:szCs w:val="32"/>
          <w:highlight w:val="none"/>
        </w:rPr>
        <w:t>条</w:t>
      </w:r>
      <w:r>
        <w:rPr>
          <w:rFonts w:hint="eastAsia" w:ascii="仿宋" w:hAnsi="仿宋"/>
          <w:szCs w:val="32"/>
          <w:highlight w:val="none"/>
        </w:rPr>
        <w:t xml:space="preserve"> 一般关注类资产支持证券</w:t>
      </w:r>
      <w:r>
        <w:rPr>
          <w:rFonts w:hint="eastAsia" w:ascii="仿宋" w:hAnsi="仿宋"/>
          <w:szCs w:val="32"/>
          <w:highlight w:val="none"/>
          <w:lang w:eastAsia="zh-CN"/>
        </w:rPr>
        <w:t>的</w:t>
      </w:r>
      <w:r>
        <w:rPr>
          <w:rFonts w:hint="eastAsia" w:ascii="仿宋" w:hAnsi="仿宋"/>
          <w:szCs w:val="32"/>
          <w:highlight w:val="none"/>
        </w:rPr>
        <w:t>管理人应当至少在</w:t>
      </w:r>
      <w:r>
        <w:rPr>
          <w:rFonts w:hint="eastAsia" w:ascii="仿宋" w:hAnsi="仿宋"/>
          <w:szCs w:val="32"/>
          <w:highlight w:val="none"/>
          <w:lang w:eastAsia="zh-CN"/>
        </w:rPr>
        <w:t>相关资产支持证券</w:t>
      </w:r>
      <w:r>
        <w:rPr>
          <w:rFonts w:hint="eastAsia" w:ascii="仿宋" w:hAnsi="仿宋"/>
          <w:szCs w:val="32"/>
          <w:highlight w:val="none"/>
        </w:rPr>
        <w:t>收益分配日前两个月开展风险排查，并持续跟踪偿付资金筹措、归集情况</w:t>
      </w:r>
      <w:r>
        <w:rPr>
          <w:rFonts w:hint="eastAsia" w:ascii="仿宋" w:hAnsi="仿宋"/>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资产支持证券约定按月分配收益的，管理人应当至少在收益分配日前十个交易日按照前款规定履职。资产支持证券约定按季度分配收益的，管理人应当至少在收益分配日前一个月按照前款规定履职。</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管理人每年采取现场方式进行风险排查的一般关注类专项计划数量不得少于上一年末管理的全部一般关注类专项计划数量的三分之一。</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二</w:t>
      </w:r>
      <w:r>
        <w:rPr>
          <w:rFonts w:hint="eastAsia" w:ascii="仿宋" w:hAnsi="仿宋"/>
          <w:b/>
          <w:szCs w:val="32"/>
          <w:highlight w:val="none"/>
        </w:rPr>
        <w:t>条</w:t>
      </w:r>
      <w:r>
        <w:rPr>
          <w:rFonts w:hint="eastAsia" w:ascii="仿宋" w:hAnsi="仿宋"/>
          <w:szCs w:val="32"/>
          <w:highlight w:val="none"/>
        </w:rPr>
        <w:t xml:space="preserve"> 重点关注类、风险类资产支持证券</w:t>
      </w:r>
      <w:r>
        <w:rPr>
          <w:rFonts w:hint="eastAsia" w:ascii="仿宋" w:hAnsi="仿宋"/>
          <w:szCs w:val="32"/>
          <w:highlight w:val="none"/>
          <w:lang w:eastAsia="zh-CN"/>
        </w:rPr>
        <w:t>的</w:t>
      </w:r>
      <w:r>
        <w:rPr>
          <w:rFonts w:hint="eastAsia" w:ascii="仿宋" w:hAnsi="仿宋"/>
          <w:szCs w:val="32"/>
          <w:highlight w:val="none"/>
        </w:rPr>
        <w:t>管理人应当至少在</w:t>
      </w:r>
      <w:r>
        <w:rPr>
          <w:rFonts w:hint="eastAsia" w:ascii="仿宋" w:hAnsi="仿宋"/>
          <w:szCs w:val="32"/>
          <w:highlight w:val="none"/>
          <w:lang w:eastAsia="zh-CN"/>
        </w:rPr>
        <w:t>相关资产支持证券</w:t>
      </w:r>
      <w:r>
        <w:rPr>
          <w:rFonts w:hint="eastAsia" w:ascii="仿宋" w:hAnsi="仿宋"/>
          <w:szCs w:val="32"/>
          <w:highlight w:val="none"/>
        </w:rPr>
        <w:t>收益分配日前三个月和前两周各完成一次风险排查，并持续跟踪偿付资金筹措、归集情况。排查形式上应当至少采取一次现场排查。</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资产支持证券约定按月分配收益的，管理人应当至少在收益分配日前十个交易日履职。资产支持证券约定按季度分配收益的，管理人应当至少在收益分配日前一个月履职。管理人应当以现场方式开展风险排查。</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三</w:t>
      </w:r>
      <w:r>
        <w:rPr>
          <w:rFonts w:hint="eastAsia" w:ascii="仿宋" w:hAnsi="仿宋"/>
          <w:b/>
          <w:szCs w:val="32"/>
          <w:highlight w:val="none"/>
        </w:rPr>
        <w:t>条</w:t>
      </w:r>
      <w:r>
        <w:rPr>
          <w:rFonts w:hint="eastAsia" w:ascii="仿宋" w:hAnsi="仿宋"/>
          <w:szCs w:val="32"/>
          <w:highlight w:val="none"/>
        </w:rPr>
        <w:t xml:space="preserve"> 违约类资产支持证券</w:t>
      </w:r>
      <w:r>
        <w:rPr>
          <w:rFonts w:hint="eastAsia" w:ascii="仿宋" w:hAnsi="仿宋"/>
          <w:szCs w:val="32"/>
          <w:highlight w:val="none"/>
          <w:lang w:eastAsia="zh-CN"/>
        </w:rPr>
        <w:t>的</w:t>
      </w:r>
      <w:r>
        <w:rPr>
          <w:rFonts w:hint="eastAsia" w:ascii="仿宋" w:hAnsi="仿宋"/>
          <w:szCs w:val="32"/>
          <w:highlight w:val="none"/>
        </w:rPr>
        <w:t>管理人应当至少每季度</w:t>
      </w:r>
      <w:r>
        <w:rPr>
          <w:rFonts w:hint="eastAsia" w:ascii="仿宋" w:hAnsi="仿宋"/>
          <w:szCs w:val="32"/>
          <w:highlight w:val="none"/>
          <w:lang w:eastAsia="zh-CN"/>
        </w:rPr>
        <w:t>对相关资产支持证券</w:t>
      </w:r>
      <w:r>
        <w:rPr>
          <w:rFonts w:hint="eastAsia" w:ascii="仿宋" w:hAnsi="仿宋"/>
          <w:szCs w:val="32"/>
          <w:highlight w:val="none"/>
        </w:rPr>
        <w:t>开展一次风险排查，并且至少每年开展一次现场排查，</w:t>
      </w:r>
      <w:r>
        <w:rPr>
          <w:rFonts w:hint="eastAsia" w:ascii="仿宋" w:hAnsi="仿宋"/>
          <w:highlight w:val="none"/>
        </w:rPr>
        <w:t>持续跟踪违约处置进展情况。</w:t>
      </w:r>
    </w:p>
    <w:p>
      <w:pPr>
        <w:adjustRightInd w:val="0"/>
        <w:snapToGrid w:val="0"/>
        <w:spacing w:line="560" w:lineRule="exact"/>
        <w:ind w:firstLine="643"/>
        <w:rPr>
          <w:rFonts w:hint="eastAsia"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四</w:t>
      </w:r>
      <w:r>
        <w:rPr>
          <w:rFonts w:hint="eastAsia" w:ascii="仿宋" w:hAnsi="仿宋"/>
          <w:b/>
          <w:szCs w:val="32"/>
          <w:highlight w:val="none"/>
        </w:rPr>
        <w:t>条</w:t>
      </w:r>
      <w:r>
        <w:rPr>
          <w:rFonts w:hint="eastAsia" w:ascii="仿宋" w:hAnsi="仿宋"/>
          <w:szCs w:val="32"/>
          <w:highlight w:val="none"/>
        </w:rPr>
        <w:t xml:space="preserve"> 管理人应当不晚于资产支持证券每次收益分配日前的第五个交易日确认偿付资金的实际落实情况，并持续跟踪偿付资金归集、划付情况。</w:t>
      </w:r>
    </w:p>
    <w:p>
      <w:pPr>
        <w:adjustRightInd w:val="0"/>
        <w:snapToGrid w:val="0"/>
        <w:spacing w:line="560" w:lineRule="exact"/>
        <w:ind w:firstLine="643"/>
        <w:rPr>
          <w:rFonts w:hint="eastAsia" w:ascii="仿宋" w:hAnsi="仿宋"/>
          <w:szCs w:val="32"/>
          <w:highlight w:val="none"/>
        </w:rPr>
      </w:pPr>
      <w:r>
        <w:rPr>
          <w:rFonts w:hint="eastAsia" w:ascii="仿宋" w:hAnsi="仿宋"/>
          <w:szCs w:val="32"/>
          <w:highlight w:val="none"/>
          <w:lang w:val="en-US" w:eastAsia="zh-CN"/>
        </w:rPr>
        <w:t>发现按照约定分配收益存在不确定性的，应当及时向本所报告。</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五</w:t>
      </w:r>
      <w:r>
        <w:rPr>
          <w:rFonts w:hint="eastAsia" w:ascii="仿宋" w:hAnsi="仿宋"/>
          <w:b/>
          <w:szCs w:val="32"/>
          <w:highlight w:val="none"/>
        </w:rPr>
        <w:t>条</w:t>
      </w:r>
      <w:r>
        <w:rPr>
          <w:rFonts w:hint="eastAsia" w:ascii="仿宋" w:hAnsi="仿宋"/>
          <w:szCs w:val="32"/>
          <w:highlight w:val="none"/>
        </w:rPr>
        <w:t xml:space="preserve"> 发生下列情形</w:t>
      </w:r>
      <w:r>
        <w:rPr>
          <w:rFonts w:hint="eastAsia" w:ascii="仿宋" w:hAnsi="仿宋"/>
          <w:szCs w:val="32"/>
          <w:highlight w:val="none"/>
          <w:lang w:eastAsia="zh-CN"/>
        </w:rPr>
        <w:t>之一</w:t>
      </w:r>
      <w:r>
        <w:rPr>
          <w:rFonts w:hint="eastAsia" w:ascii="仿宋" w:hAnsi="仿宋"/>
          <w:szCs w:val="32"/>
          <w:highlight w:val="none"/>
        </w:rPr>
        <w:t>时，管理人应当及时开展风险排查，分析相关事项的发生原因，评估对专项计划信用风险的影响程度</w:t>
      </w:r>
      <w:r>
        <w:rPr>
          <w:rFonts w:hint="eastAsia" w:ascii="仿宋" w:hAnsi="仿宋"/>
          <w:sz w:val="32"/>
          <w:szCs w:val="32"/>
          <w:highlight w:val="none"/>
          <w:lang w:eastAsia="zh-CN"/>
        </w:rPr>
        <w:t>以及</w:t>
      </w:r>
      <w:r>
        <w:rPr>
          <w:rFonts w:hint="eastAsia" w:ascii="仿宋" w:hAnsi="仿宋" w:eastAsia="仿宋"/>
          <w:sz w:val="32"/>
          <w:szCs w:val="32"/>
          <w:highlight w:val="none"/>
        </w:rPr>
        <w:t>是否存在风险传导影响</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（一）发生关于特定原始权益人或者重要现金流提供方及其控股股东、实际控制人的市场不利传闻；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（二）资产支持证券价格发生异常大幅波动，或者连续多日成交价格明显偏离合理价值；</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（三）特定原始权益人或者重要现金流提供方及其所属企业集团内其他主体的境内外公开市场融资产品的交易价格发生大幅下跌；</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（四）发生可能影响特定原始权益人或者重要现金流提供方偿付能力并且影响程度暂不确定的</w:t>
      </w:r>
      <w:r>
        <w:rPr>
          <w:rFonts w:hint="eastAsia" w:ascii="仿宋" w:hAnsi="仿宋"/>
          <w:szCs w:val="32"/>
          <w:highlight w:val="none"/>
          <w:lang w:eastAsia="zh-CN"/>
        </w:rPr>
        <w:t>其他</w:t>
      </w:r>
      <w:r>
        <w:rPr>
          <w:rFonts w:hint="eastAsia" w:ascii="仿宋" w:hAnsi="仿宋"/>
          <w:szCs w:val="32"/>
          <w:highlight w:val="none"/>
        </w:rPr>
        <w:t>事项。</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六</w:t>
      </w:r>
      <w:r>
        <w:rPr>
          <w:rFonts w:hint="eastAsia" w:ascii="仿宋" w:hAnsi="仿宋"/>
          <w:b/>
          <w:szCs w:val="32"/>
          <w:highlight w:val="none"/>
        </w:rPr>
        <w:t>条</w:t>
      </w:r>
      <w:r>
        <w:rPr>
          <w:rFonts w:hint="eastAsia" w:ascii="仿宋" w:hAnsi="仿宋"/>
          <w:szCs w:val="32"/>
          <w:highlight w:val="none"/>
        </w:rPr>
        <w:t xml:space="preserve"> 管理人的相关高级管理人员应当参与下列现场风险排查工作，指导其他参与排查人员制定排查计划，沟通、协调排查对象相关负责人，并结合排查情况和风险分析结果组织拟定相关应对措施：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（一）风险类资产支持证券</w:t>
      </w:r>
      <w:r>
        <w:rPr>
          <w:rFonts w:hint="eastAsia" w:ascii="仿宋" w:hAnsi="仿宋"/>
          <w:bCs/>
          <w:sz w:val="32"/>
          <w:szCs w:val="32"/>
          <w:highlight w:val="none"/>
          <w:lang w:eastAsia="zh-CN"/>
        </w:rPr>
        <w:t>收益分配日</w:t>
      </w:r>
      <w:r>
        <w:rPr>
          <w:rFonts w:hint="eastAsia" w:ascii="仿宋" w:hAnsi="仿宋" w:eastAsia="仿宋"/>
          <w:bCs/>
          <w:sz w:val="32"/>
          <w:szCs w:val="32"/>
          <w:highlight w:val="none"/>
        </w:rPr>
        <w:t>前的现场排查</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（二）违约类资产支持证券每年的现场排查，每年开展多次现场排查的，应当至少参加一次；</w:t>
      </w:r>
    </w:p>
    <w:p>
      <w:pPr>
        <w:adjustRightInd w:val="0"/>
        <w:snapToGrid w:val="0"/>
        <w:spacing w:line="560" w:lineRule="exact"/>
        <w:ind w:firstLine="640"/>
        <w:rPr>
          <w:rFonts w:hint="eastAsia" w:ascii="仿宋" w:hAnsi="仿宋"/>
          <w:szCs w:val="32"/>
          <w:highlight w:val="none"/>
        </w:rPr>
      </w:pPr>
      <w:r>
        <w:rPr>
          <w:rFonts w:hint="eastAsia" w:ascii="仿宋" w:hAnsi="仿宋" w:eastAsia="仿宋" w:cstheme="minorBidi"/>
          <w:kern w:val="2"/>
          <w:sz w:val="32"/>
          <w:szCs w:val="32"/>
          <w:highlight w:val="none"/>
        </w:rPr>
        <w:t>（</w:t>
      </w:r>
      <w:r>
        <w:rPr>
          <w:rFonts w:hint="eastAsia" w:ascii="仿宋" w:hAnsi="仿宋" w:eastAsia="仿宋" w:cstheme="minorBidi"/>
          <w:kern w:val="2"/>
          <w:sz w:val="32"/>
          <w:szCs w:val="32"/>
          <w:highlight w:val="none"/>
          <w:lang w:val="en-US" w:eastAsia="zh-CN"/>
        </w:rPr>
        <w:t>三</w:t>
      </w:r>
      <w:r>
        <w:rPr>
          <w:rFonts w:hint="eastAsia" w:ascii="仿宋" w:hAnsi="仿宋" w:eastAsia="仿宋" w:cstheme="minorBidi"/>
          <w:kern w:val="2"/>
          <w:sz w:val="32"/>
          <w:szCs w:val="32"/>
          <w:highlight w:val="none"/>
        </w:rPr>
        <w:t>）</w:t>
      </w:r>
      <w:r>
        <w:rPr>
          <w:rFonts w:hint="eastAsia" w:ascii="仿宋" w:hAnsi="仿宋" w:eastAsia="仿宋" w:cstheme="minorBidi"/>
          <w:kern w:val="2"/>
          <w:sz w:val="32"/>
          <w:szCs w:val="32"/>
          <w:highlight w:val="none"/>
          <w:lang w:eastAsia="zh-CN"/>
        </w:rPr>
        <w:t>资产支持证券</w:t>
      </w:r>
      <w:r>
        <w:rPr>
          <w:rFonts w:hint="eastAsia" w:ascii="仿宋" w:hAnsi="仿宋" w:eastAsia="仿宋" w:cstheme="minorBidi"/>
          <w:kern w:val="2"/>
          <w:sz w:val="32"/>
          <w:szCs w:val="32"/>
          <w:highlight w:val="none"/>
        </w:rPr>
        <w:t>融资主体市场关注度较高或者</w:t>
      </w:r>
      <w:r>
        <w:rPr>
          <w:rFonts w:hint="eastAsia" w:ascii="仿宋" w:hAnsi="仿宋" w:eastAsia="仿宋" w:cstheme="minorBidi"/>
          <w:kern w:val="2"/>
          <w:sz w:val="32"/>
          <w:szCs w:val="32"/>
          <w:highlight w:val="none"/>
          <w:lang w:eastAsia="zh-CN"/>
        </w:rPr>
        <w:t>境内外</w:t>
      </w:r>
      <w:r>
        <w:rPr>
          <w:rFonts w:hint="eastAsia" w:ascii="仿宋" w:hAnsi="仿宋" w:eastAsia="仿宋" w:cstheme="minorBidi"/>
          <w:kern w:val="2"/>
          <w:sz w:val="32"/>
          <w:szCs w:val="32"/>
          <w:highlight w:val="none"/>
        </w:rPr>
        <w:t>公开市场融资</w:t>
      </w:r>
      <w:r>
        <w:rPr>
          <w:rFonts w:hint="eastAsia" w:ascii="仿宋" w:hAnsi="仿宋" w:eastAsia="仿宋" w:cstheme="minorBidi"/>
          <w:kern w:val="2"/>
          <w:sz w:val="32"/>
          <w:szCs w:val="32"/>
          <w:highlight w:val="none"/>
          <w:lang w:eastAsia="zh-CN"/>
        </w:rPr>
        <w:t>产品</w:t>
      </w:r>
      <w:r>
        <w:rPr>
          <w:rFonts w:hint="eastAsia" w:ascii="仿宋" w:hAnsi="仿宋" w:eastAsia="仿宋" w:cstheme="minorBidi"/>
          <w:kern w:val="2"/>
          <w:sz w:val="32"/>
          <w:szCs w:val="32"/>
          <w:highlight w:val="none"/>
        </w:rPr>
        <w:t>规模较大，</w:t>
      </w:r>
      <w:r>
        <w:rPr>
          <w:rFonts w:hint="eastAsia" w:ascii="仿宋" w:hAnsi="仿宋" w:eastAsia="仿宋" w:cstheme="minorBidi"/>
          <w:kern w:val="2"/>
          <w:sz w:val="32"/>
          <w:szCs w:val="32"/>
          <w:highlight w:val="none"/>
          <w:lang w:eastAsia="zh-CN"/>
        </w:rPr>
        <w:t>并因</w:t>
      </w:r>
      <w:r>
        <w:rPr>
          <w:rFonts w:hint="eastAsia" w:ascii="仿宋" w:hAnsi="仿宋" w:eastAsia="仿宋" w:cstheme="minorBidi"/>
          <w:kern w:val="2"/>
          <w:sz w:val="32"/>
          <w:szCs w:val="32"/>
          <w:highlight w:val="none"/>
        </w:rPr>
        <w:t>发生本指引第</w:t>
      </w:r>
      <w:r>
        <w:rPr>
          <w:rFonts w:hint="eastAsia" w:ascii="仿宋" w:hAnsi="仿宋" w:eastAsia="仿宋" w:cstheme="minorBidi"/>
          <w:kern w:val="2"/>
          <w:sz w:val="32"/>
          <w:szCs w:val="32"/>
          <w:highlight w:val="none"/>
          <w:lang w:eastAsia="zh-CN"/>
        </w:rPr>
        <w:t>三十</w:t>
      </w:r>
      <w:r>
        <w:rPr>
          <w:rFonts w:hint="eastAsia" w:ascii="仿宋" w:hAnsi="仿宋" w:cstheme="minorBidi"/>
          <w:kern w:val="2"/>
          <w:sz w:val="32"/>
          <w:szCs w:val="32"/>
          <w:highlight w:val="none"/>
          <w:lang w:eastAsia="zh-CN"/>
        </w:rPr>
        <w:t>五</w:t>
      </w:r>
      <w:r>
        <w:rPr>
          <w:rFonts w:hint="eastAsia" w:ascii="仿宋" w:hAnsi="仿宋" w:eastAsia="仿宋" w:cstheme="minorBidi"/>
          <w:kern w:val="2"/>
          <w:sz w:val="32"/>
          <w:szCs w:val="32"/>
          <w:highlight w:val="none"/>
        </w:rPr>
        <w:t>条规定情形</w:t>
      </w:r>
      <w:r>
        <w:rPr>
          <w:rFonts w:hint="eastAsia" w:ascii="仿宋" w:hAnsi="仿宋" w:eastAsia="仿宋" w:cstheme="minorBidi"/>
          <w:kern w:val="2"/>
          <w:sz w:val="32"/>
          <w:szCs w:val="32"/>
          <w:highlight w:val="none"/>
          <w:lang w:eastAsia="zh-CN"/>
        </w:rPr>
        <w:t>而开展的现场排查</w:t>
      </w:r>
      <w:r>
        <w:rPr>
          <w:rFonts w:hint="eastAsia" w:ascii="仿宋" w:hAnsi="仿宋" w:eastAsia="仿宋" w:cstheme="minorBidi"/>
          <w:kern w:val="2"/>
          <w:sz w:val="32"/>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w:t>
      </w:r>
      <w:r>
        <w:rPr>
          <w:rFonts w:hint="eastAsia" w:ascii="仿宋" w:hAnsi="仿宋"/>
          <w:szCs w:val="32"/>
          <w:highlight w:val="none"/>
          <w:lang w:eastAsia="zh-CN"/>
        </w:rPr>
        <w:t>四</w:t>
      </w:r>
      <w:r>
        <w:rPr>
          <w:rFonts w:hint="eastAsia" w:ascii="仿宋" w:hAnsi="仿宋"/>
          <w:szCs w:val="32"/>
          <w:highlight w:val="none"/>
        </w:rPr>
        <w:t>）其他本所或者管理人认为有必要由相关高级管理人员参与的风险排查。</w:t>
      </w:r>
    </w:p>
    <w:p>
      <w:pPr>
        <w:pStyle w:val="3"/>
        <w:ind w:firstLine="0" w:firstLineChars="0"/>
        <w:jc w:val="center"/>
        <w:rPr>
          <w:rFonts w:ascii="楷体" w:hAnsi="楷体" w:eastAsia="楷体"/>
          <w:b w:val="0"/>
          <w:highlight w:val="none"/>
        </w:rPr>
      </w:pPr>
      <w:bookmarkStart w:id="15" w:name="_Toc121941209"/>
      <w:bookmarkStart w:id="16" w:name="_Toc120129832"/>
      <w:r>
        <w:rPr>
          <w:rFonts w:hint="eastAsia" w:ascii="楷体" w:hAnsi="楷体" w:eastAsia="楷体"/>
          <w:b w:val="0"/>
          <w:highlight w:val="none"/>
        </w:rPr>
        <w:t>第四节 信用风险管理报告机制</w:t>
      </w:r>
      <w:bookmarkEnd w:id="15"/>
      <w:bookmarkEnd w:id="16"/>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七</w:t>
      </w:r>
      <w:r>
        <w:rPr>
          <w:rFonts w:hint="eastAsia" w:ascii="仿宋" w:hAnsi="仿宋"/>
          <w:b/>
          <w:szCs w:val="32"/>
          <w:highlight w:val="none"/>
        </w:rPr>
        <w:t xml:space="preserve">条 </w:t>
      </w:r>
      <w:r>
        <w:rPr>
          <w:rFonts w:hint="eastAsia" w:ascii="仿宋" w:hAnsi="仿宋"/>
          <w:szCs w:val="32"/>
          <w:highlight w:val="none"/>
        </w:rPr>
        <w:t>管理人及其相关人员应当及时向本所报告信用风险监测、排查、应对和处置中的重要情况。情况紧急的，管理人及其相关人员应当及时口头报告，再提交相关书面报告。</w:t>
      </w:r>
    </w:p>
    <w:p>
      <w:pPr>
        <w:adjustRightInd w:val="0"/>
        <w:snapToGrid w:val="0"/>
        <w:spacing w:line="560" w:lineRule="exact"/>
        <w:ind w:firstLine="640"/>
        <w:rPr>
          <w:rFonts w:ascii="仿宋" w:hAnsi="仿宋"/>
          <w:szCs w:val="32"/>
          <w:highlight w:val="none"/>
        </w:rPr>
      </w:pPr>
      <w:r>
        <w:rPr>
          <w:rFonts w:ascii="仿宋" w:hAnsi="仿宋"/>
          <w:szCs w:val="32"/>
          <w:highlight w:val="none"/>
        </w:rPr>
        <w:t>特定原始</w:t>
      </w:r>
      <w:r>
        <w:rPr>
          <w:rFonts w:hint="eastAsia" w:ascii="仿宋" w:hAnsi="仿宋"/>
          <w:szCs w:val="32"/>
          <w:highlight w:val="none"/>
        </w:rPr>
        <w:t>权益人、增信机构、资信评级机构和其他相关机构及其相关人员在履行信用风险管理职责过程中，发现资产支持证券按照约定分配收益存在重大不确定性的，应当及时向本所报告。</w:t>
      </w:r>
    </w:p>
    <w:p>
      <w:pPr>
        <w:adjustRightInd w:val="0"/>
        <w:snapToGrid w:val="0"/>
        <w:spacing w:line="560" w:lineRule="exact"/>
        <w:ind w:firstLine="643"/>
        <w:rPr>
          <w:rFonts w:hint="eastAsia" w:ascii="仿宋" w:hAnsi="仿宋"/>
          <w:szCs w:val="32"/>
          <w:highlight w:val="none"/>
        </w:rPr>
      </w:pPr>
      <w:r>
        <w:rPr>
          <w:rFonts w:hint="eastAsia" w:ascii="仿宋" w:hAnsi="仿宋"/>
          <w:b/>
          <w:szCs w:val="32"/>
          <w:highlight w:val="none"/>
        </w:rPr>
        <w:t>第三十</w:t>
      </w:r>
      <w:r>
        <w:rPr>
          <w:rFonts w:hint="eastAsia" w:ascii="仿宋" w:hAnsi="仿宋"/>
          <w:b/>
          <w:szCs w:val="32"/>
          <w:highlight w:val="none"/>
          <w:lang w:eastAsia="zh-CN"/>
        </w:rPr>
        <w:t>八</w:t>
      </w:r>
      <w:r>
        <w:rPr>
          <w:rFonts w:hint="eastAsia" w:ascii="仿宋" w:hAnsi="仿宋"/>
          <w:b/>
          <w:szCs w:val="32"/>
          <w:highlight w:val="none"/>
        </w:rPr>
        <w:t>条</w:t>
      </w:r>
      <w:r>
        <w:rPr>
          <w:rFonts w:hint="eastAsia" w:ascii="仿宋" w:hAnsi="仿宋"/>
          <w:szCs w:val="32"/>
          <w:highlight w:val="none"/>
        </w:rPr>
        <w:t xml:space="preserve"> 管理人应当在每年2月</w:t>
      </w:r>
      <w:r>
        <w:rPr>
          <w:rFonts w:hint="eastAsia" w:ascii="仿宋" w:hAnsi="仿宋"/>
          <w:szCs w:val="32"/>
          <w:highlight w:val="none"/>
          <w:lang w:eastAsia="zh-CN"/>
        </w:rPr>
        <w:t>末</w:t>
      </w:r>
      <w:r>
        <w:rPr>
          <w:rFonts w:hint="eastAsia" w:ascii="仿宋" w:hAnsi="仿宋"/>
          <w:szCs w:val="32"/>
          <w:highlight w:val="none"/>
        </w:rPr>
        <w:t>、5月</w:t>
      </w:r>
      <w:r>
        <w:rPr>
          <w:rFonts w:hint="eastAsia" w:ascii="仿宋" w:hAnsi="仿宋"/>
          <w:szCs w:val="32"/>
          <w:highlight w:val="none"/>
          <w:lang w:eastAsia="zh-CN"/>
        </w:rPr>
        <w:t>末</w:t>
      </w:r>
      <w:r>
        <w:rPr>
          <w:rFonts w:hint="eastAsia" w:ascii="仿宋" w:hAnsi="仿宋"/>
          <w:szCs w:val="32"/>
          <w:highlight w:val="none"/>
        </w:rPr>
        <w:t>、8月</w:t>
      </w:r>
      <w:r>
        <w:rPr>
          <w:rFonts w:hint="eastAsia" w:ascii="仿宋" w:hAnsi="仿宋"/>
          <w:szCs w:val="32"/>
          <w:highlight w:val="none"/>
          <w:lang w:eastAsia="zh-CN"/>
        </w:rPr>
        <w:t>末</w:t>
      </w:r>
      <w:r>
        <w:rPr>
          <w:rFonts w:hint="eastAsia" w:ascii="仿宋" w:hAnsi="仿宋"/>
          <w:szCs w:val="32"/>
          <w:highlight w:val="none"/>
        </w:rPr>
        <w:t>、11月</w:t>
      </w:r>
      <w:r>
        <w:rPr>
          <w:rFonts w:hint="eastAsia" w:ascii="仿宋" w:hAnsi="仿宋"/>
          <w:szCs w:val="32"/>
          <w:highlight w:val="none"/>
          <w:lang w:eastAsia="zh-CN"/>
        </w:rPr>
        <w:t>末之</w:t>
      </w:r>
      <w:r>
        <w:rPr>
          <w:rFonts w:hint="eastAsia" w:ascii="仿宋" w:hAnsi="仿宋"/>
          <w:szCs w:val="32"/>
          <w:highlight w:val="none"/>
        </w:rPr>
        <w:t>前，向本所报告截至上月末所管理存量资产支持证券的风险分类情况，</w:t>
      </w:r>
      <w:r>
        <w:rPr>
          <w:rFonts w:hint="eastAsia" w:ascii="仿宋" w:hAnsi="仿宋"/>
          <w:szCs w:val="32"/>
          <w:highlight w:val="none"/>
          <w:lang w:eastAsia="zh-CN"/>
        </w:rPr>
        <w:t>列</w:t>
      </w:r>
      <w:r>
        <w:rPr>
          <w:rFonts w:hint="eastAsia" w:ascii="仿宋" w:hAnsi="仿宋"/>
          <w:szCs w:val="32"/>
          <w:highlight w:val="none"/>
        </w:rPr>
        <w:t>明负责资产支持证券信用风险管理事务的高级管理人员、部门负责人、直接责任人员（以下统称相关责任人员）的姓名、职务和联系方式。</w:t>
      </w:r>
    </w:p>
    <w:p>
      <w:pPr>
        <w:adjustRightInd w:val="0"/>
        <w:snapToGrid w:val="0"/>
        <w:spacing w:line="560" w:lineRule="exact"/>
        <w:ind w:firstLine="643"/>
        <w:rPr>
          <w:rFonts w:hint="eastAsia" w:ascii="仿宋" w:hAnsi="仿宋"/>
          <w:szCs w:val="32"/>
          <w:highlight w:val="none"/>
        </w:rPr>
      </w:pPr>
      <w:r>
        <w:rPr>
          <w:rFonts w:hint="eastAsia" w:ascii="仿宋" w:hAnsi="仿宋"/>
          <w:szCs w:val="32"/>
          <w:highlight w:val="none"/>
        </w:rPr>
        <w:t>一般关注类以上风险程度的</w:t>
      </w:r>
      <w:r>
        <w:rPr>
          <w:rFonts w:hint="eastAsia" w:ascii="仿宋" w:hAnsi="仿宋"/>
          <w:szCs w:val="32"/>
          <w:highlight w:val="none"/>
          <w:lang w:eastAsia="zh-CN"/>
        </w:rPr>
        <w:t>资产支持证券</w:t>
      </w:r>
      <w:r>
        <w:rPr>
          <w:rFonts w:hint="eastAsia" w:ascii="仿宋" w:hAnsi="仿宋"/>
          <w:szCs w:val="32"/>
          <w:highlight w:val="none"/>
        </w:rPr>
        <w:t>在</w:t>
      </w:r>
      <w:r>
        <w:rPr>
          <w:rFonts w:hint="eastAsia" w:ascii="仿宋" w:hAnsi="仿宋"/>
          <w:szCs w:val="32"/>
          <w:highlight w:val="none"/>
          <w:lang w:eastAsia="zh-CN"/>
        </w:rPr>
        <w:t>所</w:t>
      </w:r>
      <w:r>
        <w:rPr>
          <w:rFonts w:hint="eastAsia" w:ascii="仿宋" w:hAnsi="仿宋"/>
          <w:szCs w:val="32"/>
          <w:highlight w:val="none"/>
        </w:rPr>
        <w:t>管理存量</w:t>
      </w:r>
      <w:r>
        <w:rPr>
          <w:rFonts w:hint="eastAsia" w:ascii="仿宋" w:hAnsi="仿宋"/>
          <w:szCs w:val="32"/>
          <w:highlight w:val="none"/>
          <w:lang w:eastAsia="zh-CN"/>
        </w:rPr>
        <w:t>资产支持证券</w:t>
      </w:r>
      <w:r>
        <w:rPr>
          <w:rFonts w:hint="eastAsia" w:ascii="仿宋" w:hAnsi="仿宋"/>
          <w:szCs w:val="32"/>
          <w:highlight w:val="none"/>
        </w:rPr>
        <w:t>中的只数占比、发行金额占比不足百分之五的，管理人应当说明是否按照本指引第二十</w:t>
      </w:r>
      <w:r>
        <w:rPr>
          <w:rFonts w:hint="eastAsia" w:ascii="仿宋" w:hAnsi="仿宋"/>
          <w:szCs w:val="32"/>
          <w:highlight w:val="none"/>
          <w:lang w:eastAsia="zh-CN"/>
        </w:rPr>
        <w:t>二</w:t>
      </w:r>
      <w:r>
        <w:rPr>
          <w:rFonts w:hint="eastAsia" w:ascii="仿宋" w:hAnsi="仿宋"/>
          <w:szCs w:val="32"/>
          <w:highlight w:val="none"/>
        </w:rPr>
        <w:t>条至第二十</w:t>
      </w:r>
      <w:r>
        <w:rPr>
          <w:rFonts w:hint="eastAsia" w:ascii="仿宋" w:hAnsi="仿宋"/>
          <w:szCs w:val="32"/>
          <w:highlight w:val="none"/>
          <w:lang w:eastAsia="zh-CN"/>
        </w:rPr>
        <w:t>六</w:t>
      </w:r>
      <w:r>
        <w:rPr>
          <w:rFonts w:hint="eastAsia" w:ascii="仿宋" w:hAnsi="仿宋"/>
          <w:szCs w:val="32"/>
          <w:highlight w:val="none"/>
        </w:rPr>
        <w:t>条规定要求，审慎评估确定</w:t>
      </w:r>
      <w:r>
        <w:rPr>
          <w:rFonts w:hint="eastAsia" w:ascii="仿宋" w:hAnsi="仿宋"/>
          <w:szCs w:val="32"/>
          <w:highlight w:val="none"/>
          <w:lang w:eastAsia="zh-CN"/>
        </w:rPr>
        <w:t>所管理资产支持证券</w:t>
      </w:r>
      <w:r>
        <w:rPr>
          <w:rFonts w:hint="eastAsia" w:ascii="仿宋" w:hAnsi="仿宋"/>
          <w:szCs w:val="32"/>
          <w:highlight w:val="none"/>
        </w:rPr>
        <w:t>的风险分类。</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三十九</w:t>
      </w:r>
      <w:r>
        <w:rPr>
          <w:rFonts w:hint="eastAsia" w:ascii="仿宋" w:hAnsi="仿宋"/>
          <w:b/>
          <w:szCs w:val="32"/>
          <w:highlight w:val="none"/>
        </w:rPr>
        <w:t>条</w:t>
      </w:r>
      <w:r>
        <w:rPr>
          <w:rFonts w:hint="eastAsia" w:ascii="仿宋" w:hAnsi="仿宋"/>
          <w:szCs w:val="32"/>
          <w:highlight w:val="none"/>
        </w:rPr>
        <w:t xml:space="preserve"> 管理人应当在每月20日前向本所报告下一个月内分配收益的一般关注类、重点关注类、风险类和违约类资产支持证券的资金筹措或者归集情况。</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四十</w:t>
      </w:r>
      <w:r>
        <w:rPr>
          <w:rFonts w:hint="eastAsia" w:ascii="仿宋" w:hAnsi="仿宋"/>
          <w:b/>
          <w:szCs w:val="32"/>
          <w:highlight w:val="none"/>
        </w:rPr>
        <w:t>条</w:t>
      </w:r>
      <w:r>
        <w:rPr>
          <w:rFonts w:hint="eastAsia" w:ascii="仿宋" w:hAnsi="仿宋"/>
          <w:szCs w:val="32"/>
          <w:highlight w:val="none"/>
        </w:rPr>
        <w:t xml:space="preserve"> 发生下列情形之一的，管理人应当在五个交易日内向本所报送信用风险管理临时报告和相关特定原始权益人、重要现金流提供方的风险档案：</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（一）资产支持证券的信用风险分类发生变更，并且变更前或者变更后的分类为重点关注类、风险类或者违约类；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（二）资产支持证券收益分配日前一个月（约定按月分配收益的资产支持证券为收益分配日前十个交易日），偿付资金的具体来源或者归集完成时间</w:t>
      </w:r>
      <w:r>
        <w:rPr>
          <w:rFonts w:hint="eastAsia" w:ascii="仿宋" w:hAnsi="仿宋"/>
          <w:szCs w:val="32"/>
          <w:highlight w:val="none"/>
          <w:lang w:eastAsia="zh-CN"/>
        </w:rPr>
        <w:t>仍然</w:t>
      </w:r>
      <w:r>
        <w:rPr>
          <w:rFonts w:hint="eastAsia" w:ascii="仿宋" w:hAnsi="仿宋"/>
          <w:szCs w:val="32"/>
          <w:highlight w:val="none"/>
        </w:rPr>
        <w:t>无法确定，预计按时分配收益存在较大不确定性；</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（三）重点关注类、风险类和违约类资产支持证券的信用风险发生重大不利变化或者风险应对处置工作取得重大进展；</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（四）可能对资产支持证券按时分配收益产生较大不利影响的其他情形。</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一</w:t>
      </w:r>
      <w:r>
        <w:rPr>
          <w:rFonts w:hint="eastAsia" w:ascii="仿宋" w:hAnsi="仿宋"/>
          <w:b/>
          <w:szCs w:val="32"/>
          <w:highlight w:val="none"/>
        </w:rPr>
        <w:t>条</w:t>
      </w:r>
      <w:r>
        <w:rPr>
          <w:rFonts w:hint="eastAsia" w:ascii="仿宋" w:hAnsi="仿宋"/>
          <w:szCs w:val="32"/>
          <w:highlight w:val="none"/>
        </w:rPr>
        <w:t xml:space="preserve"> 信用风险管理临时报告应当包括但不限于下列内容，</w:t>
      </w:r>
      <w:r>
        <w:rPr>
          <w:rFonts w:hint="eastAsia" w:ascii="仿宋" w:hAnsi="仿宋"/>
          <w:bCs/>
          <w:szCs w:val="32"/>
          <w:highlight w:val="none"/>
        </w:rPr>
        <w:t>并标明较前次报送发生变化的事项</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（一）专项计划和资产支持证券的基本情况、最新风险分类；</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（二）风险分类调整及其原因（如有）；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（三）最新风险事项基本情况（如有）；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（四）已采取的信用风险主动管理措施、效果和面临的主要困难；</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（五）下一步风险应对安排，包括偿付资金来源和可行性评估、</w:t>
      </w:r>
      <w:r>
        <w:rPr>
          <w:rFonts w:hint="eastAsia" w:ascii="仿宋" w:hAnsi="仿宋"/>
          <w:bCs/>
          <w:szCs w:val="32"/>
          <w:highlight w:val="none"/>
        </w:rPr>
        <w:t>筹措归集计划和相关时间安排等</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（六）下一步风险应对安排涉及处置资产的，应当说明拟处置资产或者项目的明细和计划处置时间，涉及协商和解的，应当说明相关沟通安排和进展情况；</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（七）管理人履职情况，包括已采取的应对措施及其效果、内部集体决策机制执行情况、相关责任人员的履职情况等；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（八）特定原始权益人、重要现金流提供方主要负责人和业务联络人的姓名、职务、职责范围、电话和邮箱；</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（九）管理人相关责任人员的姓名、职务、职责范围、电话和邮箱；</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（十）管理人认为应当报告的其他事项。</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二</w:t>
      </w:r>
      <w:r>
        <w:rPr>
          <w:rFonts w:hint="eastAsia" w:ascii="仿宋" w:hAnsi="仿宋"/>
          <w:b/>
          <w:szCs w:val="32"/>
          <w:highlight w:val="none"/>
        </w:rPr>
        <w:t>条</w:t>
      </w:r>
      <w:r>
        <w:rPr>
          <w:rFonts w:hint="eastAsia" w:ascii="仿宋" w:hAnsi="仿宋"/>
          <w:szCs w:val="32"/>
          <w:highlight w:val="none"/>
        </w:rPr>
        <w:t xml:space="preserve"> 管理人报送的特定原始权益人、重要现金流提供方的风险档案应当包括但不限于下列内容，</w:t>
      </w:r>
      <w:r>
        <w:rPr>
          <w:rFonts w:hint="eastAsia" w:ascii="仿宋" w:hAnsi="仿宋"/>
          <w:bCs/>
          <w:szCs w:val="32"/>
          <w:highlight w:val="none"/>
        </w:rPr>
        <w:t>并标明较前次报送发生变化的事项</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（一）基本情况，包括企业名称、企业性质、所处行业、注册地、主要业务所在地、成立时间、控股股东、实际控制人、是否为境内外上市公司或者上市公司关联方等；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（二）生产经营情况、财务情况、公司治理情况，包括从事的主要业务、市场地位、主要收入来源、主要财务数据等；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（三）所属企业集团内的融资产品情况，包括融资主体、期限结构、产品明细表，并按照融资主体和偿付事项类型列示未来一年内存在偿付事项产品的只数、金额和上市挂牌场所；</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（四）主要风险情况，结合有息负债结构、投资者保护条款约定情况、现金流情况、资产变现能力、融资的可得性等方面分析评估一个月内、三个月内、六个月内的信用风险程度</w:t>
      </w:r>
      <w:r>
        <w:rPr>
          <w:rFonts w:hint="eastAsia" w:ascii="仿宋" w:hAnsi="仿宋" w:eastAsia="仿宋"/>
          <w:bCs/>
          <w:sz w:val="32"/>
          <w:szCs w:val="32"/>
          <w:highlight w:val="none"/>
        </w:rPr>
        <w:t>，分析潜在风险传导路径</w:t>
      </w:r>
      <w:r>
        <w:rPr>
          <w:rFonts w:hint="eastAsia" w:ascii="仿宋" w:hAnsi="仿宋"/>
          <w:szCs w:val="32"/>
          <w:highlight w:val="none"/>
        </w:rPr>
        <w:t>；</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（五）特定原始权益人、重要现金流提供方为投资控股型企业的，应当包括核心子公司的基本情况、生产经营与财务情况、主要风险情况及其影响；</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（六）特定原始权益人、重要现金流提供方的</w:t>
      </w:r>
      <w:r>
        <w:rPr>
          <w:rFonts w:hint="eastAsia" w:ascii="仿宋" w:hAnsi="仿宋"/>
          <w:szCs w:val="32"/>
          <w:highlight w:val="none"/>
          <w:lang w:eastAsia="zh-CN"/>
        </w:rPr>
        <w:t>直接或者间接</w:t>
      </w:r>
      <w:r>
        <w:rPr>
          <w:rFonts w:hint="eastAsia" w:ascii="仿宋" w:hAnsi="仿宋"/>
          <w:szCs w:val="32"/>
          <w:highlight w:val="none"/>
        </w:rPr>
        <w:t>控股股东</w:t>
      </w:r>
      <w:r>
        <w:rPr>
          <w:rFonts w:hint="eastAsia" w:ascii="仿宋" w:hAnsi="仿宋"/>
          <w:szCs w:val="32"/>
          <w:highlight w:val="none"/>
          <w:lang w:eastAsia="zh-CN"/>
        </w:rPr>
        <w:t>、处于同一控制下的其他</w:t>
      </w:r>
      <w:r>
        <w:rPr>
          <w:rFonts w:hint="eastAsia" w:ascii="仿宋" w:hAnsi="仿宋"/>
          <w:szCs w:val="32"/>
          <w:highlight w:val="none"/>
        </w:rPr>
        <w:t>重要关联方为境内外上市公司，或者在境内外公开市场有存量融资产品并且可能与特定原始权益人、重要现金流提供方交叉传导风险的，应当包括控股股东或者重要关联方的基本情况、生产经营与财务情况、</w:t>
      </w:r>
      <w:r>
        <w:rPr>
          <w:rFonts w:hint="eastAsia" w:ascii="仿宋" w:hAnsi="仿宋"/>
          <w:szCs w:val="32"/>
          <w:highlight w:val="none"/>
          <w:lang w:eastAsia="zh-CN"/>
        </w:rPr>
        <w:t>公司治理情况、</w:t>
      </w:r>
      <w:r>
        <w:rPr>
          <w:rFonts w:hint="eastAsia" w:ascii="仿宋" w:hAnsi="仿宋"/>
          <w:szCs w:val="32"/>
          <w:highlight w:val="none"/>
        </w:rPr>
        <w:t>公开市场融资情况、主要风险情况及其影响。</w:t>
      </w:r>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bookmarkStart w:id="17" w:name="_Toc120129833"/>
      <w:bookmarkStart w:id="18" w:name="_Toc121941210"/>
      <w:r>
        <w:rPr>
          <w:rFonts w:hint="eastAsia" w:ascii="黑体" w:hAnsi="黑体" w:cs="Times New Roman"/>
          <w:b w:val="0"/>
          <w:szCs w:val="32"/>
          <w:highlight w:val="none"/>
        </w:rPr>
        <w:t>信用风险应对与处置</w:t>
      </w:r>
      <w:bookmarkEnd w:id="17"/>
      <w:bookmarkEnd w:id="18"/>
    </w:p>
    <w:p>
      <w:pPr>
        <w:pStyle w:val="3"/>
        <w:ind w:firstLine="0" w:firstLineChars="0"/>
        <w:jc w:val="center"/>
        <w:rPr>
          <w:rFonts w:ascii="楷体" w:hAnsi="楷体" w:eastAsia="楷体"/>
          <w:b w:val="0"/>
          <w:highlight w:val="none"/>
        </w:rPr>
      </w:pPr>
      <w:bookmarkStart w:id="19" w:name="_Toc121941211"/>
      <w:bookmarkStart w:id="20" w:name="_Toc120129834"/>
      <w:r>
        <w:rPr>
          <w:rFonts w:hint="eastAsia" w:ascii="楷体" w:hAnsi="楷体" w:eastAsia="楷体"/>
          <w:b w:val="0"/>
          <w:highlight w:val="none"/>
        </w:rPr>
        <w:t>第一节 投资者权益保护机制安排</w:t>
      </w:r>
      <w:bookmarkEnd w:id="19"/>
      <w:bookmarkEnd w:id="20"/>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三</w:t>
      </w:r>
      <w:r>
        <w:rPr>
          <w:rFonts w:hint="eastAsia" w:ascii="仿宋" w:hAnsi="仿宋"/>
          <w:b/>
          <w:szCs w:val="32"/>
          <w:highlight w:val="none"/>
        </w:rPr>
        <w:t>条</w:t>
      </w:r>
      <w:r>
        <w:rPr>
          <w:rFonts w:hint="eastAsia" w:ascii="仿宋" w:hAnsi="仿宋"/>
          <w:szCs w:val="32"/>
          <w:highlight w:val="none"/>
        </w:rPr>
        <w:t xml:space="preserve"> 资产支持证券发行前，管理人等信用风险管理业务参与人应当在计划说明书、标准条款、增信协议等文件中，</w:t>
      </w:r>
      <w:r>
        <w:rPr>
          <w:rFonts w:hint="eastAsia" w:ascii="仿宋" w:hAnsi="仿宋"/>
          <w:bCs/>
          <w:szCs w:val="32"/>
          <w:highlight w:val="none"/>
        </w:rPr>
        <w:t>约定偿付保障措施、投资者保护条款、信用风险化解处置措施等投资者权益保护机制以及相关方的权利和义务，明确投资者权益保护机制的启动程序、</w:t>
      </w:r>
      <w:r>
        <w:rPr>
          <w:rFonts w:hint="eastAsia" w:ascii="仿宋" w:hAnsi="仿宋"/>
          <w:szCs w:val="32"/>
          <w:highlight w:val="none"/>
        </w:rPr>
        <w:t>实施安排、宽限期安排、违约责任等事项，并按照规定和约定予以披露。</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四</w:t>
      </w:r>
      <w:r>
        <w:rPr>
          <w:rFonts w:hint="eastAsia" w:ascii="仿宋" w:hAnsi="仿宋"/>
          <w:b/>
          <w:szCs w:val="32"/>
          <w:highlight w:val="none"/>
        </w:rPr>
        <w:t>条</w:t>
      </w:r>
      <w:r>
        <w:rPr>
          <w:rFonts w:hint="eastAsia" w:ascii="仿宋" w:hAnsi="仿宋"/>
          <w:szCs w:val="32"/>
          <w:highlight w:val="none"/>
        </w:rPr>
        <w:t xml:space="preserve"> 计划说明书、标准条款、增信协议等文件约定投资者权益保护机制的，管理人应当在资产服务协议、托管协议等文件中</w:t>
      </w:r>
      <w:r>
        <w:rPr>
          <w:rFonts w:hint="eastAsia" w:ascii="仿宋" w:hAnsi="仿宋"/>
          <w:bCs/>
          <w:szCs w:val="32"/>
          <w:highlight w:val="none"/>
        </w:rPr>
        <w:t>约定对</w:t>
      </w:r>
      <w:r>
        <w:rPr>
          <w:rFonts w:hint="eastAsia" w:ascii="仿宋" w:hAnsi="仿宋"/>
          <w:szCs w:val="32"/>
          <w:highlight w:val="none"/>
        </w:rPr>
        <w:t>相关</w:t>
      </w:r>
      <w:r>
        <w:rPr>
          <w:rFonts w:hint="eastAsia" w:ascii="仿宋" w:hAnsi="仿宋"/>
          <w:bCs/>
          <w:szCs w:val="32"/>
          <w:highlight w:val="none"/>
        </w:rPr>
        <w:t>机制的监测和执行安排</w:t>
      </w:r>
      <w:r>
        <w:rPr>
          <w:rFonts w:hint="eastAsia" w:ascii="仿宋" w:hAnsi="仿宋"/>
          <w:szCs w:val="32"/>
          <w:highlight w:val="none"/>
        </w:rPr>
        <w:t>，明确相关方违反约定的救济方式和违约责任。</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五</w:t>
      </w:r>
      <w:r>
        <w:rPr>
          <w:rFonts w:hint="eastAsia" w:ascii="仿宋" w:hAnsi="仿宋"/>
          <w:b/>
          <w:szCs w:val="32"/>
          <w:highlight w:val="none"/>
        </w:rPr>
        <w:t>条</w:t>
      </w:r>
      <w:r>
        <w:rPr>
          <w:rFonts w:hint="eastAsia" w:ascii="仿宋" w:hAnsi="仿宋"/>
          <w:bCs/>
          <w:szCs w:val="32"/>
          <w:highlight w:val="none"/>
        </w:rPr>
        <w:t xml:space="preserve"> 资产支持证券</w:t>
      </w:r>
      <w:r>
        <w:rPr>
          <w:rFonts w:hint="eastAsia" w:ascii="仿宋" w:hAnsi="仿宋"/>
          <w:szCs w:val="32"/>
          <w:highlight w:val="none"/>
        </w:rPr>
        <w:t>存续期间，管理人应当在年度资产管理报告中披露信用风险管理履职情况、投资者权益保护机制的执行情况等。</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六</w:t>
      </w:r>
      <w:r>
        <w:rPr>
          <w:rFonts w:hint="eastAsia" w:ascii="仿宋" w:hAnsi="仿宋"/>
          <w:b/>
          <w:szCs w:val="32"/>
          <w:highlight w:val="none"/>
        </w:rPr>
        <w:t>条</w:t>
      </w:r>
      <w:r>
        <w:rPr>
          <w:rFonts w:hint="eastAsia" w:ascii="仿宋" w:hAnsi="仿宋"/>
          <w:szCs w:val="32"/>
          <w:highlight w:val="none"/>
        </w:rPr>
        <w:t xml:space="preserve"> 管理人应当按照有利于保护</w:t>
      </w:r>
      <w:r>
        <w:rPr>
          <w:rFonts w:hint="eastAsia" w:ascii="仿宋" w:hAnsi="仿宋"/>
          <w:szCs w:val="32"/>
          <w:highlight w:val="none"/>
          <w:lang w:eastAsia="zh-CN"/>
        </w:rPr>
        <w:t>资产支持证券</w:t>
      </w:r>
      <w:r>
        <w:rPr>
          <w:rFonts w:hint="eastAsia" w:ascii="仿宋" w:hAnsi="仿宋"/>
          <w:szCs w:val="32"/>
          <w:highlight w:val="none"/>
        </w:rPr>
        <w:t>持有人利益的原则制定持有人会议规则。资产支持证券持有人可以通过持有人会议机制与相关负有偿付义务的主体、管理人等信用风险管理业务参与人进行沟通，表达合理诉求，协商确定风险化解处置方案。</w:t>
      </w:r>
    </w:p>
    <w:p>
      <w:pPr>
        <w:adjustRightInd w:val="0"/>
        <w:snapToGrid w:val="0"/>
        <w:spacing w:line="560" w:lineRule="exact"/>
        <w:ind w:firstLine="640" w:firstLineChars="0"/>
        <w:jc w:val="left"/>
        <w:rPr>
          <w:rFonts w:ascii="仿宋" w:hAnsi="仿宋" w:eastAsia="仿宋"/>
          <w:sz w:val="32"/>
          <w:szCs w:val="32"/>
          <w:highlight w:val="none"/>
        </w:rPr>
      </w:pPr>
      <w:r>
        <w:rPr>
          <w:rFonts w:hint="eastAsia" w:ascii="仿宋" w:hAnsi="仿宋"/>
          <w:szCs w:val="32"/>
          <w:highlight w:val="none"/>
          <w:lang w:eastAsia="zh-CN"/>
        </w:rPr>
        <w:t>本所</w:t>
      </w:r>
      <w:r>
        <w:rPr>
          <w:rFonts w:hint="eastAsia" w:ascii="仿宋" w:hAnsi="仿宋"/>
          <w:szCs w:val="32"/>
          <w:highlight w:val="none"/>
        </w:rPr>
        <w:t>鼓励持有人会议规则根据不同表决事项，建立分层表决机制。对于可能实质减损、让渡资产支持证券持有人利益的相关事项，持有人会议规则应当明确相关表决机制、程序、决议效力和落实等事项。</w:t>
      </w:r>
    </w:p>
    <w:p>
      <w:pPr>
        <w:pStyle w:val="3"/>
        <w:ind w:firstLine="0" w:firstLineChars="0"/>
        <w:jc w:val="center"/>
        <w:rPr>
          <w:rFonts w:ascii="楷体" w:hAnsi="楷体" w:eastAsia="楷体"/>
          <w:b w:val="0"/>
          <w:highlight w:val="none"/>
        </w:rPr>
      </w:pPr>
      <w:bookmarkStart w:id="21" w:name="_Toc121941212"/>
      <w:bookmarkStart w:id="22" w:name="_Toc120129835"/>
      <w:r>
        <w:rPr>
          <w:rFonts w:hint="eastAsia" w:ascii="楷体" w:hAnsi="楷体" w:eastAsia="楷体"/>
          <w:b w:val="0"/>
          <w:highlight w:val="none"/>
        </w:rPr>
        <w:t>第二节 信用风险主动管理</w:t>
      </w:r>
      <w:bookmarkEnd w:id="21"/>
      <w:bookmarkEnd w:id="22"/>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第四十</w:t>
      </w:r>
      <w:r>
        <w:rPr>
          <w:rFonts w:hint="eastAsia" w:ascii="仿宋" w:hAnsi="仿宋"/>
          <w:b/>
          <w:szCs w:val="32"/>
          <w:highlight w:val="none"/>
          <w:lang w:eastAsia="zh-CN"/>
        </w:rPr>
        <w:t>七</w:t>
      </w:r>
      <w:r>
        <w:rPr>
          <w:rFonts w:hint="eastAsia" w:ascii="仿宋" w:hAnsi="仿宋"/>
          <w:b/>
          <w:szCs w:val="32"/>
          <w:highlight w:val="none"/>
        </w:rPr>
        <w:t>条</w:t>
      </w:r>
      <w:r>
        <w:rPr>
          <w:rFonts w:hint="eastAsia" w:ascii="仿宋" w:hAnsi="仿宋"/>
          <w:szCs w:val="32"/>
          <w:highlight w:val="none"/>
        </w:rPr>
        <w:t xml:space="preserve"> </w:t>
      </w:r>
      <w:r>
        <w:rPr>
          <w:rFonts w:hint="eastAsia" w:ascii="仿宋" w:hAnsi="仿宋"/>
          <w:szCs w:val="32"/>
          <w:highlight w:val="none"/>
          <w:lang w:eastAsia="zh-CN"/>
        </w:rPr>
        <w:t>本所</w:t>
      </w:r>
      <w:r>
        <w:rPr>
          <w:rFonts w:hint="eastAsia" w:ascii="仿宋" w:hAnsi="仿宋"/>
          <w:szCs w:val="32"/>
          <w:highlight w:val="none"/>
        </w:rPr>
        <w:t>鼓励特定原始权益人、增信机构通过采取下列措施主动管理自身的信用风险：</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（一）优化财务结构，合理安排债务期限结构、融资渠道和融资品种，综合运用多种方式进行债务管理。</w:t>
      </w:r>
    </w:p>
    <w:p>
      <w:pPr>
        <w:adjustRightInd w:val="0"/>
        <w:snapToGrid w:val="0"/>
        <w:spacing w:line="560" w:lineRule="exact"/>
        <w:ind w:firstLine="640"/>
        <w:rPr>
          <w:rFonts w:ascii="仿宋" w:hAnsi="仿宋"/>
          <w:bCs/>
          <w:szCs w:val="32"/>
          <w:highlight w:val="none"/>
        </w:rPr>
      </w:pPr>
      <w:r>
        <w:rPr>
          <w:rFonts w:hint="eastAsia" w:ascii="仿宋" w:hAnsi="仿宋"/>
          <w:szCs w:val="32"/>
          <w:highlight w:val="none"/>
        </w:rPr>
        <w:t>（二）</w:t>
      </w:r>
      <w:r>
        <w:rPr>
          <w:rFonts w:hint="eastAsia" w:ascii="仿宋" w:hAnsi="仿宋"/>
          <w:bCs/>
          <w:szCs w:val="32"/>
          <w:highlight w:val="none"/>
        </w:rPr>
        <w:t>完善公司治理，对信用风险管理事务配备充足资源，提高信用风险主动管理和应对处置水平；健全所属企业集团以及各经营主体、融资主体之间的投资、融资决策和资金管理机制，确保有效隔离不同主体风险。</w:t>
      </w:r>
    </w:p>
    <w:p>
      <w:pPr>
        <w:adjustRightInd w:val="0"/>
        <w:snapToGrid w:val="0"/>
        <w:spacing w:line="560" w:lineRule="exact"/>
        <w:ind w:firstLine="640"/>
        <w:rPr>
          <w:rFonts w:ascii="仿宋" w:hAnsi="仿宋"/>
          <w:bCs/>
          <w:szCs w:val="32"/>
          <w:highlight w:val="none"/>
        </w:rPr>
      </w:pPr>
      <w:r>
        <w:rPr>
          <w:rFonts w:hint="eastAsia" w:ascii="仿宋" w:hAnsi="仿宋"/>
          <w:bCs/>
          <w:szCs w:val="32"/>
          <w:highlight w:val="none"/>
        </w:rPr>
        <w:t>（三）强化信息披露，严格履行规定和约定的信息披露义务和承诺事项，鼓励自愿披露有利于全面、客观反映企业市场地位、经营情况、偿债能力、治理水平、投资者权益保护情况等方面的信息。</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（四）寻求外部支持，通过向控股股东、实际控制人申请资金或者增信支持，协调增信机构增加增信措施、代为偿还债务或者处置担保标的物等方式，缓解短期流动性压力。</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（五）及时变现资产，</w:t>
      </w:r>
      <w:r>
        <w:rPr>
          <w:rFonts w:hint="eastAsia" w:ascii="仿宋" w:hAnsi="仿宋"/>
          <w:bCs/>
          <w:szCs w:val="32"/>
          <w:highlight w:val="none"/>
        </w:rPr>
        <w:t>梳理资产明细并评估其变现能力，对照债务压力和资金需求，</w:t>
      </w:r>
      <w:r>
        <w:rPr>
          <w:rFonts w:hint="eastAsia" w:ascii="仿宋" w:hAnsi="仿宋"/>
          <w:szCs w:val="32"/>
          <w:highlight w:val="none"/>
        </w:rPr>
        <w:t>开展交易性金融资产变现、应收款项催收、存货变现、处置房屋、土地使用权或者股权等非流动资产等工作。</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（六）推进资产重组，通过处置亏损业务或者主体、剥离非主业相关业务板块、引入战略投资者等方式，优化资产或者业务结构，提升整体经营效率。</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（七）其他有利于保持良好资信状况的措施。</w:t>
      </w:r>
    </w:p>
    <w:p>
      <w:pPr>
        <w:adjustRightInd w:val="0"/>
        <w:snapToGrid w:val="0"/>
        <w:spacing w:line="560" w:lineRule="exact"/>
        <w:ind w:firstLine="643"/>
        <w:rPr>
          <w:rFonts w:ascii="仿宋" w:hAnsi="仿宋"/>
          <w:bCs/>
          <w:szCs w:val="32"/>
          <w:highlight w:val="none"/>
        </w:rPr>
      </w:pPr>
      <w:r>
        <w:rPr>
          <w:rFonts w:hint="eastAsia" w:ascii="仿宋" w:hAnsi="仿宋"/>
          <w:b/>
          <w:bCs/>
          <w:szCs w:val="32"/>
          <w:highlight w:val="none"/>
        </w:rPr>
        <w:t>第四十</w:t>
      </w:r>
      <w:r>
        <w:rPr>
          <w:rFonts w:hint="eastAsia" w:ascii="仿宋" w:hAnsi="仿宋"/>
          <w:b/>
          <w:bCs/>
          <w:szCs w:val="32"/>
          <w:highlight w:val="none"/>
          <w:lang w:eastAsia="zh-CN"/>
        </w:rPr>
        <w:t>八</w:t>
      </w:r>
      <w:r>
        <w:rPr>
          <w:rFonts w:hint="eastAsia" w:ascii="仿宋" w:hAnsi="仿宋"/>
          <w:b/>
          <w:bCs/>
          <w:szCs w:val="32"/>
          <w:highlight w:val="none"/>
        </w:rPr>
        <w:t>条</w:t>
      </w:r>
      <w:r>
        <w:rPr>
          <w:rFonts w:ascii="仿宋" w:hAnsi="仿宋"/>
          <w:bCs/>
          <w:szCs w:val="32"/>
          <w:highlight w:val="none"/>
        </w:rPr>
        <w:t xml:space="preserve"> </w:t>
      </w:r>
      <w:r>
        <w:rPr>
          <w:rFonts w:hint="eastAsia" w:ascii="仿宋" w:hAnsi="仿宋"/>
          <w:bCs/>
          <w:szCs w:val="32"/>
          <w:highlight w:val="none"/>
        </w:rPr>
        <w:t>管理人应当就信用风险监测、排查工作中了解的</w:t>
      </w:r>
      <w:r>
        <w:rPr>
          <w:rFonts w:hint="eastAsia" w:ascii="仿宋" w:hAnsi="仿宋"/>
          <w:szCs w:val="32"/>
          <w:highlight w:val="none"/>
        </w:rPr>
        <w:t>特定原始权益人、增信机构等信用风险</w:t>
      </w:r>
      <w:r>
        <w:rPr>
          <w:rFonts w:hint="eastAsia" w:ascii="仿宋" w:hAnsi="仿宋"/>
          <w:szCs w:val="32"/>
          <w:highlight w:val="none"/>
          <w:lang w:eastAsia="zh-CN"/>
        </w:rPr>
        <w:t>管理</w:t>
      </w:r>
      <w:r>
        <w:rPr>
          <w:rFonts w:hint="eastAsia" w:ascii="仿宋" w:hAnsi="仿宋"/>
          <w:szCs w:val="32"/>
          <w:highlight w:val="none"/>
        </w:rPr>
        <w:t>业务参与人的</w:t>
      </w:r>
      <w:r>
        <w:rPr>
          <w:rFonts w:hint="eastAsia" w:ascii="仿宋" w:hAnsi="仿宋"/>
          <w:bCs/>
          <w:szCs w:val="32"/>
          <w:highlight w:val="none"/>
        </w:rPr>
        <w:t>信用风险情况，主动与</w:t>
      </w:r>
      <w:r>
        <w:rPr>
          <w:rFonts w:hint="eastAsia" w:ascii="仿宋" w:hAnsi="仿宋"/>
          <w:szCs w:val="32"/>
          <w:highlight w:val="none"/>
        </w:rPr>
        <w:t>特定原始权益人、增信机构等信用风险</w:t>
      </w:r>
      <w:r>
        <w:rPr>
          <w:rFonts w:hint="eastAsia" w:ascii="仿宋" w:hAnsi="仿宋"/>
          <w:szCs w:val="32"/>
          <w:highlight w:val="none"/>
          <w:lang w:eastAsia="zh-CN"/>
        </w:rPr>
        <w:t>管理</w:t>
      </w:r>
      <w:r>
        <w:rPr>
          <w:rFonts w:hint="eastAsia" w:ascii="仿宋" w:hAnsi="仿宋"/>
          <w:szCs w:val="32"/>
          <w:highlight w:val="none"/>
        </w:rPr>
        <w:t>业务参与人</w:t>
      </w:r>
      <w:r>
        <w:rPr>
          <w:rFonts w:hint="eastAsia" w:ascii="仿宋" w:hAnsi="仿宋"/>
          <w:bCs/>
          <w:szCs w:val="32"/>
          <w:highlight w:val="none"/>
        </w:rPr>
        <w:t>进行沟通，协助其采取应对措施，并持续关注其信用风险的变化情况。</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w:t>
      </w:r>
      <w:r>
        <w:rPr>
          <w:rFonts w:hint="eastAsia" w:ascii="仿宋" w:hAnsi="仿宋"/>
          <w:b/>
          <w:szCs w:val="32"/>
          <w:highlight w:val="none"/>
          <w:lang w:eastAsia="zh-CN"/>
        </w:rPr>
        <w:t>四十九</w:t>
      </w:r>
      <w:r>
        <w:rPr>
          <w:rFonts w:hint="eastAsia" w:ascii="仿宋" w:hAnsi="仿宋"/>
          <w:b/>
          <w:szCs w:val="32"/>
          <w:highlight w:val="none"/>
        </w:rPr>
        <w:t>条</w:t>
      </w:r>
      <w:r>
        <w:rPr>
          <w:rFonts w:hint="eastAsia" w:ascii="仿宋" w:hAnsi="仿宋"/>
          <w:szCs w:val="32"/>
          <w:highlight w:val="none"/>
        </w:rPr>
        <w:t xml:space="preserve"> 发生本指引第三十</w:t>
      </w:r>
      <w:r>
        <w:rPr>
          <w:rFonts w:hint="eastAsia" w:ascii="仿宋" w:hAnsi="仿宋"/>
          <w:szCs w:val="32"/>
          <w:highlight w:val="none"/>
          <w:lang w:eastAsia="zh-CN"/>
        </w:rPr>
        <w:t>五</w:t>
      </w:r>
      <w:r>
        <w:rPr>
          <w:rFonts w:hint="eastAsia" w:ascii="仿宋" w:hAnsi="仿宋"/>
          <w:highlight w:val="none"/>
        </w:rPr>
        <w:t>条</w:t>
      </w:r>
      <w:r>
        <w:rPr>
          <w:rFonts w:hint="eastAsia" w:ascii="仿宋" w:hAnsi="仿宋"/>
          <w:szCs w:val="32"/>
          <w:highlight w:val="none"/>
        </w:rPr>
        <w:t>规定情形时，特定原始权益人应当及时</w:t>
      </w:r>
      <w:r>
        <w:rPr>
          <w:rFonts w:hint="eastAsia" w:ascii="仿宋" w:hAnsi="仿宋"/>
          <w:bCs/>
          <w:szCs w:val="32"/>
          <w:highlight w:val="none"/>
        </w:rPr>
        <w:t>、主动核查相关情况并分析对自身偿付能力和资产支持证券按照约定分配收益的影响。相关情况受到市场和资产支持证券持有人关注的，管理人应当根据风险排查情况，视情况通过公告澄清说明、沟通</w:t>
      </w:r>
      <w:r>
        <w:rPr>
          <w:rFonts w:hint="eastAsia" w:ascii="仿宋" w:hAnsi="仿宋"/>
          <w:bCs/>
          <w:szCs w:val="32"/>
          <w:highlight w:val="none"/>
          <w:lang w:eastAsia="zh-CN"/>
        </w:rPr>
        <w:t>资产支持证券持有人</w:t>
      </w:r>
      <w:r>
        <w:rPr>
          <w:rFonts w:hint="eastAsia" w:ascii="仿宋" w:hAnsi="仿宋"/>
          <w:bCs/>
          <w:szCs w:val="32"/>
          <w:highlight w:val="none"/>
        </w:rPr>
        <w:t>等方式予以回应。</w:t>
      </w:r>
    </w:p>
    <w:p>
      <w:pPr>
        <w:pStyle w:val="3"/>
        <w:ind w:firstLine="0" w:firstLineChars="0"/>
        <w:jc w:val="center"/>
        <w:rPr>
          <w:rFonts w:ascii="楷体" w:hAnsi="楷体" w:eastAsia="楷体"/>
          <w:b w:val="0"/>
          <w:highlight w:val="none"/>
        </w:rPr>
      </w:pPr>
      <w:bookmarkStart w:id="23" w:name="_Toc120129836"/>
      <w:bookmarkStart w:id="24" w:name="_Toc121941213"/>
      <w:r>
        <w:rPr>
          <w:rFonts w:hint="eastAsia" w:ascii="楷体" w:hAnsi="楷体" w:eastAsia="楷体"/>
          <w:b w:val="0"/>
          <w:highlight w:val="none"/>
        </w:rPr>
        <w:t>第三节 信用风险化解处置</w:t>
      </w:r>
      <w:bookmarkEnd w:id="23"/>
      <w:bookmarkEnd w:id="24"/>
    </w:p>
    <w:p>
      <w:pPr>
        <w:adjustRightInd w:val="0"/>
        <w:snapToGrid w:val="0"/>
        <w:spacing w:line="560" w:lineRule="exact"/>
        <w:ind w:firstLine="643"/>
        <w:rPr>
          <w:rFonts w:ascii="仿宋" w:hAnsi="仿宋"/>
          <w:bCs/>
          <w:szCs w:val="32"/>
          <w:highlight w:val="none"/>
        </w:rPr>
      </w:pPr>
      <w:r>
        <w:rPr>
          <w:rFonts w:hint="eastAsia" w:ascii="仿宋" w:hAnsi="仿宋"/>
          <w:b/>
          <w:bCs/>
          <w:szCs w:val="32"/>
          <w:highlight w:val="none"/>
        </w:rPr>
        <w:t>第</w:t>
      </w:r>
      <w:r>
        <w:rPr>
          <w:rFonts w:hint="eastAsia" w:ascii="仿宋" w:hAnsi="仿宋"/>
          <w:b/>
          <w:bCs/>
          <w:szCs w:val="32"/>
          <w:highlight w:val="none"/>
          <w:lang w:eastAsia="zh-CN"/>
        </w:rPr>
        <w:t>五十</w:t>
      </w:r>
      <w:r>
        <w:rPr>
          <w:rFonts w:hint="eastAsia" w:ascii="仿宋" w:hAnsi="仿宋"/>
          <w:b/>
          <w:bCs/>
          <w:szCs w:val="32"/>
          <w:highlight w:val="none"/>
        </w:rPr>
        <w:t>条</w:t>
      </w:r>
      <w:r>
        <w:rPr>
          <w:rFonts w:hint="eastAsia" w:ascii="仿宋" w:hAnsi="仿宋"/>
          <w:bCs/>
          <w:szCs w:val="32"/>
          <w:highlight w:val="none"/>
        </w:rPr>
        <w:t xml:space="preserve"> 特定原始权益人、增信机构应当结合自身风险程度、经营情况、财务状况、投资者意愿、市场环境等因素和资产支持证券期限、含权条款、投资者保护条款约定等</w:t>
      </w:r>
      <w:r>
        <w:rPr>
          <w:rFonts w:hint="eastAsia" w:ascii="仿宋" w:hAnsi="仿宋"/>
          <w:szCs w:val="32"/>
          <w:highlight w:val="none"/>
        </w:rPr>
        <w:t>情况</w:t>
      </w:r>
      <w:r>
        <w:rPr>
          <w:rFonts w:hint="eastAsia" w:ascii="仿宋" w:hAnsi="仿宋"/>
          <w:bCs/>
          <w:szCs w:val="32"/>
          <w:highlight w:val="none"/>
        </w:rPr>
        <w:t>，合理选择信用风险管理工具或者其他信用风险化解处置措施。</w:t>
      </w:r>
    </w:p>
    <w:p>
      <w:pPr>
        <w:adjustRightInd w:val="0"/>
        <w:snapToGrid w:val="0"/>
        <w:spacing w:line="560" w:lineRule="exact"/>
        <w:ind w:firstLine="640"/>
        <w:rPr>
          <w:rFonts w:hint="eastAsia" w:ascii="仿宋" w:hAnsi="仿宋"/>
          <w:bCs/>
          <w:szCs w:val="32"/>
          <w:highlight w:val="none"/>
        </w:rPr>
      </w:pPr>
      <w:r>
        <w:rPr>
          <w:rFonts w:hint="eastAsia" w:ascii="仿宋" w:hAnsi="仿宋"/>
          <w:bCs/>
          <w:szCs w:val="32"/>
          <w:highlight w:val="none"/>
        </w:rPr>
        <w:t>管理人应当关注实施信用风险管理工具业务和信用风险化解处置措施的合规性，按照规定和约定履行信息披露和核查义务。</w:t>
      </w:r>
    </w:p>
    <w:p>
      <w:pPr>
        <w:adjustRightInd w:val="0"/>
        <w:snapToGrid w:val="0"/>
        <w:spacing w:line="560" w:lineRule="exact"/>
        <w:ind w:firstLine="640"/>
        <w:rPr>
          <w:rFonts w:hint="eastAsia" w:ascii="仿宋" w:hAnsi="仿宋"/>
          <w:bCs/>
          <w:szCs w:val="32"/>
          <w:highlight w:val="none"/>
        </w:rPr>
      </w:pPr>
      <w:r>
        <w:rPr>
          <w:rFonts w:hint="eastAsia" w:ascii="仿宋" w:hAnsi="仿宋"/>
          <w:b/>
          <w:bCs w:val="0"/>
          <w:szCs w:val="32"/>
          <w:highlight w:val="none"/>
        </w:rPr>
        <w:t>第</w:t>
      </w:r>
      <w:r>
        <w:rPr>
          <w:rFonts w:hint="eastAsia" w:ascii="仿宋" w:hAnsi="仿宋"/>
          <w:b/>
          <w:bCs w:val="0"/>
          <w:szCs w:val="32"/>
          <w:highlight w:val="none"/>
          <w:lang w:eastAsia="zh-CN"/>
        </w:rPr>
        <w:t>五十一</w:t>
      </w:r>
      <w:r>
        <w:rPr>
          <w:rFonts w:hint="eastAsia" w:ascii="仿宋" w:hAnsi="仿宋"/>
          <w:b/>
          <w:bCs w:val="0"/>
          <w:szCs w:val="32"/>
          <w:highlight w:val="none"/>
        </w:rPr>
        <w:t>条</w:t>
      </w:r>
      <w:r>
        <w:rPr>
          <w:rFonts w:hint="eastAsia" w:ascii="仿宋" w:hAnsi="仿宋"/>
          <w:bCs/>
          <w:szCs w:val="32"/>
          <w:highlight w:val="none"/>
        </w:rPr>
        <w:t xml:space="preserve"> </w:t>
      </w:r>
      <w:r>
        <w:rPr>
          <w:rFonts w:hint="eastAsia" w:ascii="仿宋" w:hAnsi="仿宋"/>
          <w:bCs/>
          <w:szCs w:val="32"/>
          <w:highlight w:val="none"/>
          <w:lang w:val="en-US" w:eastAsia="zh-CN"/>
        </w:rPr>
        <w:t>特定原始权益人</w:t>
      </w:r>
      <w:r>
        <w:rPr>
          <w:rFonts w:hint="eastAsia" w:ascii="仿宋" w:hAnsi="仿宋"/>
          <w:bCs/>
          <w:szCs w:val="32"/>
          <w:highlight w:val="none"/>
        </w:rPr>
        <w:t>的控股股东、实际控制人和</w:t>
      </w:r>
      <w:r>
        <w:rPr>
          <w:rFonts w:hint="eastAsia" w:ascii="仿宋" w:hAnsi="仿宋"/>
          <w:bCs/>
          <w:szCs w:val="32"/>
          <w:highlight w:val="none"/>
          <w:lang w:val="en-US" w:eastAsia="zh-CN"/>
        </w:rPr>
        <w:t>特定原始权益人</w:t>
      </w:r>
      <w:r>
        <w:rPr>
          <w:rFonts w:hint="eastAsia" w:ascii="仿宋" w:hAnsi="仿宋"/>
          <w:bCs/>
          <w:szCs w:val="32"/>
          <w:highlight w:val="none"/>
        </w:rPr>
        <w:t>的董事、监事、高级管理人员或者履行同等职责的人员应当按照规定和约定履行义务、职责和承诺，不得相互推诿，不得挪用、侵占基础资产及其产生的现金流，损害资产支持证券</w:t>
      </w:r>
      <w:r>
        <w:rPr>
          <w:rFonts w:hint="eastAsia" w:ascii="仿宋" w:hAnsi="仿宋"/>
          <w:bCs/>
          <w:szCs w:val="32"/>
          <w:highlight w:val="none"/>
          <w:lang w:eastAsia="zh-CN"/>
        </w:rPr>
        <w:t>持有人</w:t>
      </w:r>
      <w:r>
        <w:rPr>
          <w:rFonts w:hint="eastAsia" w:ascii="仿宋" w:hAnsi="仿宋"/>
          <w:bCs/>
          <w:szCs w:val="32"/>
          <w:highlight w:val="none"/>
        </w:rPr>
        <w:t>合法权益。</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二</w:t>
      </w:r>
      <w:r>
        <w:rPr>
          <w:rFonts w:hint="eastAsia" w:ascii="仿宋" w:hAnsi="仿宋"/>
          <w:b/>
          <w:szCs w:val="32"/>
          <w:highlight w:val="none"/>
        </w:rPr>
        <w:t>条</w:t>
      </w:r>
      <w:r>
        <w:rPr>
          <w:rFonts w:hint="eastAsia" w:ascii="仿宋" w:hAnsi="仿宋"/>
          <w:szCs w:val="32"/>
          <w:highlight w:val="none"/>
        </w:rPr>
        <w:t xml:space="preserve"> 资产支持证券预计无法按照约定分配收益的，管理人和特定原始权益人应当在三个交易日内成立信用风险化解处置工作小组，由各自主要负责人或者负责相关业务的高级管理人员牵头，按照规定和约定</w:t>
      </w:r>
      <w:r>
        <w:rPr>
          <w:rFonts w:hint="eastAsia" w:ascii="仿宋" w:hAnsi="仿宋"/>
          <w:highlight w:val="none"/>
        </w:rPr>
        <w:t>开展</w:t>
      </w:r>
      <w:r>
        <w:rPr>
          <w:rFonts w:hint="eastAsia" w:ascii="仿宋" w:hAnsi="仿宋"/>
          <w:szCs w:val="32"/>
          <w:highlight w:val="none"/>
        </w:rPr>
        <w:t>信用风险化解处置工作。</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三</w:t>
      </w:r>
      <w:r>
        <w:rPr>
          <w:rFonts w:hint="eastAsia" w:ascii="仿宋" w:hAnsi="仿宋"/>
          <w:b/>
          <w:szCs w:val="32"/>
          <w:highlight w:val="none"/>
        </w:rPr>
        <w:t>条</w:t>
      </w:r>
      <w:r>
        <w:rPr>
          <w:rFonts w:hint="eastAsia" w:ascii="仿宋" w:hAnsi="仿宋"/>
          <w:szCs w:val="32"/>
          <w:highlight w:val="none"/>
        </w:rPr>
        <w:t xml:space="preserve"> 风险类资产支持证券的管理人、特定原始权益人、增信机构应当自确定风险分类后的五个交易日内制定信用风险应对和处置预案，并根据实际情况及时调整完善预案。</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本所可以基于资产支持证券规模、市场影响或者信用风险管理工作需要，要求管理人、特定原始权益人、增信机构提前制定信用风险应对和处置预案。</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四</w:t>
      </w:r>
      <w:r>
        <w:rPr>
          <w:rFonts w:hint="eastAsia" w:ascii="仿宋" w:hAnsi="仿宋"/>
          <w:b/>
          <w:szCs w:val="32"/>
          <w:highlight w:val="none"/>
        </w:rPr>
        <w:t>条</w:t>
      </w:r>
      <w:r>
        <w:rPr>
          <w:rFonts w:hint="eastAsia" w:ascii="仿宋" w:hAnsi="仿宋"/>
          <w:szCs w:val="32"/>
          <w:highlight w:val="none"/>
        </w:rPr>
        <w:t xml:space="preserve"> 管理人应当在信用风险应对和处置预案中，明确履行下列信用风险应对与处置职责的相关机制和安排：</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（一）成立信用风险化解处置工作小组；</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（二）评估特定原始权益人、增信机构的信用风险应对和处置预案的可行性，督促特定原始权益人、增信机构根据实际情况调整完善预案并按照预案采取化解处置措施；</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（三）主动了解</w:t>
      </w:r>
      <w:r>
        <w:rPr>
          <w:rFonts w:hint="eastAsia" w:ascii="仿宋" w:hAnsi="仿宋"/>
          <w:szCs w:val="32"/>
          <w:highlight w:val="none"/>
          <w:lang w:eastAsia="zh-CN"/>
        </w:rPr>
        <w:t>资产支持证券</w:t>
      </w:r>
      <w:r>
        <w:rPr>
          <w:rFonts w:hint="eastAsia" w:ascii="仿宋" w:hAnsi="仿宋"/>
          <w:szCs w:val="32"/>
          <w:highlight w:val="none"/>
        </w:rPr>
        <w:t>持有人的意愿和诉求，协助特定原始权益人沟通协调</w:t>
      </w:r>
      <w:r>
        <w:rPr>
          <w:rFonts w:hint="eastAsia" w:ascii="仿宋" w:hAnsi="仿宋"/>
          <w:szCs w:val="32"/>
          <w:highlight w:val="none"/>
          <w:lang w:eastAsia="zh-CN"/>
        </w:rPr>
        <w:t>资产支持证券</w:t>
      </w:r>
      <w:r>
        <w:rPr>
          <w:rFonts w:hint="eastAsia" w:ascii="仿宋" w:hAnsi="仿宋"/>
          <w:szCs w:val="32"/>
          <w:highlight w:val="none"/>
        </w:rPr>
        <w:t>持有人；</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（四）持续监测和排查信用风险，评估相关资产支持证券的风险情况，按照规定和约定履行信息披露义务和报告职责；</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（五）监测和管理舆情与市场动态；</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（六）按照规定和约定及时召集持有人会议；</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（七）督促特定原始权益人、增信机构等信用风险管理业务参与人按照计划说明书、增信协议等文件采取救济措施、履行承诺事项；</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（八）</w:t>
      </w:r>
      <w:r>
        <w:rPr>
          <w:rFonts w:hint="eastAsia" w:ascii="仿宋" w:hAnsi="仿宋"/>
          <w:szCs w:val="32"/>
          <w:highlight w:val="none"/>
          <w:lang w:eastAsia="zh-CN"/>
        </w:rPr>
        <w:t>按照</w:t>
      </w:r>
      <w:r>
        <w:rPr>
          <w:rFonts w:hint="eastAsia" w:ascii="仿宋" w:hAnsi="仿宋"/>
          <w:szCs w:val="32"/>
          <w:highlight w:val="none"/>
        </w:rPr>
        <w:t>计划说明书的约定或者</w:t>
      </w:r>
      <w:r>
        <w:rPr>
          <w:rFonts w:hint="eastAsia" w:ascii="仿宋" w:hAnsi="仿宋"/>
          <w:szCs w:val="32"/>
          <w:highlight w:val="none"/>
          <w:lang w:eastAsia="zh-CN"/>
        </w:rPr>
        <w:t>资产支持证券</w:t>
      </w:r>
      <w:r>
        <w:rPr>
          <w:rFonts w:hint="eastAsia" w:ascii="仿宋" w:hAnsi="仿宋"/>
          <w:szCs w:val="32"/>
          <w:highlight w:val="none"/>
        </w:rPr>
        <w:t>持有人的授权，代表</w:t>
      </w:r>
      <w:r>
        <w:rPr>
          <w:rFonts w:hint="eastAsia" w:ascii="仿宋" w:hAnsi="仿宋"/>
          <w:szCs w:val="32"/>
          <w:highlight w:val="none"/>
          <w:lang w:eastAsia="zh-CN"/>
        </w:rPr>
        <w:t>资产支持证券</w:t>
      </w:r>
      <w:r>
        <w:rPr>
          <w:rFonts w:hint="eastAsia" w:ascii="仿宋" w:hAnsi="仿宋"/>
          <w:szCs w:val="32"/>
          <w:highlight w:val="none"/>
        </w:rPr>
        <w:t>持有人提起或者参加诉讼等程序；</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（九）根据</w:t>
      </w:r>
      <w:r>
        <w:rPr>
          <w:rFonts w:hint="eastAsia" w:ascii="仿宋" w:hAnsi="仿宋"/>
          <w:szCs w:val="32"/>
          <w:highlight w:val="none"/>
          <w:lang w:eastAsia="zh-CN"/>
        </w:rPr>
        <w:t>资产支持证券</w:t>
      </w:r>
      <w:r>
        <w:rPr>
          <w:rFonts w:hint="eastAsia" w:ascii="仿宋" w:hAnsi="仿宋"/>
          <w:szCs w:val="32"/>
          <w:highlight w:val="none"/>
        </w:rPr>
        <w:t>持有人的授权，发起或者参与金融机构债权人委员会，及时了解并客观、真实反映</w:t>
      </w:r>
      <w:r>
        <w:rPr>
          <w:rFonts w:hint="eastAsia" w:ascii="仿宋" w:hAnsi="仿宋"/>
          <w:szCs w:val="32"/>
          <w:highlight w:val="none"/>
          <w:lang w:eastAsia="zh-CN"/>
        </w:rPr>
        <w:t>资产支持证券</w:t>
      </w:r>
      <w:r>
        <w:rPr>
          <w:rFonts w:hint="eastAsia" w:ascii="仿宋" w:hAnsi="仿宋"/>
          <w:szCs w:val="32"/>
          <w:highlight w:val="none"/>
        </w:rPr>
        <w:t>持有人的合理诉求；</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（十）沟通协调金融机构债权人委员会、托管组、接管组、破产管理人等处置相关方，了解风险化解处置相关进展并及时告知</w:t>
      </w:r>
      <w:r>
        <w:rPr>
          <w:rFonts w:hint="eastAsia" w:ascii="仿宋" w:hAnsi="仿宋"/>
          <w:szCs w:val="32"/>
          <w:highlight w:val="none"/>
          <w:lang w:eastAsia="zh-CN"/>
        </w:rPr>
        <w:t>资产支持证券</w:t>
      </w:r>
      <w:r>
        <w:rPr>
          <w:rFonts w:hint="eastAsia" w:ascii="仿宋" w:hAnsi="仿宋"/>
          <w:szCs w:val="32"/>
          <w:highlight w:val="none"/>
        </w:rPr>
        <w:t>持有人；</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（十一）按照规定和约定应当履行的其他职责。</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五</w:t>
      </w:r>
      <w:r>
        <w:rPr>
          <w:rFonts w:hint="eastAsia" w:ascii="仿宋" w:hAnsi="仿宋"/>
          <w:b/>
          <w:szCs w:val="32"/>
          <w:highlight w:val="none"/>
        </w:rPr>
        <w:t>条</w:t>
      </w:r>
      <w:r>
        <w:rPr>
          <w:rFonts w:hint="eastAsia" w:ascii="仿宋" w:hAnsi="仿宋"/>
          <w:szCs w:val="32"/>
          <w:highlight w:val="none"/>
        </w:rPr>
        <w:t xml:space="preserve"> 特定原始权益人的信用风险应对和处置预案应当包括下列内容：</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（一）应对和处置工作的组织机制、人员构成和职责分工；</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（二）应对和处置工作的主要目标和方案；</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（三）化解处置措施的组合安排，各项措施的实施顺序和关键时间点，涉及筹措偿付资金的，应当</w:t>
      </w:r>
      <w:r>
        <w:rPr>
          <w:rFonts w:hint="eastAsia" w:ascii="仿宋" w:hAnsi="仿宋"/>
          <w:szCs w:val="32"/>
          <w:highlight w:val="none"/>
          <w:lang w:eastAsia="zh-CN"/>
        </w:rPr>
        <w:t>说明</w:t>
      </w:r>
      <w:r>
        <w:rPr>
          <w:rFonts w:hint="eastAsia" w:ascii="仿宋" w:hAnsi="仿宋"/>
          <w:szCs w:val="32"/>
          <w:highlight w:val="none"/>
        </w:rPr>
        <w:t>资金来源、资金规模和预计到账时间；</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（四）向信息披露义务人提供相关信息的安排，包括相关文件的起草、审核、批准、报出流程</w:t>
      </w:r>
      <w:r>
        <w:rPr>
          <w:rFonts w:hint="eastAsia" w:ascii="仿宋" w:hAnsi="仿宋"/>
          <w:bCs/>
          <w:szCs w:val="32"/>
          <w:highlight w:val="none"/>
        </w:rPr>
        <w:t>和负责相关事项的</w:t>
      </w:r>
      <w:r>
        <w:rPr>
          <w:rFonts w:hint="eastAsia" w:ascii="仿宋" w:hAnsi="仿宋"/>
          <w:szCs w:val="32"/>
          <w:highlight w:val="none"/>
        </w:rPr>
        <w:t>人员分工；</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（五）舆情与市场动态的监测和管理安排；</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（六）投资者关系管理安排，包括对资产支持证券持有人结构的分析、持有人沟通协调机制</w:t>
      </w:r>
      <w:r>
        <w:rPr>
          <w:rFonts w:hint="eastAsia" w:ascii="仿宋" w:hAnsi="仿宋"/>
          <w:bCs/>
          <w:szCs w:val="32"/>
          <w:highlight w:val="none"/>
        </w:rPr>
        <w:t>和负责相关事项的人员</w:t>
      </w:r>
      <w:r>
        <w:rPr>
          <w:rFonts w:hint="eastAsia" w:ascii="仿宋" w:hAnsi="仿宋"/>
          <w:szCs w:val="32"/>
          <w:highlight w:val="none"/>
        </w:rPr>
        <w:t>分工、持有人会议安排等；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（七）资产支持证券交易机制和投资者适当性管理的安排（如有）；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（八）与管理人的沟通协调机制；</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（九）与增信机构、控股股东、实际控制人和其他关联方的沟通协调机制（如有）；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（十）与金融机构债权人委员会、托管组、接管组、破产管理人等其他处置相关方的沟通协调机制（如有）；</w:t>
      </w:r>
    </w:p>
    <w:p>
      <w:pPr>
        <w:adjustRightInd w:val="0"/>
        <w:snapToGrid w:val="0"/>
        <w:spacing w:line="560" w:lineRule="exact"/>
        <w:ind w:firstLine="640"/>
        <w:rPr>
          <w:rFonts w:ascii="仿宋" w:hAnsi="仿宋"/>
          <w:bCs/>
          <w:szCs w:val="32"/>
          <w:highlight w:val="none"/>
        </w:rPr>
      </w:pPr>
      <w:r>
        <w:rPr>
          <w:rFonts w:hint="eastAsia" w:ascii="仿宋" w:hAnsi="仿宋"/>
          <w:bCs/>
          <w:szCs w:val="32"/>
          <w:highlight w:val="none"/>
        </w:rPr>
        <w:t>（十一）与监管机构的沟通事项和沟通安排（如有）；</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（十二）与风险应对和处置相关的其他事项。</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增信机构的信用风险应对和处置预案应当包括前款第一项至第四项、第八项至第十二项规定的内容。</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六</w:t>
      </w:r>
      <w:r>
        <w:rPr>
          <w:rFonts w:hint="eastAsia" w:ascii="仿宋" w:hAnsi="仿宋"/>
          <w:b/>
          <w:szCs w:val="32"/>
          <w:highlight w:val="none"/>
        </w:rPr>
        <w:t>条</w:t>
      </w:r>
      <w:r>
        <w:rPr>
          <w:rFonts w:hint="eastAsia" w:ascii="仿宋" w:hAnsi="仿宋"/>
          <w:szCs w:val="32"/>
          <w:highlight w:val="none"/>
        </w:rPr>
        <w:t xml:space="preserve"> 信用风险化解处置过程中，管理人应当按照下列要求</w:t>
      </w:r>
      <w:r>
        <w:rPr>
          <w:rFonts w:hint="eastAsia" w:ascii="仿宋" w:hAnsi="仿宋"/>
          <w:bCs/>
          <w:szCs w:val="32"/>
          <w:highlight w:val="none"/>
        </w:rPr>
        <w:t>向本所提交信用风险管理临时报告：</w:t>
      </w:r>
    </w:p>
    <w:p>
      <w:pPr>
        <w:adjustRightInd w:val="0"/>
        <w:snapToGrid w:val="0"/>
        <w:spacing w:line="560" w:lineRule="exact"/>
        <w:ind w:firstLine="640"/>
        <w:rPr>
          <w:rFonts w:ascii="仿宋" w:hAnsi="仿宋"/>
          <w:bCs/>
          <w:szCs w:val="32"/>
          <w:highlight w:val="none"/>
        </w:rPr>
      </w:pPr>
      <w:r>
        <w:rPr>
          <w:rFonts w:hint="eastAsia" w:ascii="仿宋" w:hAnsi="仿宋"/>
          <w:szCs w:val="32"/>
          <w:highlight w:val="none"/>
        </w:rPr>
        <w:t>（一）</w:t>
      </w:r>
      <w:r>
        <w:rPr>
          <w:rFonts w:hint="eastAsia" w:ascii="仿宋" w:hAnsi="仿宋"/>
          <w:bCs/>
          <w:szCs w:val="32"/>
          <w:highlight w:val="none"/>
        </w:rPr>
        <w:t>信用风险应对和处置预案制定或者调整之日起五个交易日内，报告预案内容、信用风险化解处置工作小组的人员构成和联系方式；</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（二）</w:t>
      </w:r>
      <w:r>
        <w:rPr>
          <w:rFonts w:hint="eastAsia" w:ascii="仿宋" w:hAnsi="仿宋"/>
          <w:bCs/>
          <w:sz w:val="32"/>
          <w:szCs w:val="32"/>
          <w:highlight w:val="none"/>
          <w:lang w:eastAsia="zh-CN"/>
        </w:rPr>
        <w:t>收益分配</w:t>
      </w:r>
      <w:r>
        <w:rPr>
          <w:rFonts w:hint="eastAsia" w:ascii="仿宋" w:hAnsi="仿宋" w:eastAsia="仿宋"/>
          <w:bCs/>
          <w:sz w:val="32"/>
          <w:szCs w:val="32"/>
          <w:highlight w:val="none"/>
        </w:rPr>
        <w:t>日、持有人会议表决截止日等</w:t>
      </w:r>
      <w:r>
        <w:rPr>
          <w:rFonts w:hint="eastAsia" w:ascii="仿宋" w:hAnsi="仿宋"/>
          <w:szCs w:val="32"/>
          <w:highlight w:val="none"/>
        </w:rPr>
        <w:t>风险化解处置关键</w:t>
      </w:r>
      <w:r>
        <w:rPr>
          <w:rFonts w:hint="eastAsia" w:ascii="仿宋" w:hAnsi="仿宋"/>
          <w:szCs w:val="32"/>
          <w:highlight w:val="none"/>
          <w:lang w:eastAsia="zh-CN"/>
        </w:rPr>
        <w:t>日期</w:t>
      </w:r>
      <w:r>
        <w:rPr>
          <w:rFonts w:hint="eastAsia" w:ascii="仿宋" w:hAnsi="仿宋"/>
          <w:szCs w:val="32"/>
          <w:highlight w:val="none"/>
        </w:rPr>
        <w:t>和可能影响风险化解处置的事项发生之日起五个交易日内，报告相关情况、潜在影响、下一步工作计划和拟采取的应对措施等；</w:t>
      </w:r>
    </w:p>
    <w:p>
      <w:pPr>
        <w:adjustRightInd w:val="0"/>
        <w:snapToGrid w:val="0"/>
        <w:spacing w:line="560" w:lineRule="exact"/>
        <w:ind w:firstLine="640"/>
        <w:rPr>
          <w:rFonts w:ascii="仿宋" w:hAnsi="仿宋"/>
          <w:bCs/>
          <w:szCs w:val="32"/>
          <w:highlight w:val="none"/>
        </w:rPr>
      </w:pPr>
      <w:r>
        <w:rPr>
          <w:rFonts w:hint="eastAsia" w:ascii="仿宋" w:hAnsi="仿宋"/>
          <w:szCs w:val="32"/>
          <w:highlight w:val="none"/>
        </w:rPr>
        <w:t>（三）可能导致风险传导的情形发生之日起三个交易日内，报告相关情况、潜在影响</w:t>
      </w:r>
      <w:r>
        <w:rPr>
          <w:rFonts w:hint="eastAsia" w:ascii="仿宋" w:hAnsi="仿宋"/>
          <w:bCs/>
          <w:szCs w:val="32"/>
          <w:highlight w:val="none"/>
        </w:rPr>
        <w:t>和拟采取的应对措施等，相关情形包括但不限于二级市场交易价格发生大幅波动或者明显偏离合理价值、负有偿付义务的主体融资环境发生明显变化、多名</w:t>
      </w:r>
      <w:r>
        <w:rPr>
          <w:rFonts w:hint="eastAsia" w:ascii="仿宋" w:hAnsi="仿宋"/>
          <w:bCs/>
          <w:szCs w:val="32"/>
          <w:highlight w:val="none"/>
          <w:lang w:eastAsia="zh-CN"/>
        </w:rPr>
        <w:t>资产支持证券</w:t>
      </w:r>
      <w:r>
        <w:rPr>
          <w:rFonts w:hint="eastAsia" w:ascii="仿宋" w:hAnsi="仿宋"/>
          <w:bCs/>
          <w:szCs w:val="32"/>
          <w:highlight w:val="none"/>
        </w:rPr>
        <w:t>持有人就资产支持证券相关事项举报或者单独提起诉讼、市场对资产支持证券相关事项的合规性存在重大质疑、信用风险处置进展等事项受到市场广泛关注；</w:t>
      </w:r>
    </w:p>
    <w:p>
      <w:pPr>
        <w:adjustRightInd w:val="0"/>
        <w:snapToGrid w:val="0"/>
        <w:spacing w:line="560" w:lineRule="exact"/>
        <w:ind w:firstLine="640"/>
        <w:rPr>
          <w:rFonts w:ascii="仿宋" w:hAnsi="仿宋"/>
          <w:szCs w:val="32"/>
          <w:highlight w:val="none"/>
        </w:rPr>
      </w:pPr>
      <w:r>
        <w:rPr>
          <w:rFonts w:hint="eastAsia" w:ascii="仿宋" w:hAnsi="仿宋"/>
          <w:szCs w:val="32"/>
          <w:highlight w:val="none"/>
        </w:rPr>
        <w:t>（四）风险化解处置工作完成后，及时报告风险化解处置过程、结果、经验教训总结和改进建议等。</w:t>
      </w:r>
    </w:p>
    <w:p>
      <w:pPr>
        <w:adjustRightInd w:val="0"/>
        <w:snapToGrid w:val="0"/>
        <w:spacing w:line="560" w:lineRule="exact"/>
        <w:ind w:firstLine="643"/>
        <w:rPr>
          <w:rFonts w:ascii="仿宋" w:hAnsi="仿宋"/>
          <w:szCs w:val="32"/>
          <w:highlight w:val="none"/>
        </w:rPr>
      </w:pPr>
      <w:r>
        <w:rPr>
          <w:rFonts w:hint="eastAsia" w:ascii="仿宋" w:hAnsi="仿宋"/>
          <w:b/>
          <w:szCs w:val="32"/>
          <w:highlight w:val="none"/>
        </w:rPr>
        <w:t>第五十</w:t>
      </w:r>
      <w:r>
        <w:rPr>
          <w:rFonts w:hint="eastAsia" w:ascii="仿宋" w:hAnsi="仿宋"/>
          <w:b/>
          <w:szCs w:val="32"/>
          <w:highlight w:val="none"/>
          <w:lang w:eastAsia="zh-CN"/>
        </w:rPr>
        <w:t>七</w:t>
      </w:r>
      <w:r>
        <w:rPr>
          <w:rFonts w:hint="eastAsia" w:ascii="仿宋" w:hAnsi="仿宋"/>
          <w:b/>
          <w:szCs w:val="32"/>
          <w:highlight w:val="none"/>
        </w:rPr>
        <w:t>条</w:t>
      </w:r>
      <w:r>
        <w:rPr>
          <w:rFonts w:hint="eastAsia" w:ascii="仿宋" w:hAnsi="仿宋"/>
          <w:szCs w:val="32"/>
          <w:highlight w:val="none"/>
        </w:rPr>
        <w:t xml:space="preserve"> 管理人</w:t>
      </w:r>
      <w:r>
        <w:rPr>
          <w:rFonts w:hint="eastAsia" w:ascii="仿宋" w:hAnsi="仿宋"/>
          <w:bCs/>
          <w:szCs w:val="32"/>
          <w:highlight w:val="none"/>
        </w:rPr>
        <w:t>应当按照规定和约定，</w:t>
      </w:r>
      <w:r>
        <w:rPr>
          <w:rFonts w:hint="eastAsia" w:ascii="仿宋" w:hAnsi="仿宋"/>
          <w:highlight w:val="none"/>
        </w:rPr>
        <w:t>真实、准确、完整、及时、公平</w:t>
      </w:r>
      <w:r>
        <w:rPr>
          <w:rFonts w:hint="eastAsia" w:ascii="仿宋" w:hAnsi="仿宋"/>
          <w:szCs w:val="32"/>
          <w:highlight w:val="none"/>
        </w:rPr>
        <w:t>地披露信用风险化解处置相关</w:t>
      </w:r>
      <w:r>
        <w:rPr>
          <w:rFonts w:hint="eastAsia" w:ascii="仿宋" w:hAnsi="仿宋"/>
          <w:szCs w:val="32"/>
          <w:highlight w:val="none"/>
          <w:lang w:eastAsia="zh-CN"/>
        </w:rPr>
        <w:t>的重大事项</w:t>
      </w:r>
      <w:r>
        <w:rPr>
          <w:rFonts w:hint="eastAsia" w:ascii="仿宋" w:hAnsi="仿宋"/>
          <w:szCs w:val="32"/>
          <w:highlight w:val="none"/>
        </w:rPr>
        <w:t>，说明相关情况、影响、已采取和拟采取的措施及其进展、违约及其救济情况等事项。</w:t>
      </w:r>
    </w:p>
    <w:p>
      <w:pPr>
        <w:adjustRightInd w:val="0"/>
        <w:snapToGrid w:val="0"/>
        <w:spacing w:line="560" w:lineRule="exact"/>
        <w:ind w:firstLine="643"/>
        <w:rPr>
          <w:rFonts w:ascii="仿宋" w:hAnsi="仿宋"/>
          <w:bCs/>
          <w:szCs w:val="32"/>
          <w:highlight w:val="none"/>
        </w:rPr>
      </w:pPr>
      <w:r>
        <w:rPr>
          <w:rFonts w:hint="eastAsia" w:ascii="仿宋" w:hAnsi="仿宋"/>
          <w:b/>
          <w:bCs/>
          <w:szCs w:val="32"/>
          <w:highlight w:val="none"/>
        </w:rPr>
        <w:t>第五十</w:t>
      </w:r>
      <w:r>
        <w:rPr>
          <w:rFonts w:hint="eastAsia" w:ascii="仿宋" w:hAnsi="仿宋"/>
          <w:b/>
          <w:bCs/>
          <w:szCs w:val="32"/>
          <w:highlight w:val="none"/>
          <w:lang w:eastAsia="zh-CN"/>
        </w:rPr>
        <w:t>八</w:t>
      </w:r>
      <w:r>
        <w:rPr>
          <w:rFonts w:hint="eastAsia" w:ascii="仿宋" w:hAnsi="仿宋"/>
          <w:b/>
          <w:bCs/>
          <w:szCs w:val="32"/>
          <w:highlight w:val="none"/>
        </w:rPr>
        <w:t>条</w:t>
      </w:r>
      <w:r>
        <w:rPr>
          <w:rFonts w:ascii="仿宋" w:hAnsi="仿宋"/>
          <w:bCs/>
          <w:szCs w:val="32"/>
          <w:highlight w:val="none"/>
        </w:rPr>
        <w:t xml:space="preserve"> </w:t>
      </w:r>
      <w:r>
        <w:rPr>
          <w:rFonts w:hint="eastAsia" w:ascii="仿宋" w:hAnsi="仿宋"/>
          <w:bCs/>
          <w:szCs w:val="32"/>
          <w:highlight w:val="none"/>
        </w:rPr>
        <w:t>信用风险化解处置过程中，相关重大事项按照规定或者约定应当由持有人会议决策或者授权采取措施的，管理人应当及时召集持有人会议。</w:t>
      </w:r>
    </w:p>
    <w:p>
      <w:pPr>
        <w:adjustRightInd w:val="0"/>
        <w:snapToGrid w:val="0"/>
        <w:spacing w:line="560" w:lineRule="exact"/>
        <w:ind w:firstLine="640"/>
        <w:rPr>
          <w:rFonts w:ascii="仿宋" w:hAnsi="仿宋"/>
          <w:bCs/>
          <w:szCs w:val="32"/>
          <w:highlight w:val="none"/>
        </w:rPr>
      </w:pPr>
      <w:r>
        <w:rPr>
          <w:rFonts w:hint="eastAsia" w:ascii="仿宋" w:hAnsi="仿宋"/>
          <w:bCs/>
          <w:szCs w:val="32"/>
          <w:highlight w:val="none"/>
        </w:rPr>
        <w:t>持有人会议拟审议事项需要原始权益人、重要现金流提供方、增信机构等相关方配合实施的，管理人等会议召集人应当提前了解相关方的意见，按照有利于风险化解处置的原则，必要时调整完善议案相关内容。</w:t>
      </w:r>
    </w:p>
    <w:p>
      <w:pPr>
        <w:pStyle w:val="2"/>
        <w:numPr>
          <w:ilvl w:val="0"/>
          <w:numId w:val="1"/>
        </w:numPr>
        <w:spacing w:before="240" w:after="240"/>
        <w:ind w:left="0" w:firstLine="0" w:firstLineChars="0"/>
        <w:jc w:val="center"/>
        <w:rPr>
          <w:rFonts w:ascii="仿宋" w:hAnsi="仿宋"/>
          <w:b w:val="0"/>
          <w:highlight w:val="none"/>
        </w:rPr>
      </w:pPr>
      <w:bookmarkStart w:id="25" w:name="_Toc121941214"/>
      <w:bookmarkStart w:id="26" w:name="_Toc120129837"/>
      <w:r>
        <w:rPr>
          <w:rFonts w:hint="eastAsia" w:ascii="黑体" w:hAnsi="黑体" w:cs="Times New Roman"/>
          <w:b w:val="0"/>
          <w:szCs w:val="32"/>
          <w:highlight w:val="none"/>
        </w:rPr>
        <w:t>信用风险管理工具</w:t>
      </w:r>
      <w:bookmarkEnd w:id="25"/>
      <w:bookmarkEnd w:id="26"/>
    </w:p>
    <w:p>
      <w:pPr>
        <w:pStyle w:val="3"/>
        <w:ind w:firstLine="0" w:firstLineChars="0"/>
        <w:jc w:val="center"/>
        <w:rPr>
          <w:rFonts w:ascii="楷体" w:hAnsi="楷体" w:eastAsia="楷体"/>
          <w:b w:val="0"/>
          <w:highlight w:val="none"/>
        </w:rPr>
      </w:pPr>
      <w:bookmarkStart w:id="27" w:name="_Toc121819080"/>
      <w:bookmarkStart w:id="28" w:name="_Toc120129838"/>
      <w:bookmarkStart w:id="29" w:name="_Toc121941215"/>
      <w:r>
        <w:rPr>
          <w:rFonts w:hint="eastAsia" w:ascii="楷体" w:hAnsi="楷体" w:eastAsia="楷体"/>
          <w:b w:val="0"/>
          <w:highlight w:val="none"/>
        </w:rPr>
        <w:t>第一节</w:t>
      </w:r>
      <w:bookmarkEnd w:id="27"/>
      <w:r>
        <w:rPr>
          <w:rFonts w:ascii="楷体" w:hAnsi="楷体" w:eastAsia="楷体"/>
          <w:b w:val="0"/>
          <w:highlight w:val="none"/>
        </w:rPr>
        <w:t xml:space="preserve"> </w:t>
      </w:r>
      <w:r>
        <w:rPr>
          <w:rFonts w:hint="eastAsia" w:ascii="楷体" w:hAnsi="楷体" w:eastAsia="楷体"/>
          <w:b w:val="0"/>
          <w:highlight w:val="none"/>
        </w:rPr>
        <w:t>资产支持证券</w:t>
      </w:r>
      <w:bookmarkEnd w:id="28"/>
      <w:bookmarkStart w:id="30" w:name="_Toc120129839"/>
      <w:r>
        <w:rPr>
          <w:rFonts w:hint="eastAsia" w:ascii="楷体" w:hAnsi="楷体" w:eastAsia="楷体"/>
          <w:b w:val="0"/>
          <w:highlight w:val="none"/>
        </w:rPr>
        <w:t>回售撤销与转售</w:t>
      </w:r>
      <w:bookmarkEnd w:id="29"/>
      <w:bookmarkEnd w:id="30"/>
    </w:p>
    <w:p>
      <w:pPr>
        <w:pStyle w:val="4"/>
        <w:spacing w:line="560" w:lineRule="exact"/>
        <w:ind w:firstLine="643"/>
        <w:rPr>
          <w:rFonts w:hint="eastAsia" w:eastAsia="仿宋"/>
          <w:highlight w:val="none"/>
          <w:lang w:val="en-US" w:eastAsia="zh-CN"/>
        </w:rPr>
      </w:pPr>
      <w:r>
        <w:rPr>
          <w:rFonts w:hint="eastAsia"/>
          <w:b/>
          <w:highlight w:val="none"/>
        </w:rPr>
        <w:t>第五十</w:t>
      </w:r>
      <w:r>
        <w:rPr>
          <w:rFonts w:hint="eastAsia"/>
          <w:b/>
          <w:highlight w:val="none"/>
          <w:lang w:eastAsia="zh-CN"/>
        </w:rPr>
        <w:t>九</w:t>
      </w:r>
      <w:r>
        <w:rPr>
          <w:rFonts w:hint="eastAsia"/>
          <w:b/>
          <w:highlight w:val="none"/>
        </w:rPr>
        <w:t>条</w:t>
      </w:r>
      <w:r>
        <w:rPr>
          <w:rFonts w:hint="eastAsia"/>
          <w:highlight w:val="none"/>
        </w:rPr>
        <w:t xml:space="preserve"> 资产支持证券附投资者回售条款的，管理人应当提前了解</w:t>
      </w:r>
      <w:r>
        <w:rPr>
          <w:rFonts w:hint="eastAsia"/>
          <w:highlight w:val="none"/>
          <w:lang w:eastAsia="zh-CN"/>
        </w:rPr>
        <w:t>资产支持证券</w:t>
      </w:r>
      <w:r>
        <w:rPr>
          <w:rFonts w:hint="eastAsia"/>
          <w:highlight w:val="none"/>
        </w:rPr>
        <w:t>持有人回售行权意愿，安排回售相关工作</w:t>
      </w:r>
      <w:r>
        <w:rPr>
          <w:rFonts w:hint="eastAsia"/>
          <w:highlight w:val="none"/>
          <w:lang w:eastAsia="zh-CN"/>
        </w:rPr>
        <w:t>，</w:t>
      </w:r>
      <w:r>
        <w:rPr>
          <w:rFonts w:hint="eastAsia"/>
          <w:highlight w:val="none"/>
        </w:rPr>
        <w:t>资产支持证券持有人可以在回售申报期间通过本所交易系统进行回售申报。</w:t>
      </w:r>
    </w:p>
    <w:p>
      <w:pPr>
        <w:pStyle w:val="4"/>
        <w:spacing w:line="560" w:lineRule="exact"/>
        <w:ind w:firstLine="640"/>
        <w:rPr>
          <w:highlight w:val="none"/>
        </w:rPr>
      </w:pPr>
      <w:r>
        <w:rPr>
          <w:rFonts w:hint="eastAsia" w:ascii="仿宋" w:hAnsi="仿宋" w:eastAsia="仿宋"/>
          <w:bCs/>
          <w:sz w:val="32"/>
          <w:szCs w:val="32"/>
          <w:highlight w:val="none"/>
        </w:rPr>
        <w:t>公告的回售撤销期内，</w:t>
      </w:r>
      <w:r>
        <w:rPr>
          <w:rFonts w:hint="eastAsia"/>
          <w:highlight w:val="none"/>
        </w:rPr>
        <w:t>已申报回售登记的</w:t>
      </w:r>
      <w:r>
        <w:rPr>
          <w:rFonts w:hint="eastAsia"/>
          <w:highlight w:val="none"/>
          <w:lang w:eastAsia="zh-CN"/>
        </w:rPr>
        <w:t>资产支持证券</w:t>
      </w:r>
      <w:r>
        <w:rPr>
          <w:rFonts w:hint="eastAsia"/>
          <w:highlight w:val="none"/>
        </w:rPr>
        <w:t>持有人可以通过本所交易系统进行回售申报撤销</w:t>
      </w:r>
      <w:r>
        <w:rPr>
          <w:rFonts w:hint="eastAsia"/>
          <w:highlight w:val="none"/>
          <w:lang w:eastAsia="zh-CN"/>
        </w:rPr>
        <w:t>；</w:t>
      </w:r>
      <w:r>
        <w:rPr>
          <w:rFonts w:hint="eastAsia"/>
          <w:highlight w:val="none"/>
        </w:rPr>
        <w:t>公告的回售撤销期届满后，经与回售义务人协商一致，</w:t>
      </w:r>
      <w:r>
        <w:rPr>
          <w:rFonts w:hint="eastAsia"/>
          <w:highlight w:val="none"/>
          <w:lang w:eastAsia="zh-CN"/>
        </w:rPr>
        <w:t>资产支持证券</w:t>
      </w:r>
      <w:r>
        <w:rPr>
          <w:rFonts w:hint="eastAsia"/>
          <w:highlight w:val="none"/>
        </w:rPr>
        <w:t>持有人可以通过管理人向本所申请撤销回售申报。</w:t>
      </w:r>
    </w:p>
    <w:p>
      <w:pPr>
        <w:pStyle w:val="4"/>
        <w:spacing w:line="560" w:lineRule="exact"/>
        <w:ind w:firstLine="640"/>
        <w:rPr>
          <w:highlight w:val="none"/>
        </w:rPr>
      </w:pPr>
      <w:r>
        <w:rPr>
          <w:rFonts w:hint="eastAsia"/>
          <w:highlight w:val="none"/>
        </w:rPr>
        <w:t>回售义务人是指按照专项计划文件约定，对于回售资金负有偿付或者增信义务的主体，包括但不限于原始权益人、增信机构。证券经营机构、管理人应当协助</w:t>
      </w:r>
      <w:r>
        <w:rPr>
          <w:rFonts w:hint="eastAsia"/>
          <w:highlight w:val="none"/>
          <w:lang w:eastAsia="zh-CN"/>
        </w:rPr>
        <w:t>资产支持证券</w:t>
      </w:r>
      <w:r>
        <w:rPr>
          <w:rFonts w:hint="eastAsia"/>
          <w:highlight w:val="none"/>
        </w:rPr>
        <w:t>持有人进行回售申报撤销。</w:t>
      </w:r>
    </w:p>
    <w:p>
      <w:pPr>
        <w:pStyle w:val="4"/>
        <w:spacing w:line="560" w:lineRule="exact"/>
        <w:ind w:firstLine="643"/>
        <w:rPr>
          <w:highlight w:val="none"/>
        </w:rPr>
      </w:pPr>
      <w:r>
        <w:rPr>
          <w:rFonts w:hint="eastAsia"/>
          <w:b/>
          <w:highlight w:val="none"/>
        </w:rPr>
        <w:t>第</w:t>
      </w:r>
      <w:r>
        <w:rPr>
          <w:rFonts w:hint="eastAsia"/>
          <w:b/>
          <w:highlight w:val="none"/>
          <w:lang w:eastAsia="zh-CN"/>
        </w:rPr>
        <w:t>六</w:t>
      </w:r>
      <w:r>
        <w:rPr>
          <w:rFonts w:hint="eastAsia"/>
          <w:b/>
          <w:highlight w:val="none"/>
        </w:rPr>
        <w:t xml:space="preserve">十条 </w:t>
      </w:r>
      <w:r>
        <w:rPr>
          <w:rFonts w:hint="eastAsia"/>
          <w:highlight w:val="none"/>
        </w:rPr>
        <w:t>已回售的资产支持证券</w:t>
      </w:r>
      <w:r>
        <w:rPr>
          <w:rFonts w:hint="eastAsia"/>
          <w:highlight w:val="none"/>
          <w:lang w:eastAsia="zh-CN"/>
        </w:rPr>
        <w:t>份额</w:t>
      </w:r>
      <w:r>
        <w:rPr>
          <w:rFonts w:hint="eastAsia"/>
          <w:highlight w:val="none"/>
        </w:rPr>
        <w:t>可以按照规定予以转售。法律法规、本所其他相关业务规则规定、计划说明书等</w:t>
      </w:r>
      <w:r>
        <w:rPr>
          <w:rFonts w:hint="eastAsia"/>
          <w:highlight w:val="none"/>
          <w:lang w:eastAsia="zh-CN"/>
        </w:rPr>
        <w:t>文件</w:t>
      </w:r>
      <w:r>
        <w:rPr>
          <w:rFonts w:hint="eastAsia"/>
          <w:highlight w:val="none"/>
        </w:rPr>
        <w:t>约定不得转售，或者管理人公告承诺不予转售的除外。</w:t>
      </w:r>
    </w:p>
    <w:p>
      <w:pPr>
        <w:pStyle w:val="4"/>
        <w:spacing w:line="560" w:lineRule="exact"/>
        <w:ind w:firstLine="643"/>
        <w:rPr>
          <w:highlight w:val="none"/>
        </w:rPr>
      </w:pPr>
      <w:r>
        <w:rPr>
          <w:rFonts w:hint="eastAsia"/>
          <w:b/>
          <w:highlight w:val="none"/>
        </w:rPr>
        <w:t>第</w:t>
      </w:r>
      <w:r>
        <w:rPr>
          <w:rFonts w:hint="eastAsia"/>
          <w:b/>
          <w:highlight w:val="none"/>
          <w:lang w:eastAsia="zh-CN"/>
        </w:rPr>
        <w:t>六十一</w:t>
      </w:r>
      <w:r>
        <w:rPr>
          <w:rFonts w:hint="eastAsia"/>
          <w:b/>
          <w:highlight w:val="none"/>
        </w:rPr>
        <w:t>条</w:t>
      </w:r>
      <w:r>
        <w:rPr>
          <w:highlight w:val="none"/>
        </w:rPr>
        <w:t xml:space="preserve"> </w:t>
      </w:r>
      <w:r>
        <w:rPr>
          <w:rFonts w:hint="eastAsia"/>
          <w:highlight w:val="none"/>
        </w:rPr>
        <w:t>资产支持证券回售转售业务原则上应当通过本所交易系统办理。确有必要通过其他方式办理的，管理人应当向本所申请。</w:t>
      </w:r>
    </w:p>
    <w:p>
      <w:pPr>
        <w:pStyle w:val="4"/>
        <w:spacing w:line="560" w:lineRule="exact"/>
        <w:ind w:firstLine="643"/>
        <w:rPr>
          <w:highlight w:val="none"/>
        </w:rPr>
      </w:pPr>
      <w:r>
        <w:rPr>
          <w:rFonts w:hint="eastAsia"/>
          <w:b/>
          <w:highlight w:val="none"/>
        </w:rPr>
        <w:t>第六十</w:t>
      </w:r>
      <w:r>
        <w:rPr>
          <w:rFonts w:hint="eastAsia"/>
          <w:b/>
          <w:highlight w:val="none"/>
          <w:lang w:eastAsia="zh-CN"/>
        </w:rPr>
        <w:t>二</w:t>
      </w:r>
      <w:r>
        <w:rPr>
          <w:rFonts w:hint="eastAsia"/>
          <w:b/>
          <w:highlight w:val="none"/>
        </w:rPr>
        <w:t>条</w:t>
      </w:r>
      <w:r>
        <w:rPr>
          <w:highlight w:val="none"/>
        </w:rPr>
        <w:t xml:space="preserve"> </w:t>
      </w:r>
      <w:r>
        <w:rPr>
          <w:rFonts w:hint="eastAsia"/>
          <w:highlight w:val="none"/>
        </w:rPr>
        <w:t>资产支持证券拟实施回售转售业务的，管理人应当按照规定和约定履行信息披露义务，并在公告中保证实施回售转售业务符合相关规定、约定和承诺。</w:t>
      </w:r>
    </w:p>
    <w:p>
      <w:pPr>
        <w:pStyle w:val="4"/>
        <w:spacing w:line="560" w:lineRule="exact"/>
        <w:ind w:firstLine="640"/>
        <w:rPr>
          <w:highlight w:val="none"/>
        </w:rPr>
      </w:pPr>
      <w:r>
        <w:rPr>
          <w:rFonts w:hint="eastAsia"/>
          <w:highlight w:val="none"/>
        </w:rPr>
        <w:t>转售期原则上不超过二十个交易日，自回售资金到账日次日起算。确有合理理由的，</w:t>
      </w:r>
      <w:r>
        <w:rPr>
          <w:rFonts w:hint="eastAsia"/>
          <w:highlight w:val="none"/>
          <w:lang w:eastAsia="zh-CN"/>
        </w:rPr>
        <w:t>管理人</w:t>
      </w:r>
      <w:r>
        <w:rPr>
          <w:rFonts w:hint="eastAsia"/>
          <w:highlight w:val="none"/>
        </w:rPr>
        <w:t>可以在转售期届满前向本所申请适当延长转售期。确定延长转售期的，管理人应当及时公告延期事由和相关安排。</w:t>
      </w:r>
    </w:p>
    <w:p>
      <w:pPr>
        <w:pStyle w:val="4"/>
        <w:spacing w:line="560" w:lineRule="exact"/>
        <w:ind w:firstLine="640"/>
        <w:rPr>
          <w:highlight w:val="none"/>
        </w:rPr>
      </w:pPr>
      <w:r>
        <w:rPr>
          <w:rFonts w:hint="eastAsia"/>
          <w:highlight w:val="none"/>
        </w:rPr>
        <w:t>转售期届满后，已回售未转售的资产支持证券</w:t>
      </w:r>
      <w:r>
        <w:rPr>
          <w:rFonts w:hint="eastAsia"/>
          <w:highlight w:val="none"/>
          <w:lang w:eastAsia="zh-CN"/>
        </w:rPr>
        <w:t>份额</w:t>
      </w:r>
      <w:r>
        <w:rPr>
          <w:rFonts w:hint="eastAsia"/>
          <w:highlight w:val="none"/>
        </w:rPr>
        <w:t>应当予以注销。</w:t>
      </w:r>
    </w:p>
    <w:p>
      <w:pPr>
        <w:pStyle w:val="4"/>
        <w:spacing w:line="560" w:lineRule="exact"/>
        <w:ind w:firstLine="643"/>
        <w:rPr>
          <w:highlight w:val="none"/>
        </w:rPr>
      </w:pPr>
      <w:r>
        <w:rPr>
          <w:rFonts w:hint="eastAsia"/>
          <w:b/>
          <w:highlight w:val="none"/>
        </w:rPr>
        <w:t>第六十</w:t>
      </w:r>
      <w:r>
        <w:rPr>
          <w:rFonts w:hint="eastAsia"/>
          <w:b/>
          <w:highlight w:val="none"/>
          <w:lang w:eastAsia="zh-CN"/>
        </w:rPr>
        <w:t>三</w:t>
      </w:r>
      <w:r>
        <w:rPr>
          <w:rFonts w:hint="eastAsia"/>
          <w:b/>
          <w:highlight w:val="none"/>
        </w:rPr>
        <w:t>条</w:t>
      </w:r>
      <w:r>
        <w:rPr>
          <w:highlight w:val="none"/>
        </w:rPr>
        <w:t xml:space="preserve"> </w:t>
      </w:r>
      <w:r>
        <w:rPr>
          <w:rFonts w:hint="eastAsia"/>
          <w:highlight w:val="none"/>
        </w:rPr>
        <w:t>管理人应当督促回售义务人按照规定和约定实施回售转售业务，并核查回售转售业务实施过程的合规性。发现回售义务人存在违反规定、约定或者承诺行为的，管理人应当及时督促回售义务人纠正相关行为并向本所报告。</w:t>
      </w:r>
    </w:p>
    <w:p>
      <w:pPr>
        <w:pStyle w:val="4"/>
        <w:spacing w:line="560" w:lineRule="exact"/>
        <w:ind w:firstLine="640"/>
        <w:rPr>
          <w:highlight w:val="none"/>
        </w:rPr>
      </w:pPr>
      <w:r>
        <w:rPr>
          <w:rFonts w:hint="eastAsia"/>
          <w:highlight w:val="none"/>
        </w:rPr>
        <w:t>回售义务人应当配合拟转售资产支持证券的管理人开展核查工作。</w:t>
      </w:r>
    </w:p>
    <w:p>
      <w:pPr>
        <w:pStyle w:val="3"/>
        <w:ind w:firstLine="0" w:firstLineChars="0"/>
        <w:jc w:val="center"/>
        <w:rPr>
          <w:rFonts w:ascii="楷体" w:hAnsi="楷体" w:eastAsia="楷体"/>
          <w:b w:val="0"/>
          <w:highlight w:val="none"/>
        </w:rPr>
      </w:pPr>
      <w:bookmarkStart w:id="31" w:name="_Toc121941216"/>
      <w:bookmarkStart w:id="32" w:name="_Toc120129840"/>
      <w:r>
        <w:rPr>
          <w:rFonts w:hint="eastAsia" w:ascii="楷体" w:hAnsi="楷体" w:eastAsia="楷体"/>
          <w:b w:val="0"/>
          <w:highlight w:val="none"/>
        </w:rPr>
        <w:t>第二节</w:t>
      </w:r>
      <w:r>
        <w:rPr>
          <w:rFonts w:ascii="楷体" w:hAnsi="楷体" w:eastAsia="楷体"/>
          <w:b w:val="0"/>
          <w:highlight w:val="none"/>
        </w:rPr>
        <w:t xml:space="preserve"> </w:t>
      </w:r>
      <w:r>
        <w:rPr>
          <w:rFonts w:hint="eastAsia" w:ascii="楷体" w:hAnsi="楷体" w:eastAsia="楷体"/>
          <w:b w:val="0"/>
          <w:highlight w:val="none"/>
        </w:rPr>
        <w:t>特定资产支持证券转让</w:t>
      </w:r>
      <w:bookmarkEnd w:id="31"/>
      <w:bookmarkEnd w:id="32"/>
    </w:p>
    <w:p>
      <w:pPr>
        <w:pStyle w:val="4"/>
        <w:spacing w:line="560" w:lineRule="exact"/>
        <w:ind w:firstLine="640"/>
        <w:rPr>
          <w:highlight w:val="none"/>
        </w:rPr>
      </w:pPr>
      <w:r>
        <w:rPr>
          <w:rFonts w:hint="eastAsia"/>
          <w:b/>
          <w:highlight w:val="none"/>
        </w:rPr>
        <w:t>第六十</w:t>
      </w:r>
      <w:r>
        <w:rPr>
          <w:rFonts w:hint="eastAsia"/>
          <w:b/>
          <w:highlight w:val="none"/>
          <w:lang w:eastAsia="zh-CN"/>
        </w:rPr>
        <w:t>四</w:t>
      </w:r>
      <w:r>
        <w:rPr>
          <w:rFonts w:hint="eastAsia"/>
          <w:b/>
          <w:highlight w:val="none"/>
        </w:rPr>
        <w:t>条</w:t>
      </w:r>
      <w:r>
        <w:rPr>
          <w:highlight w:val="none"/>
        </w:rPr>
        <w:t xml:space="preserve"> </w:t>
      </w:r>
      <w:r>
        <w:rPr>
          <w:rFonts w:hint="eastAsia"/>
          <w:highlight w:val="none"/>
        </w:rPr>
        <w:t>在本所挂牌转让期间发生下列情形之一的资产支持证券（以下简称特定资产支持证券），本所按照相关业务规则和本节规定为其提供转让服务</w:t>
      </w:r>
      <w:r>
        <w:rPr>
          <w:rFonts w:hint="eastAsia"/>
          <w:highlight w:val="none"/>
          <w:lang w:eastAsia="zh-CN"/>
        </w:rPr>
        <w:t>，</w:t>
      </w:r>
      <w:r>
        <w:rPr>
          <w:rFonts w:hint="eastAsia"/>
          <w:highlight w:val="none"/>
        </w:rPr>
        <w:t>特定</w:t>
      </w:r>
      <w:r>
        <w:rPr>
          <w:rFonts w:hint="eastAsia"/>
          <w:highlight w:val="none"/>
          <w:lang w:eastAsia="zh-CN"/>
        </w:rPr>
        <w:t>资产支持证券</w:t>
      </w:r>
      <w:r>
        <w:rPr>
          <w:rFonts w:hint="eastAsia"/>
          <w:highlight w:val="none"/>
        </w:rPr>
        <w:t>存在</w:t>
      </w:r>
      <w:r>
        <w:rPr>
          <w:rFonts w:hint="eastAsia"/>
          <w:highlight w:val="none"/>
          <w:lang w:eastAsia="zh-CN"/>
        </w:rPr>
        <w:t>资产支持证券</w:t>
      </w:r>
      <w:r>
        <w:rPr>
          <w:rFonts w:hint="eastAsia"/>
          <w:highlight w:val="none"/>
        </w:rPr>
        <w:t>持有人享有不同权利、承担不同义务等不适宜转让情形的除外：</w:t>
      </w:r>
    </w:p>
    <w:p>
      <w:pPr>
        <w:pStyle w:val="4"/>
        <w:spacing w:line="560" w:lineRule="exact"/>
        <w:ind w:firstLine="640"/>
        <w:rPr>
          <w:highlight w:val="none"/>
        </w:rPr>
      </w:pPr>
      <w:r>
        <w:rPr>
          <w:rFonts w:hint="eastAsia"/>
          <w:highlight w:val="none"/>
        </w:rPr>
        <w:t>（一）经持有人会议决议或者与全体</w:t>
      </w:r>
      <w:r>
        <w:rPr>
          <w:rFonts w:hint="eastAsia"/>
          <w:highlight w:val="none"/>
          <w:lang w:eastAsia="zh-CN"/>
        </w:rPr>
        <w:t>资产支持证券</w:t>
      </w:r>
      <w:r>
        <w:rPr>
          <w:rFonts w:hint="eastAsia"/>
          <w:highlight w:val="none"/>
        </w:rPr>
        <w:t>持有人协商一致，资产支持证券展期分配收益；</w:t>
      </w:r>
    </w:p>
    <w:p>
      <w:pPr>
        <w:pStyle w:val="4"/>
        <w:spacing w:line="560" w:lineRule="exact"/>
        <w:ind w:firstLine="640"/>
        <w:rPr>
          <w:highlight w:val="none"/>
        </w:rPr>
      </w:pPr>
      <w:r>
        <w:rPr>
          <w:rFonts w:hint="eastAsia"/>
          <w:highlight w:val="none"/>
        </w:rPr>
        <w:t>（二）资产支持证券未能在本指引第二十</w:t>
      </w:r>
      <w:r>
        <w:rPr>
          <w:rFonts w:hint="eastAsia"/>
          <w:highlight w:val="none"/>
          <w:lang w:eastAsia="zh-CN"/>
        </w:rPr>
        <w:t>五</w:t>
      </w:r>
      <w:r>
        <w:rPr>
          <w:rFonts w:hint="eastAsia"/>
          <w:highlight w:val="none"/>
        </w:rPr>
        <w:t>条规定日期分配收益；</w:t>
      </w:r>
    </w:p>
    <w:p>
      <w:pPr>
        <w:pStyle w:val="4"/>
        <w:spacing w:line="560" w:lineRule="exact"/>
        <w:ind w:firstLine="640"/>
        <w:rPr>
          <w:highlight w:val="none"/>
        </w:rPr>
      </w:pPr>
      <w:r>
        <w:rPr>
          <w:rFonts w:hint="eastAsia"/>
          <w:highlight w:val="none"/>
        </w:rPr>
        <w:t>（三）特定原始权益人其他上市挂牌的公司信用类债券或者挂牌转让的资产证券化产品展期或者未按照约定还本付息、分配收益；</w:t>
      </w:r>
    </w:p>
    <w:p>
      <w:pPr>
        <w:pStyle w:val="4"/>
        <w:spacing w:line="560" w:lineRule="exact"/>
        <w:ind w:firstLine="640"/>
        <w:rPr>
          <w:highlight w:val="none"/>
        </w:rPr>
      </w:pPr>
      <w:r>
        <w:rPr>
          <w:rFonts w:hint="eastAsia"/>
          <w:highlight w:val="none"/>
        </w:rPr>
        <w:t>（四）特定原始权益人、重要现金流提供方被第三方整体托管或者接管，</w:t>
      </w:r>
      <w:r>
        <w:rPr>
          <w:rFonts w:hint="eastAsia" w:ascii="仿宋" w:hAnsi="仿宋"/>
          <w:szCs w:val="32"/>
          <w:highlight w:val="none"/>
        </w:rPr>
        <w:t>并且专项计划交易结构安排中缺乏其他保障专项计划资产安全、投资者权益</w:t>
      </w:r>
      <w:r>
        <w:rPr>
          <w:rFonts w:hint="eastAsia" w:ascii="仿宋" w:hAnsi="仿宋"/>
          <w:highlight w:val="none"/>
        </w:rPr>
        <w:t>的</w:t>
      </w:r>
      <w:r>
        <w:rPr>
          <w:rFonts w:hint="eastAsia" w:ascii="仿宋" w:hAnsi="仿宋"/>
          <w:szCs w:val="32"/>
          <w:highlight w:val="none"/>
        </w:rPr>
        <w:t>有效措施或者预计相关措施难以有效实施</w:t>
      </w:r>
      <w:r>
        <w:rPr>
          <w:rFonts w:hint="eastAsia" w:ascii="仿宋" w:hAnsi="仿宋"/>
          <w:highlight w:val="none"/>
        </w:rPr>
        <w:t>；</w:t>
      </w:r>
    </w:p>
    <w:p>
      <w:pPr>
        <w:pStyle w:val="4"/>
        <w:spacing w:line="560" w:lineRule="exact"/>
        <w:ind w:firstLine="640"/>
        <w:rPr>
          <w:highlight w:val="none"/>
        </w:rPr>
      </w:pPr>
      <w:r>
        <w:rPr>
          <w:rFonts w:hint="eastAsia"/>
          <w:highlight w:val="none"/>
        </w:rPr>
        <w:t>（五）</w:t>
      </w:r>
      <w:r>
        <w:rPr>
          <w:rFonts w:hint="eastAsia" w:ascii="仿宋" w:hAnsi="仿宋"/>
          <w:bCs/>
          <w:szCs w:val="32"/>
          <w:highlight w:val="none"/>
        </w:rPr>
        <w:t>根据相关规定，银行保险机构、证券期货基金经营机构等金融机构或者私募投资基金管理人发起成立针对</w:t>
      </w:r>
      <w:r>
        <w:rPr>
          <w:rFonts w:hint="eastAsia"/>
          <w:highlight w:val="none"/>
        </w:rPr>
        <w:t>特定原始权益人、重要现金流提供方</w:t>
      </w:r>
      <w:r>
        <w:rPr>
          <w:rFonts w:hint="eastAsia" w:ascii="仿宋" w:hAnsi="仿宋"/>
          <w:bCs/>
          <w:szCs w:val="32"/>
          <w:highlight w:val="none"/>
        </w:rPr>
        <w:t>的金融机构债权人委员会，</w:t>
      </w:r>
      <w:r>
        <w:rPr>
          <w:rFonts w:hint="eastAsia" w:ascii="仿宋" w:hAnsi="仿宋"/>
          <w:szCs w:val="32"/>
          <w:highlight w:val="none"/>
        </w:rPr>
        <w:t>并且专项计划交易结构安排中缺乏其他保障专项计划资产安全、投资者权益的有效措施或者预计相关措施难以有效实施；</w:t>
      </w:r>
    </w:p>
    <w:p>
      <w:pPr>
        <w:pStyle w:val="4"/>
        <w:spacing w:line="560" w:lineRule="exact"/>
        <w:ind w:firstLine="640"/>
        <w:rPr>
          <w:rFonts w:ascii="仿宋" w:hAnsi="仿宋"/>
          <w:highlight w:val="none"/>
        </w:rPr>
      </w:pPr>
      <w:r>
        <w:rPr>
          <w:rFonts w:hint="eastAsia"/>
          <w:highlight w:val="none"/>
        </w:rPr>
        <w:t>（六）特定原始权益人、重要现金流提供方进入破产程序或者破产预重整程序，</w:t>
      </w:r>
      <w:r>
        <w:rPr>
          <w:rFonts w:hint="eastAsia" w:ascii="仿宋" w:hAnsi="仿宋"/>
          <w:szCs w:val="32"/>
          <w:highlight w:val="none"/>
        </w:rPr>
        <w:t>并且专项计划交易结构安排中缺乏其他保障专项计划资产安全、投资者权益的有效措施或者预计相关措施难以有效实施</w:t>
      </w:r>
      <w:r>
        <w:rPr>
          <w:rFonts w:hint="eastAsia" w:ascii="仿宋" w:hAnsi="仿宋"/>
          <w:highlight w:val="none"/>
        </w:rPr>
        <w:t>；</w:t>
      </w:r>
    </w:p>
    <w:p>
      <w:pPr>
        <w:pStyle w:val="4"/>
        <w:spacing w:line="560" w:lineRule="exact"/>
        <w:ind w:firstLine="640"/>
        <w:rPr>
          <w:rFonts w:hint="eastAsia"/>
          <w:highlight w:val="none"/>
        </w:rPr>
      </w:pPr>
      <w:r>
        <w:rPr>
          <w:rFonts w:hint="eastAsia"/>
          <w:highlight w:val="none"/>
        </w:rPr>
        <w:t>（七）本所为保护投资者合法权益认定的其他情形。</w:t>
      </w:r>
    </w:p>
    <w:p>
      <w:pPr>
        <w:pStyle w:val="4"/>
        <w:spacing w:line="560" w:lineRule="exact"/>
        <w:ind w:firstLine="643"/>
        <w:rPr>
          <w:highlight w:val="none"/>
        </w:rPr>
      </w:pPr>
      <w:r>
        <w:rPr>
          <w:rFonts w:hint="eastAsia"/>
          <w:b/>
          <w:highlight w:val="none"/>
        </w:rPr>
        <w:t>第六十</w:t>
      </w:r>
      <w:r>
        <w:rPr>
          <w:rFonts w:hint="eastAsia"/>
          <w:b/>
          <w:highlight w:val="none"/>
          <w:lang w:eastAsia="zh-CN"/>
        </w:rPr>
        <w:t>五</w:t>
      </w:r>
      <w:r>
        <w:rPr>
          <w:rFonts w:hint="eastAsia"/>
          <w:b/>
          <w:highlight w:val="none"/>
        </w:rPr>
        <w:t>条</w:t>
      </w:r>
      <w:r>
        <w:rPr>
          <w:rFonts w:hint="eastAsia"/>
          <w:highlight w:val="none"/>
        </w:rPr>
        <w:t xml:space="preserve"> 发生本指引第六十</w:t>
      </w:r>
      <w:r>
        <w:rPr>
          <w:rFonts w:hint="eastAsia"/>
          <w:highlight w:val="none"/>
          <w:lang w:eastAsia="zh-CN"/>
        </w:rPr>
        <w:t>四</w:t>
      </w:r>
      <w:r>
        <w:rPr>
          <w:rFonts w:hint="eastAsia"/>
          <w:highlight w:val="none"/>
        </w:rPr>
        <w:t>条第一项</w:t>
      </w:r>
      <w:r>
        <w:rPr>
          <w:rFonts w:hint="eastAsia"/>
          <w:highlight w:val="none"/>
          <w:lang w:eastAsia="zh-CN"/>
        </w:rPr>
        <w:t>、</w:t>
      </w:r>
      <w:r>
        <w:rPr>
          <w:rFonts w:hint="eastAsia"/>
          <w:highlight w:val="none"/>
        </w:rPr>
        <w:t>第二项规定情形的，管理人应当向本所申请为相关特定资产支持证券提供相应转让服务。管理人未及时向本所提出申请的，本所可以对相关特定资产支持证券办理相应转让服务并予以公告。</w:t>
      </w:r>
    </w:p>
    <w:p>
      <w:pPr>
        <w:pStyle w:val="4"/>
        <w:spacing w:line="560" w:lineRule="exact"/>
        <w:ind w:firstLine="640"/>
        <w:rPr>
          <w:highlight w:val="none"/>
        </w:rPr>
      </w:pPr>
      <w:r>
        <w:rPr>
          <w:rFonts w:hint="eastAsia"/>
          <w:highlight w:val="none"/>
        </w:rPr>
        <w:t>发生本指引第六十</w:t>
      </w:r>
      <w:r>
        <w:rPr>
          <w:rFonts w:hint="eastAsia"/>
          <w:highlight w:val="none"/>
          <w:lang w:eastAsia="zh-CN"/>
        </w:rPr>
        <w:t>四</w:t>
      </w:r>
      <w:r>
        <w:rPr>
          <w:rFonts w:hint="eastAsia"/>
          <w:highlight w:val="none"/>
        </w:rPr>
        <w:t>条第三项至第七项规定情形，或者认为有其他合理理由的，管理人可以向本所申请为相关特定资产支持证券提供相应转让服务。</w:t>
      </w:r>
    </w:p>
    <w:p>
      <w:pPr>
        <w:pStyle w:val="4"/>
        <w:spacing w:line="560" w:lineRule="exact"/>
        <w:ind w:firstLine="643"/>
        <w:rPr>
          <w:highlight w:val="none"/>
        </w:rPr>
      </w:pPr>
      <w:r>
        <w:rPr>
          <w:rFonts w:hint="eastAsia"/>
          <w:b/>
          <w:highlight w:val="none"/>
        </w:rPr>
        <w:t>第六十</w:t>
      </w:r>
      <w:r>
        <w:rPr>
          <w:rFonts w:hint="eastAsia"/>
          <w:b/>
          <w:highlight w:val="none"/>
          <w:lang w:eastAsia="zh-CN"/>
        </w:rPr>
        <w:t>六</w:t>
      </w:r>
      <w:r>
        <w:rPr>
          <w:rFonts w:hint="eastAsia"/>
          <w:b/>
          <w:highlight w:val="none"/>
        </w:rPr>
        <w:t>条</w:t>
      </w:r>
      <w:r>
        <w:rPr>
          <w:highlight w:val="none"/>
        </w:rPr>
        <w:t xml:space="preserve"> </w:t>
      </w:r>
      <w:r>
        <w:rPr>
          <w:rFonts w:hint="eastAsia"/>
          <w:highlight w:val="none"/>
        </w:rPr>
        <w:t>特定资产支持证券管理人应当在转让起始日前公告转让安排，说明下列事项：</w:t>
      </w:r>
    </w:p>
    <w:p>
      <w:pPr>
        <w:pStyle w:val="4"/>
        <w:spacing w:line="560" w:lineRule="exact"/>
        <w:ind w:firstLine="640"/>
        <w:rPr>
          <w:highlight w:val="none"/>
        </w:rPr>
      </w:pPr>
      <w:r>
        <w:rPr>
          <w:rFonts w:hint="eastAsia"/>
          <w:highlight w:val="none"/>
        </w:rPr>
        <w:t>（一）按照相关业务规则和本节规定进行转让的原因；</w:t>
      </w:r>
    </w:p>
    <w:p>
      <w:pPr>
        <w:pStyle w:val="4"/>
        <w:spacing w:line="560" w:lineRule="exact"/>
        <w:ind w:firstLine="640"/>
        <w:rPr>
          <w:highlight w:val="none"/>
        </w:rPr>
      </w:pPr>
      <w:r>
        <w:rPr>
          <w:rFonts w:hint="eastAsia"/>
          <w:highlight w:val="none"/>
        </w:rPr>
        <w:t>（二）特定资产支持证券简称、代码和转让起始日；</w:t>
      </w:r>
    </w:p>
    <w:p>
      <w:pPr>
        <w:pStyle w:val="4"/>
        <w:spacing w:line="560" w:lineRule="exact"/>
        <w:ind w:firstLine="640"/>
        <w:rPr>
          <w:highlight w:val="none"/>
        </w:rPr>
      </w:pPr>
      <w:r>
        <w:rPr>
          <w:rFonts w:hint="eastAsia"/>
          <w:highlight w:val="none"/>
        </w:rPr>
        <w:t>（三）特定资产支持证券转让和登记结算相关安排，包括转让方式、计价方式、结算模式、投资者适当性管理安排、信息披露安排等；</w:t>
      </w:r>
    </w:p>
    <w:p>
      <w:pPr>
        <w:pStyle w:val="4"/>
        <w:spacing w:line="560" w:lineRule="exact"/>
        <w:ind w:firstLine="640"/>
        <w:rPr>
          <w:highlight w:val="none"/>
        </w:rPr>
      </w:pPr>
      <w:r>
        <w:rPr>
          <w:rFonts w:hint="eastAsia"/>
          <w:highlight w:val="none"/>
        </w:rPr>
        <w:t>（四）相关投资风险提示；</w:t>
      </w:r>
    </w:p>
    <w:p>
      <w:pPr>
        <w:pStyle w:val="4"/>
        <w:spacing w:line="560" w:lineRule="exact"/>
        <w:ind w:firstLine="640"/>
        <w:rPr>
          <w:highlight w:val="none"/>
        </w:rPr>
      </w:pPr>
      <w:r>
        <w:rPr>
          <w:rFonts w:hint="eastAsia"/>
          <w:highlight w:val="none"/>
        </w:rPr>
        <w:t>（五）本所要求的其他内容。</w:t>
      </w:r>
    </w:p>
    <w:p>
      <w:pPr>
        <w:pStyle w:val="4"/>
        <w:spacing w:line="560" w:lineRule="exact"/>
        <w:ind w:firstLine="643"/>
        <w:rPr>
          <w:highlight w:val="none"/>
        </w:rPr>
      </w:pPr>
      <w:r>
        <w:rPr>
          <w:rFonts w:hint="eastAsia"/>
          <w:b/>
          <w:highlight w:val="none"/>
        </w:rPr>
        <w:t>第六十</w:t>
      </w:r>
      <w:r>
        <w:rPr>
          <w:rFonts w:hint="eastAsia"/>
          <w:b/>
          <w:highlight w:val="none"/>
          <w:lang w:eastAsia="zh-CN"/>
        </w:rPr>
        <w:t>七</w:t>
      </w:r>
      <w:r>
        <w:rPr>
          <w:rFonts w:hint="eastAsia"/>
          <w:b/>
          <w:highlight w:val="none"/>
        </w:rPr>
        <w:t>条</w:t>
      </w:r>
      <w:r>
        <w:rPr>
          <w:highlight w:val="none"/>
        </w:rPr>
        <w:t xml:space="preserve"> </w:t>
      </w:r>
      <w:r>
        <w:rPr>
          <w:rFonts w:hint="eastAsia"/>
          <w:highlight w:val="none"/>
        </w:rPr>
        <w:t>投资者可以采用点击成交、询价成交、协商成交、竞买成交或者本所认可的其他方式参与特定资产支持证券的转让。采用点击成交、询价成交或者协商成交方式的，</w:t>
      </w:r>
      <w:r>
        <w:rPr>
          <w:rFonts w:hint="eastAsia" w:ascii="仿宋" w:hAnsi="仿宋" w:cs="仿宋"/>
          <w:highlight w:val="none"/>
        </w:rPr>
        <w:t>申报数量应当为100元面额或者其整数倍；采用竞买成交方式的，申报数量应当不低于10万元面额，且为1000元面额整数倍。</w:t>
      </w:r>
    </w:p>
    <w:p>
      <w:pPr>
        <w:pStyle w:val="4"/>
        <w:spacing w:line="560" w:lineRule="exact"/>
        <w:ind w:firstLine="640"/>
        <w:rPr>
          <w:highlight w:val="none"/>
        </w:rPr>
      </w:pPr>
      <w:r>
        <w:rPr>
          <w:rFonts w:hint="eastAsia"/>
          <w:highlight w:val="none"/>
        </w:rPr>
        <w:t>特定资产支持证券采用全价方式进行转让。自转让起始日起，本所不再对特定资产支持证券作除息处理。</w:t>
      </w:r>
    </w:p>
    <w:p>
      <w:pPr>
        <w:pStyle w:val="4"/>
        <w:spacing w:line="560" w:lineRule="exact"/>
        <w:ind w:firstLine="643"/>
        <w:rPr>
          <w:highlight w:val="none"/>
        </w:rPr>
      </w:pPr>
      <w:r>
        <w:rPr>
          <w:rFonts w:hint="eastAsia"/>
          <w:b/>
          <w:highlight w:val="none"/>
        </w:rPr>
        <w:t>第六十</w:t>
      </w:r>
      <w:r>
        <w:rPr>
          <w:rFonts w:hint="eastAsia"/>
          <w:b/>
          <w:highlight w:val="none"/>
          <w:lang w:eastAsia="zh-CN"/>
        </w:rPr>
        <w:t>八</w:t>
      </w:r>
      <w:r>
        <w:rPr>
          <w:rFonts w:hint="eastAsia"/>
          <w:b/>
          <w:highlight w:val="none"/>
        </w:rPr>
        <w:t>条</w:t>
      </w:r>
      <w:r>
        <w:rPr>
          <w:highlight w:val="none"/>
        </w:rPr>
        <w:t xml:space="preserve"> </w:t>
      </w:r>
      <w:r>
        <w:rPr>
          <w:rFonts w:hint="eastAsia"/>
          <w:highlight w:val="none"/>
        </w:rPr>
        <w:t>特定资产支持证券转让期间，管理人等信息披露义务人应当按照规定和约定及时履行信息披露义务，保证所披露的信息真实、准确、完整。信息披露应当通过本所固定收益品种业务专区或者以本所认可的其他方式披露。</w:t>
      </w:r>
    </w:p>
    <w:p>
      <w:pPr>
        <w:pStyle w:val="4"/>
        <w:spacing w:line="560" w:lineRule="exact"/>
        <w:ind w:firstLine="640"/>
        <w:rPr>
          <w:highlight w:val="none"/>
        </w:rPr>
      </w:pPr>
      <w:r>
        <w:rPr>
          <w:rFonts w:hint="eastAsia"/>
          <w:highlight w:val="none"/>
        </w:rPr>
        <w:t>拟披露的信息预计将影响特定资产支持证券信用风险化解处置，或者有其他合理理由的，信息披露义务人可以暂缓披露或者</w:t>
      </w:r>
      <w:r>
        <w:rPr>
          <w:rFonts w:hint="eastAsia"/>
          <w:highlight w:val="none"/>
          <w:lang w:eastAsia="zh-CN"/>
        </w:rPr>
        <w:t>申请</w:t>
      </w:r>
      <w:r>
        <w:rPr>
          <w:rFonts w:hint="eastAsia"/>
          <w:highlight w:val="none"/>
        </w:rPr>
        <w:t>仅面向</w:t>
      </w:r>
      <w:r>
        <w:rPr>
          <w:rFonts w:hint="eastAsia"/>
          <w:highlight w:val="none"/>
          <w:lang w:eastAsia="zh-CN"/>
        </w:rPr>
        <w:t>资产支持证券</w:t>
      </w:r>
      <w:r>
        <w:rPr>
          <w:rFonts w:hint="eastAsia"/>
          <w:highlight w:val="none"/>
        </w:rPr>
        <w:t>持有人披露相关信息，或者通过适当方式向</w:t>
      </w:r>
      <w:r>
        <w:rPr>
          <w:rFonts w:hint="eastAsia"/>
          <w:highlight w:val="none"/>
          <w:lang w:eastAsia="zh-CN"/>
        </w:rPr>
        <w:t>资产支持证券</w:t>
      </w:r>
      <w:r>
        <w:rPr>
          <w:rFonts w:hint="eastAsia"/>
          <w:highlight w:val="none"/>
        </w:rPr>
        <w:t>持有人披露相关信息。</w:t>
      </w:r>
    </w:p>
    <w:p>
      <w:pPr>
        <w:pStyle w:val="4"/>
        <w:spacing w:line="560" w:lineRule="exact"/>
        <w:ind w:firstLine="643"/>
        <w:rPr>
          <w:highlight w:val="none"/>
        </w:rPr>
      </w:pPr>
      <w:r>
        <w:rPr>
          <w:rFonts w:hint="eastAsia"/>
          <w:b/>
          <w:highlight w:val="none"/>
        </w:rPr>
        <w:t>第六十</w:t>
      </w:r>
      <w:r>
        <w:rPr>
          <w:rFonts w:hint="eastAsia"/>
          <w:b/>
          <w:highlight w:val="none"/>
          <w:lang w:eastAsia="zh-CN"/>
        </w:rPr>
        <w:t>九</w:t>
      </w:r>
      <w:r>
        <w:rPr>
          <w:rFonts w:hint="eastAsia"/>
          <w:b/>
          <w:highlight w:val="none"/>
        </w:rPr>
        <w:t>条</w:t>
      </w:r>
      <w:r>
        <w:rPr>
          <w:highlight w:val="none"/>
        </w:rPr>
        <w:t xml:space="preserve"> </w:t>
      </w:r>
      <w:r>
        <w:rPr>
          <w:rFonts w:hint="eastAsia"/>
          <w:highlight w:val="none"/>
        </w:rPr>
        <w:t>受让方应当主动调查了解可能影响特定资产支持证券权利义务的相关事项，充分评估并确保自身具备相应的风险识别和承受能力，能够自行承担所受让特定资产支持证券的投资风险和损失。</w:t>
      </w:r>
    </w:p>
    <w:p>
      <w:pPr>
        <w:pStyle w:val="4"/>
        <w:spacing w:line="560" w:lineRule="exact"/>
        <w:ind w:firstLine="640"/>
        <w:rPr>
          <w:highlight w:val="none"/>
        </w:rPr>
      </w:pPr>
      <w:r>
        <w:rPr>
          <w:rFonts w:hint="eastAsia"/>
          <w:highlight w:val="none"/>
        </w:rPr>
        <w:t>出让方应当确保拟出让的特定资产支持证券权属清晰，不存在质押、司法冻结等权利受限情形，并将其知悉的关于拟出让特定资产支持证券相关权利义务事项和其他可能影响转让价格的重要事项如实告知受让方。</w:t>
      </w:r>
    </w:p>
    <w:p>
      <w:pPr>
        <w:pStyle w:val="4"/>
        <w:spacing w:line="560" w:lineRule="exact"/>
        <w:ind w:firstLine="640"/>
        <w:rPr>
          <w:highlight w:val="none"/>
        </w:rPr>
      </w:pPr>
      <w:r>
        <w:rPr>
          <w:rFonts w:hint="eastAsia"/>
          <w:highlight w:val="none"/>
        </w:rPr>
        <w:t>管理人应当为转让双方的转让协商和履行相应义务提供协助配合和相关便利。</w:t>
      </w:r>
    </w:p>
    <w:p>
      <w:pPr>
        <w:pStyle w:val="4"/>
        <w:spacing w:line="560" w:lineRule="exact"/>
        <w:ind w:firstLine="643"/>
        <w:rPr>
          <w:rFonts w:hint="eastAsia"/>
          <w:highlight w:val="none"/>
        </w:rPr>
      </w:pPr>
      <w:r>
        <w:rPr>
          <w:rFonts w:hint="eastAsia"/>
          <w:b/>
          <w:highlight w:val="none"/>
        </w:rPr>
        <w:t>第</w:t>
      </w:r>
      <w:r>
        <w:rPr>
          <w:rFonts w:hint="eastAsia"/>
          <w:b/>
          <w:highlight w:val="none"/>
          <w:lang w:eastAsia="zh-CN"/>
        </w:rPr>
        <w:t>七十</w:t>
      </w:r>
      <w:r>
        <w:rPr>
          <w:rFonts w:hint="eastAsia"/>
          <w:b/>
          <w:highlight w:val="none"/>
        </w:rPr>
        <w:t>条</w:t>
      </w:r>
      <w:r>
        <w:rPr>
          <w:highlight w:val="none"/>
        </w:rPr>
        <w:t xml:space="preserve"> </w:t>
      </w:r>
      <w:r>
        <w:rPr>
          <w:rFonts w:hint="eastAsia"/>
          <w:highlight w:val="none"/>
        </w:rPr>
        <w:t>证券经营机构应当履行投资者适当性管理职责，确保特定资产支持证券受让方为符合本所投资者适当性管理规定的专业机构投资者，具备与产品风险程度相适应的风险承受能力，并已签署特定资产支持证券转让风险知悉书。</w:t>
      </w:r>
    </w:p>
    <w:p>
      <w:pPr>
        <w:pStyle w:val="4"/>
        <w:spacing w:line="560" w:lineRule="exact"/>
        <w:ind w:firstLine="643"/>
        <w:rPr>
          <w:rFonts w:hint="eastAsia"/>
          <w:highlight w:val="none"/>
        </w:rPr>
      </w:pPr>
      <w:r>
        <w:rPr>
          <w:rFonts w:hint="eastAsia"/>
          <w:b/>
          <w:bCs/>
          <w:highlight w:val="none"/>
        </w:rPr>
        <w:t>第</w:t>
      </w:r>
      <w:r>
        <w:rPr>
          <w:rFonts w:hint="eastAsia"/>
          <w:b/>
          <w:bCs/>
          <w:highlight w:val="none"/>
          <w:lang w:eastAsia="zh-CN"/>
        </w:rPr>
        <w:t>七十一</w:t>
      </w:r>
      <w:r>
        <w:rPr>
          <w:rFonts w:hint="eastAsia"/>
          <w:b/>
          <w:bCs/>
          <w:highlight w:val="none"/>
        </w:rPr>
        <w:t>条</w:t>
      </w:r>
      <w:r>
        <w:rPr>
          <w:rFonts w:hint="eastAsia"/>
          <w:highlight w:val="none"/>
        </w:rPr>
        <w:t xml:space="preserve"> </w:t>
      </w:r>
      <w:r>
        <w:rPr>
          <w:rFonts w:hint="eastAsia"/>
          <w:highlight w:val="none"/>
          <w:lang w:eastAsia="zh-CN"/>
        </w:rPr>
        <w:t>管理人</w:t>
      </w:r>
      <w:r>
        <w:rPr>
          <w:rFonts w:hint="eastAsia"/>
          <w:highlight w:val="none"/>
        </w:rPr>
        <w:t>申请办理特定资产支持证券资金偿付或者注销业务的，按照本所和登记结算机构的相关规定办理。由此可能产生的法律后果由申请人自行承担。</w:t>
      </w:r>
    </w:p>
    <w:p>
      <w:pPr>
        <w:pStyle w:val="4"/>
        <w:spacing w:line="560" w:lineRule="exact"/>
        <w:ind w:firstLine="643"/>
        <w:rPr>
          <w:rFonts w:hint="eastAsia"/>
          <w:highlight w:val="none"/>
        </w:rPr>
      </w:pPr>
      <w:r>
        <w:rPr>
          <w:rFonts w:hint="eastAsia"/>
          <w:highlight w:val="none"/>
        </w:rPr>
        <w:t>特定资产支持证券根据偿付方案偿付完毕、存在不适宜转让情形或者本所认定的其他情形的，本所可以终止相关资产支持证券的转让。</w:t>
      </w:r>
    </w:p>
    <w:p>
      <w:pPr>
        <w:pStyle w:val="3"/>
        <w:ind w:firstLine="0" w:firstLineChars="0"/>
        <w:jc w:val="center"/>
        <w:rPr>
          <w:rFonts w:ascii="楷体" w:hAnsi="楷体" w:eastAsia="楷体"/>
          <w:b w:val="0"/>
          <w:highlight w:val="none"/>
        </w:rPr>
      </w:pPr>
      <w:bookmarkStart w:id="33" w:name="_Toc121941217"/>
      <w:bookmarkStart w:id="34" w:name="_Toc120129841"/>
      <w:r>
        <w:rPr>
          <w:rFonts w:hint="eastAsia" w:ascii="楷体" w:hAnsi="楷体" w:eastAsia="楷体"/>
          <w:b w:val="0"/>
          <w:highlight w:val="none"/>
        </w:rPr>
        <w:t>第三节</w:t>
      </w:r>
      <w:r>
        <w:rPr>
          <w:rFonts w:ascii="楷体" w:hAnsi="楷体" w:eastAsia="楷体"/>
          <w:b w:val="0"/>
          <w:highlight w:val="none"/>
        </w:rPr>
        <w:t xml:space="preserve"> </w:t>
      </w:r>
      <w:r>
        <w:rPr>
          <w:rFonts w:hint="eastAsia" w:ascii="楷体" w:hAnsi="楷体" w:eastAsia="楷体"/>
          <w:b w:val="0"/>
          <w:highlight w:val="none"/>
        </w:rPr>
        <w:t>其他信用风险管理工具</w:t>
      </w:r>
      <w:bookmarkEnd w:id="33"/>
      <w:bookmarkEnd w:id="34"/>
    </w:p>
    <w:p>
      <w:pPr>
        <w:spacing w:line="560" w:lineRule="exact"/>
        <w:ind w:firstLine="643"/>
        <w:rPr>
          <w:highlight w:val="none"/>
        </w:rPr>
      </w:pPr>
      <w:r>
        <w:rPr>
          <w:rFonts w:hint="eastAsia"/>
          <w:b/>
          <w:highlight w:val="none"/>
        </w:rPr>
        <w:t>第七十</w:t>
      </w:r>
      <w:r>
        <w:rPr>
          <w:rFonts w:hint="eastAsia"/>
          <w:b/>
          <w:highlight w:val="none"/>
          <w:lang w:eastAsia="zh-CN"/>
        </w:rPr>
        <w:t>二</w:t>
      </w:r>
      <w:r>
        <w:rPr>
          <w:rFonts w:hint="eastAsia"/>
          <w:b/>
          <w:highlight w:val="none"/>
        </w:rPr>
        <w:t>条</w:t>
      </w:r>
      <w:r>
        <w:rPr>
          <w:highlight w:val="none"/>
        </w:rPr>
        <w:t xml:space="preserve"> </w:t>
      </w:r>
      <w:r>
        <w:rPr>
          <w:rFonts w:hint="eastAsia"/>
          <w:highlight w:val="none"/>
        </w:rPr>
        <w:t>管理人可以出于主动管理信用风险的需要，参照《深圳证券交易所公司债券存续期监管业务指引第</w:t>
      </w:r>
      <w:r>
        <w:rPr>
          <w:rFonts w:hint="eastAsia" w:ascii="仿宋" w:hAnsi="仿宋" w:cs="仿宋"/>
          <w:highlight w:val="none"/>
        </w:rPr>
        <w:t>3号——信</w:t>
      </w:r>
      <w:r>
        <w:rPr>
          <w:rFonts w:hint="eastAsia"/>
          <w:highlight w:val="none"/>
        </w:rPr>
        <w:t>用风险管理》实施资产支持证券购回业务。</w:t>
      </w:r>
    </w:p>
    <w:p>
      <w:pPr>
        <w:spacing w:line="560" w:lineRule="exact"/>
        <w:ind w:firstLine="643"/>
        <w:rPr>
          <w:rFonts w:ascii="仿宋" w:hAnsi="仿宋"/>
          <w:highlight w:val="none"/>
        </w:rPr>
      </w:pPr>
      <w:r>
        <w:rPr>
          <w:rFonts w:hint="eastAsia" w:ascii="仿宋" w:hAnsi="仿宋"/>
          <w:b/>
          <w:bCs/>
          <w:szCs w:val="32"/>
          <w:highlight w:val="none"/>
        </w:rPr>
        <w:t>第七十</w:t>
      </w:r>
      <w:r>
        <w:rPr>
          <w:rFonts w:hint="eastAsia" w:ascii="仿宋" w:hAnsi="仿宋"/>
          <w:b/>
          <w:bCs/>
          <w:szCs w:val="32"/>
          <w:highlight w:val="none"/>
          <w:lang w:eastAsia="zh-CN"/>
        </w:rPr>
        <w:t>三</w:t>
      </w:r>
      <w:r>
        <w:rPr>
          <w:rFonts w:hint="eastAsia" w:ascii="仿宋" w:hAnsi="仿宋"/>
          <w:b/>
          <w:highlight w:val="none"/>
        </w:rPr>
        <w:t>条</w:t>
      </w:r>
      <w:r>
        <w:rPr>
          <w:rFonts w:ascii="仿宋" w:hAnsi="仿宋"/>
          <w:highlight w:val="none"/>
        </w:rPr>
        <w:t xml:space="preserve"> </w:t>
      </w:r>
      <w:r>
        <w:rPr>
          <w:rFonts w:hint="eastAsia" w:ascii="仿宋" w:hAnsi="仿宋"/>
          <w:highlight w:val="none"/>
        </w:rPr>
        <w:t>管理人可以按照计划说明书的约定或者通过召开持有人会议等方式，</w:t>
      </w:r>
      <w:r>
        <w:rPr>
          <w:rFonts w:hint="eastAsia" w:ascii="仿宋" w:hAnsi="仿宋"/>
          <w:bCs/>
          <w:szCs w:val="32"/>
          <w:highlight w:val="none"/>
        </w:rPr>
        <w:t>变更资产支持证券</w:t>
      </w:r>
      <w:r>
        <w:rPr>
          <w:rFonts w:hint="eastAsia" w:ascii="仿宋" w:hAnsi="仿宋"/>
          <w:highlight w:val="none"/>
        </w:rPr>
        <w:t>偿付主体、期限、票面利率及其调整机制、偿付方式等基本要素。</w:t>
      </w:r>
    </w:p>
    <w:p>
      <w:pPr>
        <w:spacing w:line="560" w:lineRule="exact"/>
        <w:ind w:firstLine="640"/>
        <w:rPr>
          <w:rFonts w:ascii="仿宋" w:hAnsi="仿宋"/>
          <w:highlight w:val="none"/>
        </w:rPr>
      </w:pPr>
      <w:r>
        <w:rPr>
          <w:rFonts w:hint="eastAsia" w:ascii="仿宋" w:hAnsi="仿宋"/>
          <w:highlight w:val="none"/>
        </w:rPr>
        <w:t>管理人拟变更资产支持证券基本要素的，应当</w:t>
      </w:r>
      <w:r>
        <w:rPr>
          <w:rFonts w:hint="eastAsia" w:ascii="仿宋" w:hAnsi="仿宋"/>
          <w:bCs/>
          <w:szCs w:val="32"/>
          <w:highlight w:val="none"/>
        </w:rPr>
        <w:t>按照</w:t>
      </w:r>
      <w:r>
        <w:rPr>
          <w:rFonts w:hint="eastAsia" w:ascii="仿宋" w:hAnsi="仿宋"/>
          <w:highlight w:val="none"/>
        </w:rPr>
        <w:t>规定</w:t>
      </w:r>
      <w:r>
        <w:rPr>
          <w:rFonts w:hint="eastAsia" w:ascii="仿宋" w:hAnsi="仿宋"/>
          <w:bCs/>
          <w:szCs w:val="32"/>
          <w:highlight w:val="none"/>
        </w:rPr>
        <w:t>和</w:t>
      </w:r>
      <w:r>
        <w:rPr>
          <w:rFonts w:hint="eastAsia" w:ascii="仿宋" w:hAnsi="仿宋"/>
          <w:highlight w:val="none"/>
        </w:rPr>
        <w:t>约定</w:t>
      </w:r>
      <w:r>
        <w:rPr>
          <w:rFonts w:hint="eastAsia" w:ascii="仿宋" w:hAnsi="仿宋"/>
          <w:bCs/>
          <w:szCs w:val="32"/>
          <w:highlight w:val="none"/>
        </w:rPr>
        <w:t>履行</w:t>
      </w:r>
      <w:r>
        <w:rPr>
          <w:rFonts w:hint="eastAsia" w:ascii="仿宋" w:hAnsi="仿宋"/>
          <w:highlight w:val="none"/>
        </w:rPr>
        <w:t>程序，及时、准确、完整披露变更后的</w:t>
      </w:r>
      <w:r>
        <w:rPr>
          <w:rFonts w:hint="eastAsia" w:ascii="仿宋" w:hAnsi="仿宋"/>
          <w:bCs/>
          <w:szCs w:val="32"/>
          <w:highlight w:val="none"/>
        </w:rPr>
        <w:t>基本</w:t>
      </w:r>
      <w:r>
        <w:rPr>
          <w:rFonts w:hint="eastAsia" w:ascii="仿宋" w:hAnsi="仿宋"/>
          <w:highlight w:val="none"/>
        </w:rPr>
        <w:t>要素</w:t>
      </w:r>
      <w:r>
        <w:rPr>
          <w:rFonts w:hint="eastAsia" w:ascii="仿宋" w:hAnsi="仿宋"/>
          <w:bCs/>
          <w:szCs w:val="32"/>
          <w:highlight w:val="none"/>
        </w:rPr>
        <w:t>和</w:t>
      </w:r>
      <w:r>
        <w:rPr>
          <w:rFonts w:hint="eastAsia" w:ascii="仿宋" w:hAnsi="仿宋"/>
          <w:highlight w:val="none"/>
        </w:rPr>
        <w:t>生效日期，并在变更生效前及时向本所</w:t>
      </w:r>
      <w:r>
        <w:rPr>
          <w:rFonts w:hint="eastAsia" w:ascii="仿宋" w:hAnsi="仿宋"/>
          <w:bCs/>
          <w:szCs w:val="32"/>
          <w:highlight w:val="none"/>
        </w:rPr>
        <w:t>和</w:t>
      </w:r>
      <w:r>
        <w:rPr>
          <w:rFonts w:hint="eastAsia" w:ascii="仿宋" w:hAnsi="仿宋"/>
          <w:highlight w:val="none"/>
        </w:rPr>
        <w:t>登记结算机构申请变更相应登记事项。</w:t>
      </w:r>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bookmarkStart w:id="35" w:name="_Toc120129842"/>
      <w:bookmarkStart w:id="36" w:name="_Toc121941218"/>
      <w:r>
        <w:rPr>
          <w:rFonts w:hint="eastAsia" w:ascii="黑体" w:hAnsi="黑体" w:cs="Times New Roman"/>
          <w:b w:val="0"/>
          <w:szCs w:val="32"/>
          <w:highlight w:val="none"/>
        </w:rPr>
        <w:t>自律监管</w:t>
      </w:r>
      <w:bookmarkEnd w:id="35"/>
      <w:bookmarkEnd w:id="36"/>
    </w:p>
    <w:p>
      <w:pPr>
        <w:spacing w:line="560" w:lineRule="exact"/>
        <w:ind w:firstLine="643"/>
        <w:rPr>
          <w:highlight w:val="none"/>
        </w:rPr>
      </w:pPr>
      <w:r>
        <w:rPr>
          <w:rFonts w:hint="eastAsia"/>
          <w:b/>
          <w:highlight w:val="none"/>
        </w:rPr>
        <w:t>第七十</w:t>
      </w:r>
      <w:r>
        <w:rPr>
          <w:rFonts w:hint="eastAsia"/>
          <w:b/>
          <w:highlight w:val="none"/>
          <w:lang w:eastAsia="zh-CN"/>
        </w:rPr>
        <w:t>四</w:t>
      </w:r>
      <w:r>
        <w:rPr>
          <w:rFonts w:hint="eastAsia"/>
          <w:b/>
          <w:highlight w:val="none"/>
        </w:rPr>
        <w:t>条</w:t>
      </w:r>
      <w:r>
        <w:rPr>
          <w:rFonts w:hint="eastAsia"/>
          <w:highlight w:val="none"/>
        </w:rPr>
        <w:t xml:space="preserve"> 管理人、证券服务机构应当及时制作</w:t>
      </w:r>
      <w:r>
        <w:rPr>
          <w:rFonts w:hint="eastAsia" w:ascii="仿宋" w:hAnsi="仿宋"/>
          <w:bCs/>
          <w:szCs w:val="32"/>
          <w:highlight w:val="none"/>
        </w:rPr>
        <w:t>工作底稿，完整</w:t>
      </w:r>
      <w:r>
        <w:rPr>
          <w:rFonts w:hint="eastAsia" w:ascii="仿宋" w:hAnsi="仿宋"/>
          <w:highlight w:val="none"/>
        </w:rPr>
        <w:t>保存信用风险管理相关工作</w:t>
      </w:r>
      <w:r>
        <w:rPr>
          <w:rFonts w:hint="eastAsia" w:ascii="仿宋" w:hAnsi="仿宋"/>
          <w:bCs/>
          <w:szCs w:val="32"/>
          <w:highlight w:val="none"/>
        </w:rPr>
        <w:t>记录和资料。本所可以根据工作需要调阅、检查</w:t>
      </w:r>
      <w:r>
        <w:rPr>
          <w:rFonts w:hint="eastAsia" w:ascii="仿宋" w:hAnsi="仿宋"/>
          <w:highlight w:val="none"/>
        </w:rPr>
        <w:t>工作底稿</w:t>
      </w:r>
      <w:r>
        <w:rPr>
          <w:rFonts w:hint="eastAsia" w:ascii="仿宋" w:hAnsi="仿宋"/>
          <w:bCs/>
          <w:szCs w:val="32"/>
          <w:highlight w:val="none"/>
        </w:rPr>
        <w:t>、工作记录和其他相关资料。</w:t>
      </w:r>
    </w:p>
    <w:p>
      <w:pPr>
        <w:adjustRightInd w:val="0"/>
        <w:snapToGrid w:val="0"/>
        <w:spacing w:line="560" w:lineRule="exact"/>
        <w:ind w:firstLine="643"/>
        <w:rPr>
          <w:rFonts w:ascii="仿宋" w:hAnsi="仿宋"/>
          <w:highlight w:val="none"/>
        </w:rPr>
      </w:pPr>
      <w:r>
        <w:rPr>
          <w:rFonts w:hint="eastAsia"/>
          <w:b/>
          <w:highlight w:val="none"/>
        </w:rPr>
        <w:t>第七十</w:t>
      </w:r>
      <w:r>
        <w:rPr>
          <w:rFonts w:hint="eastAsia"/>
          <w:b/>
          <w:highlight w:val="none"/>
          <w:lang w:eastAsia="zh-CN"/>
        </w:rPr>
        <w:t>五</w:t>
      </w:r>
      <w:r>
        <w:rPr>
          <w:rFonts w:hint="eastAsia"/>
          <w:b/>
          <w:highlight w:val="none"/>
        </w:rPr>
        <w:t>条</w:t>
      </w:r>
      <w:r>
        <w:rPr>
          <w:rFonts w:hint="eastAsia"/>
          <w:highlight w:val="none"/>
        </w:rPr>
        <w:t xml:space="preserve"> 本所可以根据工作需求，对信用风险管理业务参与人</w:t>
      </w:r>
      <w:r>
        <w:rPr>
          <w:rFonts w:hint="eastAsia" w:ascii="仿宋" w:hAnsi="仿宋"/>
          <w:highlight w:val="none"/>
        </w:rPr>
        <w:t>实施现场</w:t>
      </w:r>
      <w:r>
        <w:rPr>
          <w:rFonts w:hint="eastAsia" w:ascii="仿宋" w:hAnsi="仿宋"/>
          <w:bCs/>
          <w:szCs w:val="32"/>
          <w:highlight w:val="none"/>
        </w:rPr>
        <w:t>或者</w:t>
      </w:r>
      <w:r>
        <w:rPr>
          <w:rFonts w:hint="eastAsia" w:ascii="仿宋" w:hAnsi="仿宋"/>
          <w:highlight w:val="none"/>
        </w:rPr>
        <w:t>非现场检查、</w:t>
      </w:r>
      <w:r>
        <w:rPr>
          <w:rFonts w:hint="eastAsia" w:ascii="仿宋" w:hAnsi="仿宋"/>
          <w:bCs/>
          <w:szCs w:val="32"/>
          <w:highlight w:val="none"/>
        </w:rPr>
        <w:t>就相关事项进行问询、要求开展自查或者核查、督促履行相关义务或者职责以及其他本所认为适当的监管方式</w:t>
      </w:r>
      <w:r>
        <w:rPr>
          <w:rFonts w:hint="eastAsia" w:ascii="仿宋" w:hAnsi="仿宋"/>
          <w:highlight w:val="none"/>
        </w:rPr>
        <w:t>。</w:t>
      </w:r>
    </w:p>
    <w:p>
      <w:pPr>
        <w:adjustRightInd w:val="0"/>
        <w:snapToGrid w:val="0"/>
        <w:spacing w:line="560" w:lineRule="exact"/>
        <w:ind w:firstLine="640"/>
        <w:rPr>
          <w:rFonts w:ascii="仿宋" w:hAnsi="仿宋"/>
          <w:highlight w:val="none"/>
        </w:rPr>
      </w:pPr>
      <w:r>
        <w:rPr>
          <w:rFonts w:hint="eastAsia"/>
          <w:highlight w:val="none"/>
        </w:rPr>
        <w:t>相关</w:t>
      </w:r>
      <w:r>
        <w:rPr>
          <w:rFonts w:hint="eastAsia" w:ascii="仿宋" w:hAnsi="仿宋"/>
          <w:bCs/>
          <w:szCs w:val="32"/>
          <w:highlight w:val="none"/>
        </w:rPr>
        <w:t>信用风险管理业务参与人</w:t>
      </w:r>
      <w:r>
        <w:rPr>
          <w:rFonts w:hint="eastAsia" w:ascii="仿宋" w:hAnsi="仿宋"/>
          <w:highlight w:val="none"/>
        </w:rPr>
        <w:t>及其</w:t>
      </w:r>
      <w:r>
        <w:rPr>
          <w:rFonts w:hint="eastAsia" w:ascii="仿宋" w:hAnsi="仿宋"/>
          <w:bCs/>
          <w:szCs w:val="32"/>
          <w:highlight w:val="none"/>
        </w:rPr>
        <w:t>相关</w:t>
      </w:r>
      <w:r>
        <w:rPr>
          <w:rFonts w:hint="eastAsia" w:ascii="仿宋" w:hAnsi="仿宋"/>
          <w:highlight w:val="none"/>
        </w:rPr>
        <w:t>人员应当积极配合</w:t>
      </w:r>
      <w:r>
        <w:rPr>
          <w:rFonts w:hint="eastAsia" w:ascii="仿宋" w:hAnsi="仿宋"/>
          <w:bCs/>
          <w:szCs w:val="32"/>
          <w:highlight w:val="none"/>
        </w:rPr>
        <w:t>本所实施现场检查等监管方式，按照要求</w:t>
      </w:r>
      <w:r>
        <w:rPr>
          <w:rFonts w:hint="eastAsia" w:ascii="仿宋" w:hAnsi="仿宋"/>
          <w:highlight w:val="none"/>
        </w:rPr>
        <w:t>及时提供相关资料，如实</w:t>
      </w:r>
      <w:r>
        <w:rPr>
          <w:rFonts w:hint="eastAsia" w:ascii="仿宋" w:hAnsi="仿宋"/>
          <w:bCs/>
          <w:szCs w:val="32"/>
          <w:highlight w:val="none"/>
        </w:rPr>
        <w:t>回复</w:t>
      </w:r>
      <w:r>
        <w:rPr>
          <w:rFonts w:hint="eastAsia" w:ascii="仿宋" w:hAnsi="仿宋"/>
          <w:highlight w:val="none"/>
        </w:rPr>
        <w:t>相关</w:t>
      </w:r>
      <w:r>
        <w:rPr>
          <w:rFonts w:hint="eastAsia" w:ascii="仿宋" w:hAnsi="仿宋"/>
          <w:bCs/>
          <w:szCs w:val="32"/>
          <w:highlight w:val="none"/>
        </w:rPr>
        <w:t>问询，不得拒绝、阻碍和隐瞒。</w:t>
      </w:r>
    </w:p>
    <w:p>
      <w:pPr>
        <w:spacing w:line="560" w:lineRule="exact"/>
        <w:ind w:firstLine="643"/>
        <w:rPr>
          <w:highlight w:val="none"/>
        </w:rPr>
      </w:pPr>
      <w:r>
        <w:rPr>
          <w:rFonts w:hint="eastAsia"/>
          <w:b/>
          <w:highlight w:val="none"/>
        </w:rPr>
        <w:t>第七十</w:t>
      </w:r>
      <w:r>
        <w:rPr>
          <w:rFonts w:hint="eastAsia"/>
          <w:b/>
          <w:highlight w:val="none"/>
          <w:lang w:eastAsia="zh-CN"/>
        </w:rPr>
        <w:t>六</w:t>
      </w:r>
      <w:r>
        <w:rPr>
          <w:rFonts w:hint="eastAsia"/>
          <w:b/>
          <w:highlight w:val="none"/>
        </w:rPr>
        <w:t>条</w:t>
      </w:r>
      <w:r>
        <w:rPr>
          <w:rFonts w:hint="eastAsia"/>
          <w:highlight w:val="none"/>
        </w:rPr>
        <w:t xml:space="preserve"> 信用风险管理业务参与人及其相关人员违反本指引的，本所可以按照相关业务规则对其采取自律监管措施或者纪律处分</w:t>
      </w:r>
      <w:r>
        <w:rPr>
          <w:rFonts w:hint="eastAsia" w:ascii="仿宋" w:hAnsi="仿宋"/>
          <w:highlight w:val="none"/>
        </w:rPr>
        <w:t>。</w:t>
      </w:r>
    </w:p>
    <w:p>
      <w:pPr>
        <w:pStyle w:val="2"/>
        <w:numPr>
          <w:ilvl w:val="0"/>
          <w:numId w:val="1"/>
        </w:numPr>
        <w:adjustRightInd/>
        <w:snapToGrid/>
        <w:spacing w:before="240" w:after="240" w:line="240" w:lineRule="auto"/>
        <w:ind w:left="0" w:firstLine="0" w:firstLineChars="0"/>
        <w:jc w:val="center"/>
        <w:rPr>
          <w:rFonts w:ascii="黑体" w:hAnsi="黑体" w:cs="Times New Roman"/>
          <w:b w:val="0"/>
          <w:szCs w:val="32"/>
          <w:highlight w:val="none"/>
        </w:rPr>
      </w:pPr>
      <w:r>
        <w:rPr>
          <w:rFonts w:hint="eastAsia" w:ascii="黑体" w:hAnsi="黑体" w:cs="Times New Roman"/>
          <w:b w:val="0"/>
          <w:szCs w:val="32"/>
          <w:highlight w:val="none"/>
        </w:rPr>
        <w:t>附则</w:t>
      </w:r>
    </w:p>
    <w:p>
      <w:pPr>
        <w:spacing w:line="560" w:lineRule="exact"/>
        <w:ind w:firstLine="643"/>
        <w:rPr>
          <w:highlight w:val="none"/>
        </w:rPr>
      </w:pPr>
      <w:r>
        <w:rPr>
          <w:rFonts w:hint="eastAsia"/>
          <w:b/>
          <w:highlight w:val="none"/>
        </w:rPr>
        <w:t>第七十</w:t>
      </w:r>
      <w:r>
        <w:rPr>
          <w:rFonts w:hint="eastAsia"/>
          <w:b/>
          <w:highlight w:val="none"/>
          <w:lang w:eastAsia="zh-CN"/>
        </w:rPr>
        <w:t>七</w:t>
      </w:r>
      <w:r>
        <w:rPr>
          <w:rFonts w:hint="eastAsia"/>
          <w:b/>
          <w:highlight w:val="none"/>
        </w:rPr>
        <w:t>条</w:t>
      </w:r>
      <w:r>
        <w:rPr>
          <w:rFonts w:hint="eastAsia"/>
          <w:highlight w:val="none"/>
        </w:rPr>
        <w:t xml:space="preserve"> 专项计划基础资产为核心企业供应链应付款的，核心企业参照执行本指引特定原始权益人的信用风险管理要求。</w:t>
      </w:r>
    </w:p>
    <w:p>
      <w:pPr>
        <w:spacing w:line="560" w:lineRule="exact"/>
        <w:ind w:firstLine="640"/>
        <w:rPr>
          <w:highlight w:val="none"/>
        </w:rPr>
      </w:pPr>
      <w:r>
        <w:rPr>
          <w:rFonts w:hint="eastAsia"/>
          <w:highlight w:val="none"/>
        </w:rPr>
        <w:t>前款所称核心企业供应链应付款，是指上游供应商或者服务提供方向核心企业或者其下属公司销售商品或者提供服务等经营活动后产生的、以核心企业或者下属公司为付款方的应付款</w:t>
      </w:r>
      <w:r>
        <w:rPr>
          <w:rFonts w:hint="eastAsia"/>
          <w:highlight w:val="none"/>
          <w:lang w:eastAsia="zh-CN"/>
        </w:rPr>
        <w:t>。</w:t>
      </w:r>
      <w:r>
        <w:rPr>
          <w:rFonts w:hint="eastAsia"/>
          <w:highlight w:val="none"/>
        </w:rPr>
        <w:t>核心企业，是指在供应链业务过程中具备主导地位且利用其主体资信为供应链资产支持证券提供信用支持的企业。</w:t>
      </w:r>
    </w:p>
    <w:p>
      <w:pPr>
        <w:spacing w:line="560" w:lineRule="exact"/>
        <w:ind w:firstLine="643"/>
        <w:rPr>
          <w:highlight w:val="none"/>
        </w:rPr>
      </w:pPr>
      <w:r>
        <w:rPr>
          <w:rFonts w:hint="eastAsia"/>
          <w:b/>
          <w:highlight w:val="none"/>
        </w:rPr>
        <w:t>第七十</w:t>
      </w:r>
      <w:r>
        <w:rPr>
          <w:rFonts w:hint="eastAsia"/>
          <w:b/>
          <w:highlight w:val="none"/>
          <w:lang w:eastAsia="zh-CN"/>
        </w:rPr>
        <w:t>八</w:t>
      </w:r>
      <w:r>
        <w:rPr>
          <w:rFonts w:hint="eastAsia"/>
          <w:b/>
          <w:highlight w:val="none"/>
        </w:rPr>
        <w:t>条</w:t>
      </w:r>
      <w:r>
        <w:rPr>
          <w:rFonts w:hint="eastAsia"/>
          <w:highlight w:val="none"/>
        </w:rPr>
        <w:t xml:space="preserve"> 本指引由本所负责解释。</w:t>
      </w:r>
    </w:p>
    <w:p>
      <w:pPr>
        <w:spacing w:line="560" w:lineRule="exact"/>
        <w:ind w:firstLine="643"/>
        <w:rPr>
          <w:rFonts w:hint="eastAsia" w:ascii="仿宋" w:hAnsi="仿宋" w:cs="仿宋"/>
          <w:highlight w:val="none"/>
        </w:rPr>
      </w:pPr>
      <w:r>
        <w:rPr>
          <w:rFonts w:hint="eastAsia"/>
          <w:b/>
          <w:highlight w:val="none"/>
        </w:rPr>
        <w:t>第七十</w:t>
      </w:r>
      <w:r>
        <w:rPr>
          <w:rFonts w:hint="eastAsia"/>
          <w:b/>
          <w:highlight w:val="none"/>
          <w:lang w:eastAsia="zh-CN"/>
        </w:rPr>
        <w:t>九</w:t>
      </w:r>
      <w:r>
        <w:rPr>
          <w:rFonts w:hint="eastAsia"/>
          <w:b/>
          <w:highlight w:val="none"/>
        </w:rPr>
        <w:t>条</w:t>
      </w:r>
      <w:r>
        <w:rPr>
          <w:rFonts w:hint="eastAsia"/>
          <w:highlight w:val="none"/>
        </w:rPr>
        <w:t xml:space="preserve"> 本指引自发布之日起施</w:t>
      </w:r>
      <w:r>
        <w:rPr>
          <w:rFonts w:hint="eastAsia" w:ascii="仿宋" w:hAnsi="仿宋" w:cs="仿宋"/>
          <w:highlight w:val="none"/>
        </w:rPr>
        <w:t>行。本所</w:t>
      </w:r>
      <w:r>
        <w:rPr>
          <w:rFonts w:hint="eastAsia" w:ascii="仿宋" w:hAnsi="仿宋" w:cs="仿宋"/>
          <w:highlight w:val="none"/>
          <w:lang w:eastAsia="zh-CN"/>
        </w:rPr>
        <w:t>于</w:t>
      </w:r>
      <w:r>
        <w:rPr>
          <w:rFonts w:hint="eastAsia" w:ascii="仿宋" w:hAnsi="仿宋" w:cs="仿宋"/>
          <w:highlight w:val="none"/>
        </w:rPr>
        <w:t>2018年5月11日发布的《深圳证券交易所资产支持证券存续期信用风险管理指引（试行）》（深证上〔2018〕200号）同时废止。</w:t>
      </w:r>
    </w:p>
    <w:p>
      <w:pPr>
        <w:ind w:firstLine="0" w:firstLineChars="0"/>
        <w:rPr>
          <w:highlight w:val="none"/>
        </w:rPr>
      </w:pPr>
    </w:p>
    <w:sectPr>
      <w:headerReference r:id="rId5" w:type="default"/>
      <w:footerReference r:id="rId6"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ind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4A45D1"/>
    <w:multiLevelType w:val="multilevel"/>
    <w:tmpl w:val="1E4A45D1"/>
    <w:lvl w:ilvl="0" w:tentative="0">
      <w:start w:val="1"/>
      <w:numFmt w:val="japaneseCounting"/>
      <w:lvlText w:val="第%1章"/>
      <w:lvlJc w:val="left"/>
      <w:pPr>
        <w:ind w:left="1365" w:hanging="1365"/>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71926CD"/>
    <w:multiLevelType w:val="singleLevel"/>
    <w:tmpl w:val="271926CD"/>
    <w:lvl w:ilvl="0" w:tentative="0">
      <w:start w:val="5"/>
      <w:numFmt w:val="chineseCounting"/>
      <w:suff w:val="space"/>
      <w:lvlText w:val="第%1条"/>
      <w:lvlJc w:val="left"/>
      <w:rPr>
        <w:rFonts w:hint="eastAsia"/>
        <w:b/>
        <w:bCs/>
      </w:rPr>
    </w:lvl>
  </w:abstractNum>
  <w:abstractNum w:abstractNumId="2">
    <w:nsid w:val="47450893"/>
    <w:multiLevelType w:val="singleLevel"/>
    <w:tmpl w:val="4745089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6"/>
    <w:rsid w:val="00000326"/>
    <w:rsid w:val="000017BB"/>
    <w:rsid w:val="00002FA1"/>
    <w:rsid w:val="0000365B"/>
    <w:rsid w:val="00006AD9"/>
    <w:rsid w:val="00006F67"/>
    <w:rsid w:val="00011877"/>
    <w:rsid w:val="000148BA"/>
    <w:rsid w:val="000175A9"/>
    <w:rsid w:val="000205BB"/>
    <w:rsid w:val="00020CC1"/>
    <w:rsid w:val="000216F1"/>
    <w:rsid w:val="000238DE"/>
    <w:rsid w:val="0002768C"/>
    <w:rsid w:val="00031C7F"/>
    <w:rsid w:val="00037DB7"/>
    <w:rsid w:val="000409D7"/>
    <w:rsid w:val="00040D7F"/>
    <w:rsid w:val="00042907"/>
    <w:rsid w:val="000432A3"/>
    <w:rsid w:val="00046C4F"/>
    <w:rsid w:val="000505B5"/>
    <w:rsid w:val="00052806"/>
    <w:rsid w:val="00055F03"/>
    <w:rsid w:val="00056B8F"/>
    <w:rsid w:val="00057AA1"/>
    <w:rsid w:val="00057E57"/>
    <w:rsid w:val="00060118"/>
    <w:rsid w:val="00060A90"/>
    <w:rsid w:val="00061BC0"/>
    <w:rsid w:val="00063F0D"/>
    <w:rsid w:val="00065680"/>
    <w:rsid w:val="00067BA6"/>
    <w:rsid w:val="00070DDC"/>
    <w:rsid w:val="0007373B"/>
    <w:rsid w:val="00074DA1"/>
    <w:rsid w:val="000761C6"/>
    <w:rsid w:val="00077272"/>
    <w:rsid w:val="00084407"/>
    <w:rsid w:val="000906FB"/>
    <w:rsid w:val="00090B60"/>
    <w:rsid w:val="0009110F"/>
    <w:rsid w:val="000924F8"/>
    <w:rsid w:val="0009415F"/>
    <w:rsid w:val="0009435D"/>
    <w:rsid w:val="00095A92"/>
    <w:rsid w:val="00095E1A"/>
    <w:rsid w:val="00096934"/>
    <w:rsid w:val="000A3D1B"/>
    <w:rsid w:val="000A3E49"/>
    <w:rsid w:val="000A7F16"/>
    <w:rsid w:val="000B0FC7"/>
    <w:rsid w:val="000B4E9F"/>
    <w:rsid w:val="000C206F"/>
    <w:rsid w:val="000C4272"/>
    <w:rsid w:val="000C4956"/>
    <w:rsid w:val="000C5D05"/>
    <w:rsid w:val="000C6DD7"/>
    <w:rsid w:val="000C7FD7"/>
    <w:rsid w:val="000D2AF3"/>
    <w:rsid w:val="000D2DDB"/>
    <w:rsid w:val="000D3EB9"/>
    <w:rsid w:val="000D4548"/>
    <w:rsid w:val="000D73E4"/>
    <w:rsid w:val="000E3610"/>
    <w:rsid w:val="000E68B7"/>
    <w:rsid w:val="000E7C28"/>
    <w:rsid w:val="000E7DD8"/>
    <w:rsid w:val="000F2B57"/>
    <w:rsid w:val="000F6A96"/>
    <w:rsid w:val="000F7253"/>
    <w:rsid w:val="000F736A"/>
    <w:rsid w:val="000F7C58"/>
    <w:rsid w:val="000F7DBB"/>
    <w:rsid w:val="00103080"/>
    <w:rsid w:val="001048C2"/>
    <w:rsid w:val="001066EC"/>
    <w:rsid w:val="001155F1"/>
    <w:rsid w:val="00127182"/>
    <w:rsid w:val="00127E4E"/>
    <w:rsid w:val="001305E5"/>
    <w:rsid w:val="001309E9"/>
    <w:rsid w:val="001317E7"/>
    <w:rsid w:val="00132DC1"/>
    <w:rsid w:val="00135DBA"/>
    <w:rsid w:val="001366F3"/>
    <w:rsid w:val="00136AB7"/>
    <w:rsid w:val="00140DF0"/>
    <w:rsid w:val="001514E6"/>
    <w:rsid w:val="00152335"/>
    <w:rsid w:val="00152617"/>
    <w:rsid w:val="0015539A"/>
    <w:rsid w:val="0016407B"/>
    <w:rsid w:val="00165598"/>
    <w:rsid w:val="00167601"/>
    <w:rsid w:val="00170692"/>
    <w:rsid w:val="00173FF6"/>
    <w:rsid w:val="00175726"/>
    <w:rsid w:val="00180D96"/>
    <w:rsid w:val="00181ACA"/>
    <w:rsid w:val="00181DEC"/>
    <w:rsid w:val="00182DA7"/>
    <w:rsid w:val="0018428B"/>
    <w:rsid w:val="00184326"/>
    <w:rsid w:val="00184DC8"/>
    <w:rsid w:val="001860EA"/>
    <w:rsid w:val="00191A66"/>
    <w:rsid w:val="00194894"/>
    <w:rsid w:val="00194C70"/>
    <w:rsid w:val="00195E67"/>
    <w:rsid w:val="001968D0"/>
    <w:rsid w:val="0019692D"/>
    <w:rsid w:val="00197DA2"/>
    <w:rsid w:val="001A362F"/>
    <w:rsid w:val="001A3B36"/>
    <w:rsid w:val="001A60C8"/>
    <w:rsid w:val="001A6B37"/>
    <w:rsid w:val="001A7930"/>
    <w:rsid w:val="001B0AD6"/>
    <w:rsid w:val="001B1D73"/>
    <w:rsid w:val="001B2698"/>
    <w:rsid w:val="001B2F47"/>
    <w:rsid w:val="001B3D04"/>
    <w:rsid w:val="001B63AD"/>
    <w:rsid w:val="001B7E7D"/>
    <w:rsid w:val="001C07F4"/>
    <w:rsid w:val="001C1C82"/>
    <w:rsid w:val="001C32AA"/>
    <w:rsid w:val="001C6193"/>
    <w:rsid w:val="001C7A0F"/>
    <w:rsid w:val="001D07F6"/>
    <w:rsid w:val="001D0FE5"/>
    <w:rsid w:val="001D1B50"/>
    <w:rsid w:val="001D202C"/>
    <w:rsid w:val="001D2C03"/>
    <w:rsid w:val="001D65AC"/>
    <w:rsid w:val="001D716A"/>
    <w:rsid w:val="001E066D"/>
    <w:rsid w:val="001E134C"/>
    <w:rsid w:val="001E159A"/>
    <w:rsid w:val="001E2A43"/>
    <w:rsid w:val="001E4984"/>
    <w:rsid w:val="001E6242"/>
    <w:rsid w:val="001E75D6"/>
    <w:rsid w:val="001F00D2"/>
    <w:rsid w:val="001F1271"/>
    <w:rsid w:val="001F2E09"/>
    <w:rsid w:val="001F3A8D"/>
    <w:rsid w:val="001F408D"/>
    <w:rsid w:val="001F51CB"/>
    <w:rsid w:val="001F5F25"/>
    <w:rsid w:val="001F68C6"/>
    <w:rsid w:val="00202D5E"/>
    <w:rsid w:val="00203359"/>
    <w:rsid w:val="00203534"/>
    <w:rsid w:val="0020392E"/>
    <w:rsid w:val="0020704B"/>
    <w:rsid w:val="00212AC8"/>
    <w:rsid w:val="00212E30"/>
    <w:rsid w:val="002139EE"/>
    <w:rsid w:val="002151BF"/>
    <w:rsid w:val="00215B3E"/>
    <w:rsid w:val="00217091"/>
    <w:rsid w:val="00221F57"/>
    <w:rsid w:val="00222F8F"/>
    <w:rsid w:val="0022439C"/>
    <w:rsid w:val="00224DFD"/>
    <w:rsid w:val="00225E6B"/>
    <w:rsid w:val="0022668E"/>
    <w:rsid w:val="0023044C"/>
    <w:rsid w:val="002306C3"/>
    <w:rsid w:val="00232484"/>
    <w:rsid w:val="00232AD3"/>
    <w:rsid w:val="00232D83"/>
    <w:rsid w:val="00233FB8"/>
    <w:rsid w:val="00236A41"/>
    <w:rsid w:val="0024038E"/>
    <w:rsid w:val="00242285"/>
    <w:rsid w:val="00243DFA"/>
    <w:rsid w:val="00245A24"/>
    <w:rsid w:val="002510BB"/>
    <w:rsid w:val="0025221D"/>
    <w:rsid w:val="00254EB4"/>
    <w:rsid w:val="002556FD"/>
    <w:rsid w:val="00256023"/>
    <w:rsid w:val="00257DA9"/>
    <w:rsid w:val="00261520"/>
    <w:rsid w:val="00262FA5"/>
    <w:rsid w:val="00265721"/>
    <w:rsid w:val="002712AA"/>
    <w:rsid w:val="002737CB"/>
    <w:rsid w:val="0027546C"/>
    <w:rsid w:val="00276435"/>
    <w:rsid w:val="00276BFC"/>
    <w:rsid w:val="00281ABB"/>
    <w:rsid w:val="00283148"/>
    <w:rsid w:val="00283C7E"/>
    <w:rsid w:val="0028414E"/>
    <w:rsid w:val="00285D5F"/>
    <w:rsid w:val="002860E5"/>
    <w:rsid w:val="00290AF5"/>
    <w:rsid w:val="00290E62"/>
    <w:rsid w:val="0029462F"/>
    <w:rsid w:val="00295998"/>
    <w:rsid w:val="002A033F"/>
    <w:rsid w:val="002A2A65"/>
    <w:rsid w:val="002A3A4C"/>
    <w:rsid w:val="002A5181"/>
    <w:rsid w:val="002A5F14"/>
    <w:rsid w:val="002A7DB6"/>
    <w:rsid w:val="002B3554"/>
    <w:rsid w:val="002B38AF"/>
    <w:rsid w:val="002B4483"/>
    <w:rsid w:val="002B5A3E"/>
    <w:rsid w:val="002C2256"/>
    <w:rsid w:val="002C2280"/>
    <w:rsid w:val="002C5094"/>
    <w:rsid w:val="002C52ED"/>
    <w:rsid w:val="002C6194"/>
    <w:rsid w:val="002C61CA"/>
    <w:rsid w:val="002C6B1B"/>
    <w:rsid w:val="002C6F23"/>
    <w:rsid w:val="002D105E"/>
    <w:rsid w:val="002D138A"/>
    <w:rsid w:val="002D3D2D"/>
    <w:rsid w:val="002D4915"/>
    <w:rsid w:val="002D6A48"/>
    <w:rsid w:val="002E495D"/>
    <w:rsid w:val="002E6E5A"/>
    <w:rsid w:val="002F07A9"/>
    <w:rsid w:val="002F17CD"/>
    <w:rsid w:val="002F1C93"/>
    <w:rsid w:val="002F34EE"/>
    <w:rsid w:val="002F49D2"/>
    <w:rsid w:val="002F5EAA"/>
    <w:rsid w:val="003020D8"/>
    <w:rsid w:val="003031A0"/>
    <w:rsid w:val="00305334"/>
    <w:rsid w:val="0030581E"/>
    <w:rsid w:val="00306497"/>
    <w:rsid w:val="00306A37"/>
    <w:rsid w:val="0030758C"/>
    <w:rsid w:val="00311915"/>
    <w:rsid w:val="00315314"/>
    <w:rsid w:val="00316EED"/>
    <w:rsid w:val="00320BD6"/>
    <w:rsid w:val="003211AD"/>
    <w:rsid w:val="0032499F"/>
    <w:rsid w:val="00325383"/>
    <w:rsid w:val="00327785"/>
    <w:rsid w:val="00327EC3"/>
    <w:rsid w:val="0033017C"/>
    <w:rsid w:val="003305CE"/>
    <w:rsid w:val="003339C0"/>
    <w:rsid w:val="00333FF3"/>
    <w:rsid w:val="0033444B"/>
    <w:rsid w:val="00340B3C"/>
    <w:rsid w:val="003426B2"/>
    <w:rsid w:val="003432DA"/>
    <w:rsid w:val="0034354B"/>
    <w:rsid w:val="00347DE8"/>
    <w:rsid w:val="003502B0"/>
    <w:rsid w:val="00350CFD"/>
    <w:rsid w:val="00351B5F"/>
    <w:rsid w:val="00352E5F"/>
    <w:rsid w:val="00356B51"/>
    <w:rsid w:val="00356F89"/>
    <w:rsid w:val="00361BDA"/>
    <w:rsid w:val="00362A77"/>
    <w:rsid w:val="0036499E"/>
    <w:rsid w:val="0036505D"/>
    <w:rsid w:val="00366BA0"/>
    <w:rsid w:val="0036750C"/>
    <w:rsid w:val="0036775D"/>
    <w:rsid w:val="0037030C"/>
    <w:rsid w:val="00372868"/>
    <w:rsid w:val="00372B8C"/>
    <w:rsid w:val="003739EC"/>
    <w:rsid w:val="00375702"/>
    <w:rsid w:val="00375D5B"/>
    <w:rsid w:val="00376A54"/>
    <w:rsid w:val="00377276"/>
    <w:rsid w:val="0037730D"/>
    <w:rsid w:val="00380AEA"/>
    <w:rsid w:val="00381941"/>
    <w:rsid w:val="00381DE8"/>
    <w:rsid w:val="00384208"/>
    <w:rsid w:val="00384C4F"/>
    <w:rsid w:val="003859DB"/>
    <w:rsid w:val="00391678"/>
    <w:rsid w:val="003933D5"/>
    <w:rsid w:val="00395A24"/>
    <w:rsid w:val="003A190D"/>
    <w:rsid w:val="003A1A77"/>
    <w:rsid w:val="003A1E87"/>
    <w:rsid w:val="003A3C12"/>
    <w:rsid w:val="003A431D"/>
    <w:rsid w:val="003A506C"/>
    <w:rsid w:val="003B01B1"/>
    <w:rsid w:val="003B1015"/>
    <w:rsid w:val="003B157E"/>
    <w:rsid w:val="003B6FBD"/>
    <w:rsid w:val="003B7CC9"/>
    <w:rsid w:val="003C016C"/>
    <w:rsid w:val="003C1E0C"/>
    <w:rsid w:val="003C2010"/>
    <w:rsid w:val="003C304B"/>
    <w:rsid w:val="003C46C6"/>
    <w:rsid w:val="003C495E"/>
    <w:rsid w:val="003C6C09"/>
    <w:rsid w:val="003C77C1"/>
    <w:rsid w:val="003C7E75"/>
    <w:rsid w:val="003D0D8F"/>
    <w:rsid w:val="003D223B"/>
    <w:rsid w:val="003D44AD"/>
    <w:rsid w:val="003D50E8"/>
    <w:rsid w:val="003D6FBE"/>
    <w:rsid w:val="003E7BF5"/>
    <w:rsid w:val="003F265F"/>
    <w:rsid w:val="003F32F2"/>
    <w:rsid w:val="003F6D69"/>
    <w:rsid w:val="0040095A"/>
    <w:rsid w:val="0040190E"/>
    <w:rsid w:val="00401F46"/>
    <w:rsid w:val="00403C2F"/>
    <w:rsid w:val="00404FE9"/>
    <w:rsid w:val="00405676"/>
    <w:rsid w:val="00405EA7"/>
    <w:rsid w:val="00407815"/>
    <w:rsid w:val="00413091"/>
    <w:rsid w:val="00414DA4"/>
    <w:rsid w:val="00415658"/>
    <w:rsid w:val="00417266"/>
    <w:rsid w:val="00420145"/>
    <w:rsid w:val="004222CC"/>
    <w:rsid w:val="00422F77"/>
    <w:rsid w:val="0042460D"/>
    <w:rsid w:val="00425DD5"/>
    <w:rsid w:val="004309A4"/>
    <w:rsid w:val="00431369"/>
    <w:rsid w:val="004322D6"/>
    <w:rsid w:val="004342F9"/>
    <w:rsid w:val="00434B5C"/>
    <w:rsid w:val="004412BF"/>
    <w:rsid w:val="0044180A"/>
    <w:rsid w:val="00441A2B"/>
    <w:rsid w:val="00442923"/>
    <w:rsid w:val="0044337A"/>
    <w:rsid w:val="00444F50"/>
    <w:rsid w:val="00445D26"/>
    <w:rsid w:val="00446A5B"/>
    <w:rsid w:val="00446F30"/>
    <w:rsid w:val="004514E9"/>
    <w:rsid w:val="00451509"/>
    <w:rsid w:val="00454742"/>
    <w:rsid w:val="00460389"/>
    <w:rsid w:val="00461A23"/>
    <w:rsid w:val="00463740"/>
    <w:rsid w:val="00470AFF"/>
    <w:rsid w:val="00473BC7"/>
    <w:rsid w:val="0047405B"/>
    <w:rsid w:val="00476A00"/>
    <w:rsid w:val="00477246"/>
    <w:rsid w:val="00477BBA"/>
    <w:rsid w:val="004861E6"/>
    <w:rsid w:val="00490012"/>
    <w:rsid w:val="00491AE8"/>
    <w:rsid w:val="00492629"/>
    <w:rsid w:val="00494A63"/>
    <w:rsid w:val="0049652D"/>
    <w:rsid w:val="00496DD0"/>
    <w:rsid w:val="004A215A"/>
    <w:rsid w:val="004A253F"/>
    <w:rsid w:val="004A3444"/>
    <w:rsid w:val="004A4BA2"/>
    <w:rsid w:val="004A4C1B"/>
    <w:rsid w:val="004A65FC"/>
    <w:rsid w:val="004A7803"/>
    <w:rsid w:val="004A790A"/>
    <w:rsid w:val="004B00C1"/>
    <w:rsid w:val="004B2271"/>
    <w:rsid w:val="004B266B"/>
    <w:rsid w:val="004B30E4"/>
    <w:rsid w:val="004B398A"/>
    <w:rsid w:val="004B3E15"/>
    <w:rsid w:val="004B79CD"/>
    <w:rsid w:val="004C14F3"/>
    <w:rsid w:val="004C23DA"/>
    <w:rsid w:val="004C45C0"/>
    <w:rsid w:val="004C4CAF"/>
    <w:rsid w:val="004C4FE0"/>
    <w:rsid w:val="004C566A"/>
    <w:rsid w:val="004D122F"/>
    <w:rsid w:val="004D2168"/>
    <w:rsid w:val="004D2196"/>
    <w:rsid w:val="004D2B2A"/>
    <w:rsid w:val="004D3766"/>
    <w:rsid w:val="004D5B8A"/>
    <w:rsid w:val="004D7844"/>
    <w:rsid w:val="004E047D"/>
    <w:rsid w:val="004E070B"/>
    <w:rsid w:val="004F0766"/>
    <w:rsid w:val="004F11A0"/>
    <w:rsid w:val="004F2D2C"/>
    <w:rsid w:val="004F330C"/>
    <w:rsid w:val="004F6F63"/>
    <w:rsid w:val="004F7313"/>
    <w:rsid w:val="005006D0"/>
    <w:rsid w:val="005008F5"/>
    <w:rsid w:val="005022DD"/>
    <w:rsid w:val="00503401"/>
    <w:rsid w:val="0050563A"/>
    <w:rsid w:val="005058AD"/>
    <w:rsid w:val="005072BC"/>
    <w:rsid w:val="005115E4"/>
    <w:rsid w:val="00511DF6"/>
    <w:rsid w:val="0051491F"/>
    <w:rsid w:val="00514BF4"/>
    <w:rsid w:val="00514F20"/>
    <w:rsid w:val="00516B12"/>
    <w:rsid w:val="00516DEE"/>
    <w:rsid w:val="005217AE"/>
    <w:rsid w:val="00527777"/>
    <w:rsid w:val="005318B8"/>
    <w:rsid w:val="0053290B"/>
    <w:rsid w:val="00534463"/>
    <w:rsid w:val="00536308"/>
    <w:rsid w:val="005371AA"/>
    <w:rsid w:val="005372E8"/>
    <w:rsid w:val="00540D19"/>
    <w:rsid w:val="005422F4"/>
    <w:rsid w:val="00542AA4"/>
    <w:rsid w:val="00543D8D"/>
    <w:rsid w:val="005446E2"/>
    <w:rsid w:val="00551C52"/>
    <w:rsid w:val="00551C73"/>
    <w:rsid w:val="00553948"/>
    <w:rsid w:val="00554CF2"/>
    <w:rsid w:val="005602FA"/>
    <w:rsid w:val="00561A92"/>
    <w:rsid w:val="00561E66"/>
    <w:rsid w:val="00561F5C"/>
    <w:rsid w:val="0056203D"/>
    <w:rsid w:val="00565614"/>
    <w:rsid w:val="00567AEF"/>
    <w:rsid w:val="00567E22"/>
    <w:rsid w:val="005723D1"/>
    <w:rsid w:val="00573125"/>
    <w:rsid w:val="00574827"/>
    <w:rsid w:val="00577B76"/>
    <w:rsid w:val="005807B8"/>
    <w:rsid w:val="00583213"/>
    <w:rsid w:val="0058629A"/>
    <w:rsid w:val="0058716B"/>
    <w:rsid w:val="00591CAF"/>
    <w:rsid w:val="00592CAE"/>
    <w:rsid w:val="005935D7"/>
    <w:rsid w:val="00593988"/>
    <w:rsid w:val="0059454A"/>
    <w:rsid w:val="005969DE"/>
    <w:rsid w:val="005A1A93"/>
    <w:rsid w:val="005A2A3D"/>
    <w:rsid w:val="005A3E2D"/>
    <w:rsid w:val="005A646A"/>
    <w:rsid w:val="005A69DA"/>
    <w:rsid w:val="005B098B"/>
    <w:rsid w:val="005B1A03"/>
    <w:rsid w:val="005B3D5E"/>
    <w:rsid w:val="005B4822"/>
    <w:rsid w:val="005B58FC"/>
    <w:rsid w:val="005B5B12"/>
    <w:rsid w:val="005B7D9E"/>
    <w:rsid w:val="005C0FB3"/>
    <w:rsid w:val="005C35C9"/>
    <w:rsid w:val="005C3D97"/>
    <w:rsid w:val="005C47A0"/>
    <w:rsid w:val="005C4B3D"/>
    <w:rsid w:val="005C4EE9"/>
    <w:rsid w:val="005C6843"/>
    <w:rsid w:val="005D1B6B"/>
    <w:rsid w:val="005D23B5"/>
    <w:rsid w:val="005E0B9A"/>
    <w:rsid w:val="005E2A83"/>
    <w:rsid w:val="005E31E2"/>
    <w:rsid w:val="005E516B"/>
    <w:rsid w:val="005E78DC"/>
    <w:rsid w:val="005F0425"/>
    <w:rsid w:val="005F17B9"/>
    <w:rsid w:val="005F4F76"/>
    <w:rsid w:val="005F5157"/>
    <w:rsid w:val="005F70A3"/>
    <w:rsid w:val="005F71E8"/>
    <w:rsid w:val="00603116"/>
    <w:rsid w:val="00605390"/>
    <w:rsid w:val="00612A32"/>
    <w:rsid w:val="00614755"/>
    <w:rsid w:val="00617352"/>
    <w:rsid w:val="00623EC4"/>
    <w:rsid w:val="006320AC"/>
    <w:rsid w:val="006326BD"/>
    <w:rsid w:val="006328DE"/>
    <w:rsid w:val="0063434D"/>
    <w:rsid w:val="006365C6"/>
    <w:rsid w:val="00636759"/>
    <w:rsid w:val="00641F31"/>
    <w:rsid w:val="00644C5F"/>
    <w:rsid w:val="00650E4E"/>
    <w:rsid w:val="00653995"/>
    <w:rsid w:val="006578B3"/>
    <w:rsid w:val="00660C09"/>
    <w:rsid w:val="006638C0"/>
    <w:rsid w:val="00664662"/>
    <w:rsid w:val="00667619"/>
    <w:rsid w:val="00672F49"/>
    <w:rsid w:val="006762A5"/>
    <w:rsid w:val="00677930"/>
    <w:rsid w:val="00677F9D"/>
    <w:rsid w:val="006843EC"/>
    <w:rsid w:val="0068556A"/>
    <w:rsid w:val="006903EA"/>
    <w:rsid w:val="00690F03"/>
    <w:rsid w:val="00691084"/>
    <w:rsid w:val="0069756A"/>
    <w:rsid w:val="006A0C71"/>
    <w:rsid w:val="006A2399"/>
    <w:rsid w:val="006A489D"/>
    <w:rsid w:val="006B1EA2"/>
    <w:rsid w:val="006B224B"/>
    <w:rsid w:val="006B2ABE"/>
    <w:rsid w:val="006B58AD"/>
    <w:rsid w:val="006B59B9"/>
    <w:rsid w:val="006B6F54"/>
    <w:rsid w:val="006C2848"/>
    <w:rsid w:val="006C51C3"/>
    <w:rsid w:val="006D0924"/>
    <w:rsid w:val="006D1B7A"/>
    <w:rsid w:val="006D4315"/>
    <w:rsid w:val="006D6265"/>
    <w:rsid w:val="006D79B7"/>
    <w:rsid w:val="006E3EEA"/>
    <w:rsid w:val="006E6B33"/>
    <w:rsid w:val="006F01C1"/>
    <w:rsid w:val="006F0C7D"/>
    <w:rsid w:val="00702E14"/>
    <w:rsid w:val="007045B5"/>
    <w:rsid w:val="0070520E"/>
    <w:rsid w:val="00706F85"/>
    <w:rsid w:val="00712529"/>
    <w:rsid w:val="00712561"/>
    <w:rsid w:val="0071443A"/>
    <w:rsid w:val="00716C07"/>
    <w:rsid w:val="00720233"/>
    <w:rsid w:val="00721236"/>
    <w:rsid w:val="00721441"/>
    <w:rsid w:val="00725EC8"/>
    <w:rsid w:val="00726825"/>
    <w:rsid w:val="007273C8"/>
    <w:rsid w:val="007420AD"/>
    <w:rsid w:val="00745721"/>
    <w:rsid w:val="00747646"/>
    <w:rsid w:val="0075144C"/>
    <w:rsid w:val="00752376"/>
    <w:rsid w:val="00752F60"/>
    <w:rsid w:val="00754BEA"/>
    <w:rsid w:val="00757EC7"/>
    <w:rsid w:val="00760099"/>
    <w:rsid w:val="00762377"/>
    <w:rsid w:val="00762F07"/>
    <w:rsid w:val="007635A1"/>
    <w:rsid w:val="007658F0"/>
    <w:rsid w:val="007707D5"/>
    <w:rsid w:val="00770C6D"/>
    <w:rsid w:val="00771DA6"/>
    <w:rsid w:val="007722B7"/>
    <w:rsid w:val="00772BBA"/>
    <w:rsid w:val="00774560"/>
    <w:rsid w:val="00775B22"/>
    <w:rsid w:val="007769E9"/>
    <w:rsid w:val="00777BED"/>
    <w:rsid w:val="007809C6"/>
    <w:rsid w:val="00782FE4"/>
    <w:rsid w:val="007833E5"/>
    <w:rsid w:val="00783FF3"/>
    <w:rsid w:val="00785192"/>
    <w:rsid w:val="0079361C"/>
    <w:rsid w:val="00793982"/>
    <w:rsid w:val="00793BD2"/>
    <w:rsid w:val="007957AF"/>
    <w:rsid w:val="0079719E"/>
    <w:rsid w:val="00797E5D"/>
    <w:rsid w:val="007A15B5"/>
    <w:rsid w:val="007A472B"/>
    <w:rsid w:val="007B0496"/>
    <w:rsid w:val="007B2724"/>
    <w:rsid w:val="007B39CE"/>
    <w:rsid w:val="007B4E77"/>
    <w:rsid w:val="007B61E6"/>
    <w:rsid w:val="007B621B"/>
    <w:rsid w:val="007C31D1"/>
    <w:rsid w:val="007C75E4"/>
    <w:rsid w:val="007D24AA"/>
    <w:rsid w:val="007D25CB"/>
    <w:rsid w:val="007D7B52"/>
    <w:rsid w:val="007D7B7F"/>
    <w:rsid w:val="007E1952"/>
    <w:rsid w:val="007E2135"/>
    <w:rsid w:val="007E21C8"/>
    <w:rsid w:val="007E277D"/>
    <w:rsid w:val="007E4072"/>
    <w:rsid w:val="007E7F39"/>
    <w:rsid w:val="007F0718"/>
    <w:rsid w:val="007F0937"/>
    <w:rsid w:val="007F3365"/>
    <w:rsid w:val="008007A3"/>
    <w:rsid w:val="0080284F"/>
    <w:rsid w:val="008048B7"/>
    <w:rsid w:val="00806DB2"/>
    <w:rsid w:val="008111F3"/>
    <w:rsid w:val="008137BD"/>
    <w:rsid w:val="00813E71"/>
    <w:rsid w:val="00815111"/>
    <w:rsid w:val="0082065D"/>
    <w:rsid w:val="00821B5C"/>
    <w:rsid w:val="008242A3"/>
    <w:rsid w:val="008250D8"/>
    <w:rsid w:val="00825FF3"/>
    <w:rsid w:val="00830321"/>
    <w:rsid w:val="008333A4"/>
    <w:rsid w:val="008336FE"/>
    <w:rsid w:val="00834F5D"/>
    <w:rsid w:val="00835A76"/>
    <w:rsid w:val="0084045D"/>
    <w:rsid w:val="00842A05"/>
    <w:rsid w:val="00844484"/>
    <w:rsid w:val="008478B2"/>
    <w:rsid w:val="008529F1"/>
    <w:rsid w:val="008548BB"/>
    <w:rsid w:val="00854B90"/>
    <w:rsid w:val="008623AC"/>
    <w:rsid w:val="00863900"/>
    <w:rsid w:val="00864662"/>
    <w:rsid w:val="008649BA"/>
    <w:rsid w:val="008658B6"/>
    <w:rsid w:val="00866B80"/>
    <w:rsid w:val="00874291"/>
    <w:rsid w:val="008759C3"/>
    <w:rsid w:val="00876426"/>
    <w:rsid w:val="00877737"/>
    <w:rsid w:val="00880238"/>
    <w:rsid w:val="00880BEF"/>
    <w:rsid w:val="00885657"/>
    <w:rsid w:val="008962EC"/>
    <w:rsid w:val="008A0CF9"/>
    <w:rsid w:val="008A2362"/>
    <w:rsid w:val="008A28B9"/>
    <w:rsid w:val="008A2AD3"/>
    <w:rsid w:val="008A661E"/>
    <w:rsid w:val="008A719C"/>
    <w:rsid w:val="008A7EF2"/>
    <w:rsid w:val="008B34DB"/>
    <w:rsid w:val="008B4788"/>
    <w:rsid w:val="008B53BF"/>
    <w:rsid w:val="008B59A7"/>
    <w:rsid w:val="008B653C"/>
    <w:rsid w:val="008B78EB"/>
    <w:rsid w:val="008C253F"/>
    <w:rsid w:val="008C2D40"/>
    <w:rsid w:val="008C3413"/>
    <w:rsid w:val="008C3C8C"/>
    <w:rsid w:val="008C7C2A"/>
    <w:rsid w:val="008D2E4A"/>
    <w:rsid w:val="008D34B1"/>
    <w:rsid w:val="008D6D5B"/>
    <w:rsid w:val="008E2E3D"/>
    <w:rsid w:val="008E3080"/>
    <w:rsid w:val="008E31CF"/>
    <w:rsid w:val="008E3578"/>
    <w:rsid w:val="008E46FA"/>
    <w:rsid w:val="008E47AC"/>
    <w:rsid w:val="008E5F3E"/>
    <w:rsid w:val="008F54E1"/>
    <w:rsid w:val="008F6FF2"/>
    <w:rsid w:val="009008D2"/>
    <w:rsid w:val="00902D51"/>
    <w:rsid w:val="009045C5"/>
    <w:rsid w:val="00905A82"/>
    <w:rsid w:val="00906C98"/>
    <w:rsid w:val="0090717A"/>
    <w:rsid w:val="00907B7B"/>
    <w:rsid w:val="0091283B"/>
    <w:rsid w:val="00912EAF"/>
    <w:rsid w:val="0091617E"/>
    <w:rsid w:val="0092019A"/>
    <w:rsid w:val="00923566"/>
    <w:rsid w:val="00923817"/>
    <w:rsid w:val="009252EE"/>
    <w:rsid w:val="00925665"/>
    <w:rsid w:val="00925676"/>
    <w:rsid w:val="009265B5"/>
    <w:rsid w:val="00926C09"/>
    <w:rsid w:val="009272E2"/>
    <w:rsid w:val="00927747"/>
    <w:rsid w:val="009300AA"/>
    <w:rsid w:val="00930486"/>
    <w:rsid w:val="009308D1"/>
    <w:rsid w:val="009310C5"/>
    <w:rsid w:val="00935485"/>
    <w:rsid w:val="00936E5C"/>
    <w:rsid w:val="009377AE"/>
    <w:rsid w:val="00941525"/>
    <w:rsid w:val="0094445F"/>
    <w:rsid w:val="00950BBD"/>
    <w:rsid w:val="00951C35"/>
    <w:rsid w:val="00954A24"/>
    <w:rsid w:val="00955D33"/>
    <w:rsid w:val="00955FA2"/>
    <w:rsid w:val="0095670D"/>
    <w:rsid w:val="00956D57"/>
    <w:rsid w:val="009605E9"/>
    <w:rsid w:val="00966CC9"/>
    <w:rsid w:val="009707CD"/>
    <w:rsid w:val="009713DC"/>
    <w:rsid w:val="0097529B"/>
    <w:rsid w:val="009763E2"/>
    <w:rsid w:val="00977B28"/>
    <w:rsid w:val="00977C75"/>
    <w:rsid w:val="00981872"/>
    <w:rsid w:val="00982330"/>
    <w:rsid w:val="00984416"/>
    <w:rsid w:val="00985766"/>
    <w:rsid w:val="009866AA"/>
    <w:rsid w:val="00987858"/>
    <w:rsid w:val="00990301"/>
    <w:rsid w:val="00990393"/>
    <w:rsid w:val="00990A9E"/>
    <w:rsid w:val="00995021"/>
    <w:rsid w:val="00995EA5"/>
    <w:rsid w:val="009961D5"/>
    <w:rsid w:val="00996979"/>
    <w:rsid w:val="0099729B"/>
    <w:rsid w:val="00997878"/>
    <w:rsid w:val="0099787A"/>
    <w:rsid w:val="009A1290"/>
    <w:rsid w:val="009A18FF"/>
    <w:rsid w:val="009A1D18"/>
    <w:rsid w:val="009A1FD5"/>
    <w:rsid w:val="009A2C94"/>
    <w:rsid w:val="009A5107"/>
    <w:rsid w:val="009A58DA"/>
    <w:rsid w:val="009A6097"/>
    <w:rsid w:val="009B0A0E"/>
    <w:rsid w:val="009B0E0C"/>
    <w:rsid w:val="009B2316"/>
    <w:rsid w:val="009B4144"/>
    <w:rsid w:val="009B42EA"/>
    <w:rsid w:val="009C16A7"/>
    <w:rsid w:val="009C5911"/>
    <w:rsid w:val="009C61B8"/>
    <w:rsid w:val="009C78D5"/>
    <w:rsid w:val="009D0E33"/>
    <w:rsid w:val="009D16ED"/>
    <w:rsid w:val="009D4371"/>
    <w:rsid w:val="009E3821"/>
    <w:rsid w:val="009E50B7"/>
    <w:rsid w:val="009E5AD7"/>
    <w:rsid w:val="009E7A3D"/>
    <w:rsid w:val="009F103F"/>
    <w:rsid w:val="009F2AEF"/>
    <w:rsid w:val="009F3FD4"/>
    <w:rsid w:val="009F4317"/>
    <w:rsid w:val="009F4894"/>
    <w:rsid w:val="009F4EE7"/>
    <w:rsid w:val="009F7874"/>
    <w:rsid w:val="009F7A57"/>
    <w:rsid w:val="00A0230A"/>
    <w:rsid w:val="00A054DC"/>
    <w:rsid w:val="00A05B11"/>
    <w:rsid w:val="00A05CBB"/>
    <w:rsid w:val="00A0674F"/>
    <w:rsid w:val="00A0778A"/>
    <w:rsid w:val="00A10234"/>
    <w:rsid w:val="00A135AA"/>
    <w:rsid w:val="00A14B54"/>
    <w:rsid w:val="00A153CE"/>
    <w:rsid w:val="00A162E4"/>
    <w:rsid w:val="00A16409"/>
    <w:rsid w:val="00A16ADD"/>
    <w:rsid w:val="00A21E8A"/>
    <w:rsid w:val="00A231E1"/>
    <w:rsid w:val="00A242DD"/>
    <w:rsid w:val="00A2464F"/>
    <w:rsid w:val="00A25EEA"/>
    <w:rsid w:val="00A25F55"/>
    <w:rsid w:val="00A27B40"/>
    <w:rsid w:val="00A36CDF"/>
    <w:rsid w:val="00A371F7"/>
    <w:rsid w:val="00A37DDB"/>
    <w:rsid w:val="00A41E54"/>
    <w:rsid w:val="00A41F8A"/>
    <w:rsid w:val="00A42FB3"/>
    <w:rsid w:val="00A44A65"/>
    <w:rsid w:val="00A458F2"/>
    <w:rsid w:val="00A45BC0"/>
    <w:rsid w:val="00A47131"/>
    <w:rsid w:val="00A47F0F"/>
    <w:rsid w:val="00A50BC0"/>
    <w:rsid w:val="00A520D2"/>
    <w:rsid w:val="00A53369"/>
    <w:rsid w:val="00A54392"/>
    <w:rsid w:val="00A54E36"/>
    <w:rsid w:val="00A57985"/>
    <w:rsid w:val="00A6261B"/>
    <w:rsid w:val="00A65171"/>
    <w:rsid w:val="00A67A62"/>
    <w:rsid w:val="00A67C73"/>
    <w:rsid w:val="00A7187C"/>
    <w:rsid w:val="00A71921"/>
    <w:rsid w:val="00A72061"/>
    <w:rsid w:val="00A72E3E"/>
    <w:rsid w:val="00A7300F"/>
    <w:rsid w:val="00A73977"/>
    <w:rsid w:val="00A74312"/>
    <w:rsid w:val="00A74D18"/>
    <w:rsid w:val="00A813B0"/>
    <w:rsid w:val="00A8265F"/>
    <w:rsid w:val="00A8292C"/>
    <w:rsid w:val="00A82B1F"/>
    <w:rsid w:val="00A830B0"/>
    <w:rsid w:val="00A83EAE"/>
    <w:rsid w:val="00A879B1"/>
    <w:rsid w:val="00A90374"/>
    <w:rsid w:val="00A9059B"/>
    <w:rsid w:val="00A9240B"/>
    <w:rsid w:val="00A92AD6"/>
    <w:rsid w:val="00A93329"/>
    <w:rsid w:val="00A956B6"/>
    <w:rsid w:val="00A95C60"/>
    <w:rsid w:val="00AA09E2"/>
    <w:rsid w:val="00AA331B"/>
    <w:rsid w:val="00AA45DE"/>
    <w:rsid w:val="00AA5525"/>
    <w:rsid w:val="00AA5E2C"/>
    <w:rsid w:val="00AB0877"/>
    <w:rsid w:val="00AB1E03"/>
    <w:rsid w:val="00AB4344"/>
    <w:rsid w:val="00AB5E2A"/>
    <w:rsid w:val="00AB632E"/>
    <w:rsid w:val="00AB73F3"/>
    <w:rsid w:val="00AB7D69"/>
    <w:rsid w:val="00AC01CE"/>
    <w:rsid w:val="00AC1318"/>
    <w:rsid w:val="00AC203C"/>
    <w:rsid w:val="00AC4DE8"/>
    <w:rsid w:val="00AC5526"/>
    <w:rsid w:val="00AD174B"/>
    <w:rsid w:val="00AD39E3"/>
    <w:rsid w:val="00AD4055"/>
    <w:rsid w:val="00AD5E05"/>
    <w:rsid w:val="00AE1C59"/>
    <w:rsid w:val="00AE1E27"/>
    <w:rsid w:val="00AE5007"/>
    <w:rsid w:val="00AE6899"/>
    <w:rsid w:val="00AF1C4A"/>
    <w:rsid w:val="00AF3EB0"/>
    <w:rsid w:val="00AF657B"/>
    <w:rsid w:val="00B02E60"/>
    <w:rsid w:val="00B045FD"/>
    <w:rsid w:val="00B07595"/>
    <w:rsid w:val="00B0777C"/>
    <w:rsid w:val="00B0783F"/>
    <w:rsid w:val="00B07FE9"/>
    <w:rsid w:val="00B120BD"/>
    <w:rsid w:val="00B14685"/>
    <w:rsid w:val="00B17790"/>
    <w:rsid w:val="00B2226F"/>
    <w:rsid w:val="00B22704"/>
    <w:rsid w:val="00B235A7"/>
    <w:rsid w:val="00B24B6F"/>
    <w:rsid w:val="00B26F90"/>
    <w:rsid w:val="00B306D7"/>
    <w:rsid w:val="00B31CE2"/>
    <w:rsid w:val="00B3346B"/>
    <w:rsid w:val="00B3588A"/>
    <w:rsid w:val="00B36005"/>
    <w:rsid w:val="00B37743"/>
    <w:rsid w:val="00B411D9"/>
    <w:rsid w:val="00B420FD"/>
    <w:rsid w:val="00B43F5B"/>
    <w:rsid w:val="00B451C6"/>
    <w:rsid w:val="00B46705"/>
    <w:rsid w:val="00B50E06"/>
    <w:rsid w:val="00B53B56"/>
    <w:rsid w:val="00B5767F"/>
    <w:rsid w:val="00B57BC8"/>
    <w:rsid w:val="00B643A9"/>
    <w:rsid w:val="00B652D0"/>
    <w:rsid w:val="00B66E77"/>
    <w:rsid w:val="00B67DDB"/>
    <w:rsid w:val="00B70C98"/>
    <w:rsid w:val="00B72179"/>
    <w:rsid w:val="00B73441"/>
    <w:rsid w:val="00B7362A"/>
    <w:rsid w:val="00B73A7B"/>
    <w:rsid w:val="00B73BF9"/>
    <w:rsid w:val="00B75281"/>
    <w:rsid w:val="00B81B5A"/>
    <w:rsid w:val="00B82313"/>
    <w:rsid w:val="00B85AB1"/>
    <w:rsid w:val="00B863AC"/>
    <w:rsid w:val="00B873FF"/>
    <w:rsid w:val="00B91924"/>
    <w:rsid w:val="00B93A5B"/>
    <w:rsid w:val="00B97649"/>
    <w:rsid w:val="00BA11A3"/>
    <w:rsid w:val="00BA1B82"/>
    <w:rsid w:val="00BA1D6A"/>
    <w:rsid w:val="00BA2569"/>
    <w:rsid w:val="00BA4394"/>
    <w:rsid w:val="00BA6640"/>
    <w:rsid w:val="00BA6A40"/>
    <w:rsid w:val="00BA6F0B"/>
    <w:rsid w:val="00BA7690"/>
    <w:rsid w:val="00BB0508"/>
    <w:rsid w:val="00BB0D3C"/>
    <w:rsid w:val="00BB2A98"/>
    <w:rsid w:val="00BB4923"/>
    <w:rsid w:val="00BB5088"/>
    <w:rsid w:val="00BB5D58"/>
    <w:rsid w:val="00BC0FF2"/>
    <w:rsid w:val="00BC1F70"/>
    <w:rsid w:val="00BC20E7"/>
    <w:rsid w:val="00BC2E93"/>
    <w:rsid w:val="00BC4699"/>
    <w:rsid w:val="00BC55D8"/>
    <w:rsid w:val="00BC713A"/>
    <w:rsid w:val="00BC736F"/>
    <w:rsid w:val="00BD1AB6"/>
    <w:rsid w:val="00BD52F4"/>
    <w:rsid w:val="00BD70F3"/>
    <w:rsid w:val="00BD75EC"/>
    <w:rsid w:val="00BE68C9"/>
    <w:rsid w:val="00BF039C"/>
    <w:rsid w:val="00BF2BD9"/>
    <w:rsid w:val="00BF7B98"/>
    <w:rsid w:val="00C00A2C"/>
    <w:rsid w:val="00C013A5"/>
    <w:rsid w:val="00C05050"/>
    <w:rsid w:val="00C07F09"/>
    <w:rsid w:val="00C1153F"/>
    <w:rsid w:val="00C11EFF"/>
    <w:rsid w:val="00C127D0"/>
    <w:rsid w:val="00C14DE7"/>
    <w:rsid w:val="00C15DCA"/>
    <w:rsid w:val="00C1767B"/>
    <w:rsid w:val="00C220B0"/>
    <w:rsid w:val="00C23881"/>
    <w:rsid w:val="00C23B92"/>
    <w:rsid w:val="00C24001"/>
    <w:rsid w:val="00C25D92"/>
    <w:rsid w:val="00C26DA4"/>
    <w:rsid w:val="00C26FAD"/>
    <w:rsid w:val="00C32964"/>
    <w:rsid w:val="00C357AA"/>
    <w:rsid w:val="00C35EFA"/>
    <w:rsid w:val="00C37F6B"/>
    <w:rsid w:val="00C42049"/>
    <w:rsid w:val="00C42B15"/>
    <w:rsid w:val="00C43B27"/>
    <w:rsid w:val="00C4553D"/>
    <w:rsid w:val="00C46B81"/>
    <w:rsid w:val="00C475E9"/>
    <w:rsid w:val="00C47A6F"/>
    <w:rsid w:val="00C51E17"/>
    <w:rsid w:val="00C52608"/>
    <w:rsid w:val="00C535E9"/>
    <w:rsid w:val="00C602C2"/>
    <w:rsid w:val="00C60B2E"/>
    <w:rsid w:val="00C60E38"/>
    <w:rsid w:val="00C62E17"/>
    <w:rsid w:val="00C6344E"/>
    <w:rsid w:val="00C665EB"/>
    <w:rsid w:val="00C70769"/>
    <w:rsid w:val="00C72E93"/>
    <w:rsid w:val="00C73F68"/>
    <w:rsid w:val="00C77E6E"/>
    <w:rsid w:val="00C80DCD"/>
    <w:rsid w:val="00C8230B"/>
    <w:rsid w:val="00C86D00"/>
    <w:rsid w:val="00C86FCD"/>
    <w:rsid w:val="00C8739E"/>
    <w:rsid w:val="00C90838"/>
    <w:rsid w:val="00C908A8"/>
    <w:rsid w:val="00C914F2"/>
    <w:rsid w:val="00C92472"/>
    <w:rsid w:val="00C925BA"/>
    <w:rsid w:val="00C937AC"/>
    <w:rsid w:val="00C945BB"/>
    <w:rsid w:val="00C95174"/>
    <w:rsid w:val="00C9717B"/>
    <w:rsid w:val="00C9781D"/>
    <w:rsid w:val="00C97D73"/>
    <w:rsid w:val="00C97E2F"/>
    <w:rsid w:val="00CA249A"/>
    <w:rsid w:val="00CA4042"/>
    <w:rsid w:val="00CB01D8"/>
    <w:rsid w:val="00CB1ABC"/>
    <w:rsid w:val="00CB7306"/>
    <w:rsid w:val="00CC23F4"/>
    <w:rsid w:val="00CC670D"/>
    <w:rsid w:val="00CD092F"/>
    <w:rsid w:val="00CD0A23"/>
    <w:rsid w:val="00CD1956"/>
    <w:rsid w:val="00CD56F8"/>
    <w:rsid w:val="00CD7872"/>
    <w:rsid w:val="00CD7B1E"/>
    <w:rsid w:val="00CE0303"/>
    <w:rsid w:val="00CE067A"/>
    <w:rsid w:val="00CE3150"/>
    <w:rsid w:val="00CE5D2B"/>
    <w:rsid w:val="00CF24AA"/>
    <w:rsid w:val="00CF4F1A"/>
    <w:rsid w:val="00CF5845"/>
    <w:rsid w:val="00CF751C"/>
    <w:rsid w:val="00D00517"/>
    <w:rsid w:val="00D0054A"/>
    <w:rsid w:val="00D02746"/>
    <w:rsid w:val="00D02A3F"/>
    <w:rsid w:val="00D02DF8"/>
    <w:rsid w:val="00D03ACF"/>
    <w:rsid w:val="00D105F7"/>
    <w:rsid w:val="00D134FF"/>
    <w:rsid w:val="00D158FA"/>
    <w:rsid w:val="00D15CEB"/>
    <w:rsid w:val="00D1757B"/>
    <w:rsid w:val="00D20251"/>
    <w:rsid w:val="00D20736"/>
    <w:rsid w:val="00D21100"/>
    <w:rsid w:val="00D22468"/>
    <w:rsid w:val="00D23539"/>
    <w:rsid w:val="00D25CA2"/>
    <w:rsid w:val="00D2793C"/>
    <w:rsid w:val="00D3062B"/>
    <w:rsid w:val="00D30AFA"/>
    <w:rsid w:val="00D30B44"/>
    <w:rsid w:val="00D33A85"/>
    <w:rsid w:val="00D341F8"/>
    <w:rsid w:val="00D35747"/>
    <w:rsid w:val="00D437D5"/>
    <w:rsid w:val="00D4666A"/>
    <w:rsid w:val="00D506AD"/>
    <w:rsid w:val="00D520FD"/>
    <w:rsid w:val="00D52F2E"/>
    <w:rsid w:val="00D53BAD"/>
    <w:rsid w:val="00D543AB"/>
    <w:rsid w:val="00D55267"/>
    <w:rsid w:val="00D566E3"/>
    <w:rsid w:val="00D61565"/>
    <w:rsid w:val="00D65176"/>
    <w:rsid w:val="00D6539D"/>
    <w:rsid w:val="00D65A3C"/>
    <w:rsid w:val="00D66E07"/>
    <w:rsid w:val="00D7267E"/>
    <w:rsid w:val="00D75B69"/>
    <w:rsid w:val="00D75D1E"/>
    <w:rsid w:val="00D76AFB"/>
    <w:rsid w:val="00D76BFD"/>
    <w:rsid w:val="00D76C9B"/>
    <w:rsid w:val="00D82076"/>
    <w:rsid w:val="00D8288E"/>
    <w:rsid w:val="00D833A1"/>
    <w:rsid w:val="00D85875"/>
    <w:rsid w:val="00D87B8A"/>
    <w:rsid w:val="00D92AF3"/>
    <w:rsid w:val="00D941B9"/>
    <w:rsid w:val="00D96C9E"/>
    <w:rsid w:val="00D9715D"/>
    <w:rsid w:val="00D9739E"/>
    <w:rsid w:val="00DA0360"/>
    <w:rsid w:val="00DA0875"/>
    <w:rsid w:val="00DA2C58"/>
    <w:rsid w:val="00DA30A2"/>
    <w:rsid w:val="00DA368E"/>
    <w:rsid w:val="00DA50B8"/>
    <w:rsid w:val="00DA71D6"/>
    <w:rsid w:val="00DA7D2D"/>
    <w:rsid w:val="00DA7FCE"/>
    <w:rsid w:val="00DB0874"/>
    <w:rsid w:val="00DB0C8B"/>
    <w:rsid w:val="00DB42C3"/>
    <w:rsid w:val="00DB47B4"/>
    <w:rsid w:val="00DB481D"/>
    <w:rsid w:val="00DB527D"/>
    <w:rsid w:val="00DB5DD6"/>
    <w:rsid w:val="00DC2350"/>
    <w:rsid w:val="00DC34B1"/>
    <w:rsid w:val="00DC406E"/>
    <w:rsid w:val="00DC50B8"/>
    <w:rsid w:val="00DC7DBC"/>
    <w:rsid w:val="00DD4112"/>
    <w:rsid w:val="00DD5F04"/>
    <w:rsid w:val="00DD688A"/>
    <w:rsid w:val="00DD7EAD"/>
    <w:rsid w:val="00DE07CD"/>
    <w:rsid w:val="00DE3365"/>
    <w:rsid w:val="00DE4446"/>
    <w:rsid w:val="00DE48CE"/>
    <w:rsid w:val="00DE6FC6"/>
    <w:rsid w:val="00DE7FA4"/>
    <w:rsid w:val="00DF25D5"/>
    <w:rsid w:val="00DF37F0"/>
    <w:rsid w:val="00DF39F9"/>
    <w:rsid w:val="00DF3C1B"/>
    <w:rsid w:val="00DF6296"/>
    <w:rsid w:val="00DF7405"/>
    <w:rsid w:val="00DF7A36"/>
    <w:rsid w:val="00E021F3"/>
    <w:rsid w:val="00E0587E"/>
    <w:rsid w:val="00E05F38"/>
    <w:rsid w:val="00E06C45"/>
    <w:rsid w:val="00E0727D"/>
    <w:rsid w:val="00E15FDE"/>
    <w:rsid w:val="00E1726C"/>
    <w:rsid w:val="00E20B89"/>
    <w:rsid w:val="00E22255"/>
    <w:rsid w:val="00E254EA"/>
    <w:rsid w:val="00E25B83"/>
    <w:rsid w:val="00E25BDD"/>
    <w:rsid w:val="00E26DE0"/>
    <w:rsid w:val="00E30355"/>
    <w:rsid w:val="00E30443"/>
    <w:rsid w:val="00E30648"/>
    <w:rsid w:val="00E318B3"/>
    <w:rsid w:val="00E413DE"/>
    <w:rsid w:val="00E42025"/>
    <w:rsid w:val="00E42E31"/>
    <w:rsid w:val="00E44301"/>
    <w:rsid w:val="00E4533C"/>
    <w:rsid w:val="00E46608"/>
    <w:rsid w:val="00E46EA6"/>
    <w:rsid w:val="00E50643"/>
    <w:rsid w:val="00E5371B"/>
    <w:rsid w:val="00E55B28"/>
    <w:rsid w:val="00E57156"/>
    <w:rsid w:val="00E600FD"/>
    <w:rsid w:val="00E60941"/>
    <w:rsid w:val="00E6103C"/>
    <w:rsid w:val="00E61A2F"/>
    <w:rsid w:val="00E6257D"/>
    <w:rsid w:val="00E6335E"/>
    <w:rsid w:val="00E63BCE"/>
    <w:rsid w:val="00E63BDD"/>
    <w:rsid w:val="00E65070"/>
    <w:rsid w:val="00E66EB0"/>
    <w:rsid w:val="00E7107A"/>
    <w:rsid w:val="00E71340"/>
    <w:rsid w:val="00E725A6"/>
    <w:rsid w:val="00E73654"/>
    <w:rsid w:val="00E753A8"/>
    <w:rsid w:val="00E767F4"/>
    <w:rsid w:val="00E76D9B"/>
    <w:rsid w:val="00E8001E"/>
    <w:rsid w:val="00E81BA7"/>
    <w:rsid w:val="00E837D4"/>
    <w:rsid w:val="00E84857"/>
    <w:rsid w:val="00E84EB5"/>
    <w:rsid w:val="00E86176"/>
    <w:rsid w:val="00E87188"/>
    <w:rsid w:val="00E87594"/>
    <w:rsid w:val="00E96D1A"/>
    <w:rsid w:val="00E97B91"/>
    <w:rsid w:val="00EA0787"/>
    <w:rsid w:val="00EA1B53"/>
    <w:rsid w:val="00EA715F"/>
    <w:rsid w:val="00EB2A85"/>
    <w:rsid w:val="00EB3249"/>
    <w:rsid w:val="00EB36D4"/>
    <w:rsid w:val="00EB505F"/>
    <w:rsid w:val="00EB5764"/>
    <w:rsid w:val="00EB747E"/>
    <w:rsid w:val="00EB7AB2"/>
    <w:rsid w:val="00EC0F13"/>
    <w:rsid w:val="00EC1CEE"/>
    <w:rsid w:val="00EC408E"/>
    <w:rsid w:val="00EC55BC"/>
    <w:rsid w:val="00ED1FCF"/>
    <w:rsid w:val="00ED3A54"/>
    <w:rsid w:val="00ED3C3D"/>
    <w:rsid w:val="00ED508E"/>
    <w:rsid w:val="00ED6683"/>
    <w:rsid w:val="00EE0020"/>
    <w:rsid w:val="00EE2277"/>
    <w:rsid w:val="00EE4E77"/>
    <w:rsid w:val="00EE631D"/>
    <w:rsid w:val="00EF08BB"/>
    <w:rsid w:val="00EF4B66"/>
    <w:rsid w:val="00EF6F75"/>
    <w:rsid w:val="00EF7229"/>
    <w:rsid w:val="00EF7FD1"/>
    <w:rsid w:val="00F014BA"/>
    <w:rsid w:val="00F014CE"/>
    <w:rsid w:val="00F06465"/>
    <w:rsid w:val="00F10D84"/>
    <w:rsid w:val="00F11995"/>
    <w:rsid w:val="00F14F32"/>
    <w:rsid w:val="00F2191E"/>
    <w:rsid w:val="00F24A6D"/>
    <w:rsid w:val="00F27B6E"/>
    <w:rsid w:val="00F30EE7"/>
    <w:rsid w:val="00F36273"/>
    <w:rsid w:val="00F369C2"/>
    <w:rsid w:val="00F40B99"/>
    <w:rsid w:val="00F42D13"/>
    <w:rsid w:val="00F4479D"/>
    <w:rsid w:val="00F503C8"/>
    <w:rsid w:val="00F51A2F"/>
    <w:rsid w:val="00F51ACC"/>
    <w:rsid w:val="00F53F5A"/>
    <w:rsid w:val="00F565DD"/>
    <w:rsid w:val="00F6408F"/>
    <w:rsid w:val="00F672BD"/>
    <w:rsid w:val="00F7209E"/>
    <w:rsid w:val="00F7331B"/>
    <w:rsid w:val="00F75773"/>
    <w:rsid w:val="00F75F7C"/>
    <w:rsid w:val="00F77D68"/>
    <w:rsid w:val="00F80643"/>
    <w:rsid w:val="00F823BF"/>
    <w:rsid w:val="00F840A7"/>
    <w:rsid w:val="00F840DA"/>
    <w:rsid w:val="00F843DA"/>
    <w:rsid w:val="00F84AD4"/>
    <w:rsid w:val="00F86592"/>
    <w:rsid w:val="00F867CA"/>
    <w:rsid w:val="00F87C8C"/>
    <w:rsid w:val="00F92646"/>
    <w:rsid w:val="00F94EDF"/>
    <w:rsid w:val="00F959C3"/>
    <w:rsid w:val="00F95BC8"/>
    <w:rsid w:val="00F979F1"/>
    <w:rsid w:val="00FA1C5A"/>
    <w:rsid w:val="00FA22F6"/>
    <w:rsid w:val="00FA2CFC"/>
    <w:rsid w:val="00FA3333"/>
    <w:rsid w:val="00FA5A7B"/>
    <w:rsid w:val="00FA5B99"/>
    <w:rsid w:val="00FB0E43"/>
    <w:rsid w:val="00FB358A"/>
    <w:rsid w:val="00FB3B4D"/>
    <w:rsid w:val="00FB3F49"/>
    <w:rsid w:val="00FB4881"/>
    <w:rsid w:val="00FC1673"/>
    <w:rsid w:val="00FC20AC"/>
    <w:rsid w:val="00FC6B00"/>
    <w:rsid w:val="00FC7EDD"/>
    <w:rsid w:val="00FD15FA"/>
    <w:rsid w:val="00FD40E6"/>
    <w:rsid w:val="00FD5B94"/>
    <w:rsid w:val="00FD6C85"/>
    <w:rsid w:val="00FD7120"/>
    <w:rsid w:val="00FD7F97"/>
    <w:rsid w:val="00FE1F95"/>
    <w:rsid w:val="00FE22B3"/>
    <w:rsid w:val="00FE6752"/>
    <w:rsid w:val="00FE6D6F"/>
    <w:rsid w:val="00FF05B3"/>
    <w:rsid w:val="00FF2E66"/>
    <w:rsid w:val="00FF5BCD"/>
    <w:rsid w:val="00FF682A"/>
    <w:rsid w:val="02213D9E"/>
    <w:rsid w:val="028A7C65"/>
    <w:rsid w:val="031A6D0A"/>
    <w:rsid w:val="05501886"/>
    <w:rsid w:val="066D7369"/>
    <w:rsid w:val="06A35E74"/>
    <w:rsid w:val="092B04DC"/>
    <w:rsid w:val="0A6C0264"/>
    <w:rsid w:val="0D1F4E64"/>
    <w:rsid w:val="0D40775A"/>
    <w:rsid w:val="0F9D4B6B"/>
    <w:rsid w:val="127A67B1"/>
    <w:rsid w:val="13E236AC"/>
    <w:rsid w:val="141F1888"/>
    <w:rsid w:val="149024BC"/>
    <w:rsid w:val="14CA6EEC"/>
    <w:rsid w:val="176302F9"/>
    <w:rsid w:val="18D31AC5"/>
    <w:rsid w:val="1A2A06B8"/>
    <w:rsid w:val="1AC31A11"/>
    <w:rsid w:val="1BDA0D14"/>
    <w:rsid w:val="1C1F3F30"/>
    <w:rsid w:val="1F077844"/>
    <w:rsid w:val="24A96C67"/>
    <w:rsid w:val="25D811EA"/>
    <w:rsid w:val="26FD3E3C"/>
    <w:rsid w:val="290D5D7D"/>
    <w:rsid w:val="298300E6"/>
    <w:rsid w:val="29BB0FC4"/>
    <w:rsid w:val="29DB2C40"/>
    <w:rsid w:val="2D7B7456"/>
    <w:rsid w:val="2ED50534"/>
    <w:rsid w:val="2EE022B2"/>
    <w:rsid w:val="2F51513C"/>
    <w:rsid w:val="311D7312"/>
    <w:rsid w:val="31AE04AC"/>
    <w:rsid w:val="32FE22B6"/>
    <w:rsid w:val="34BF22AC"/>
    <w:rsid w:val="3518051D"/>
    <w:rsid w:val="35334644"/>
    <w:rsid w:val="357974D9"/>
    <w:rsid w:val="35B5220F"/>
    <w:rsid w:val="35EB1DD1"/>
    <w:rsid w:val="36262C62"/>
    <w:rsid w:val="36764D60"/>
    <w:rsid w:val="372E6D18"/>
    <w:rsid w:val="388B67DE"/>
    <w:rsid w:val="39A17D97"/>
    <w:rsid w:val="3A956A84"/>
    <w:rsid w:val="3DBE6F92"/>
    <w:rsid w:val="3EB963A0"/>
    <w:rsid w:val="3ED501F5"/>
    <w:rsid w:val="3F101ABF"/>
    <w:rsid w:val="3F1165A4"/>
    <w:rsid w:val="3F5C43D8"/>
    <w:rsid w:val="403A7B42"/>
    <w:rsid w:val="41340D87"/>
    <w:rsid w:val="418D6EBC"/>
    <w:rsid w:val="429B2DC7"/>
    <w:rsid w:val="44C47C8D"/>
    <w:rsid w:val="459C0733"/>
    <w:rsid w:val="462233C0"/>
    <w:rsid w:val="46384920"/>
    <w:rsid w:val="477E5958"/>
    <w:rsid w:val="480B4AAA"/>
    <w:rsid w:val="497109B5"/>
    <w:rsid w:val="4B7919E0"/>
    <w:rsid w:val="50DD0F13"/>
    <w:rsid w:val="523A1E29"/>
    <w:rsid w:val="52506B18"/>
    <w:rsid w:val="53AC6661"/>
    <w:rsid w:val="54AF3702"/>
    <w:rsid w:val="55D84A48"/>
    <w:rsid w:val="582C015E"/>
    <w:rsid w:val="59493902"/>
    <w:rsid w:val="5981749B"/>
    <w:rsid w:val="5A3E76DE"/>
    <w:rsid w:val="5B00129F"/>
    <w:rsid w:val="5BAD4E9D"/>
    <w:rsid w:val="5DF3695A"/>
    <w:rsid w:val="5FF91EA4"/>
    <w:rsid w:val="623D18BA"/>
    <w:rsid w:val="624D40D3"/>
    <w:rsid w:val="65576D44"/>
    <w:rsid w:val="65F72031"/>
    <w:rsid w:val="66ED4BD3"/>
    <w:rsid w:val="699C0552"/>
    <w:rsid w:val="71440883"/>
    <w:rsid w:val="723F6B0D"/>
    <w:rsid w:val="73F310C6"/>
    <w:rsid w:val="747C687A"/>
    <w:rsid w:val="75A82D16"/>
    <w:rsid w:val="771816DB"/>
    <w:rsid w:val="773F7258"/>
    <w:rsid w:val="77AC598E"/>
    <w:rsid w:val="789D4AF7"/>
    <w:rsid w:val="791D0E11"/>
    <w:rsid w:val="7A400C14"/>
    <w:rsid w:val="7D4E157B"/>
    <w:rsid w:val="7D585151"/>
    <w:rsid w:val="7FBD1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21"/>
    <w:qFormat/>
    <w:uiPriority w:val="9"/>
    <w:pPr>
      <w:keepNext/>
      <w:keepLines/>
      <w:adjustRightInd w:val="0"/>
      <w:snapToGrid w:val="0"/>
      <w:spacing w:before="340" w:after="330" w:line="560" w:lineRule="exact"/>
      <w:outlineLvl w:val="0"/>
    </w:pPr>
    <w:rPr>
      <w:rFonts w:eastAsia="黑体"/>
      <w:b/>
      <w:bCs/>
      <w:kern w:val="44"/>
      <w:szCs w:val="44"/>
    </w:rPr>
  </w:style>
  <w:style w:type="paragraph" w:styleId="3">
    <w:name w:val="heading 2"/>
    <w:basedOn w:val="1"/>
    <w:next w:val="4"/>
    <w:link w:val="22"/>
    <w:qFormat/>
    <w:uiPriority w:val="0"/>
    <w:pPr>
      <w:keepNext/>
      <w:keepLines/>
      <w:spacing w:before="260" w:after="260" w:line="416" w:lineRule="auto"/>
      <w:outlineLvl w:val="1"/>
    </w:pPr>
    <w:rPr>
      <w:rFonts w:ascii="Arial" w:hAnsi="Arial" w:eastAsia="黑体" w:cs="Times New Roman"/>
      <w:b/>
      <w:szCs w:val="20"/>
    </w:rPr>
  </w:style>
  <w:style w:type="paragraph" w:styleId="5">
    <w:name w:val="heading 3"/>
    <w:basedOn w:val="1"/>
    <w:next w:val="1"/>
    <w:unhideWhenUsed/>
    <w:qFormat/>
    <w:uiPriority w:val="9"/>
    <w:pPr>
      <w:keepNext/>
      <w:keepLines/>
      <w:spacing w:line="560" w:lineRule="exact"/>
      <w:ind w:left="400" w:leftChars="400"/>
      <w:outlineLvl w:val="2"/>
    </w:pPr>
    <w:rPr>
      <w:rFonts w:ascii="仿宋" w:hAnsi="仿宋" w:eastAsia="仿宋" w:cs="仿宋"/>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pPr>
  </w:style>
  <w:style w:type="paragraph" w:styleId="6">
    <w:name w:val="annotation text"/>
    <w:basedOn w:val="1"/>
    <w:link w:val="20"/>
    <w:unhideWhenUsed/>
    <w:qFormat/>
    <w:uiPriority w:val="99"/>
    <w:pPr>
      <w:jc w:val="left"/>
    </w:pPr>
  </w:style>
  <w:style w:type="paragraph" w:styleId="7">
    <w:name w:val="toc 3"/>
    <w:basedOn w:val="1"/>
    <w:next w:val="1"/>
    <w:semiHidden/>
    <w:unhideWhenUsed/>
    <w:qFormat/>
    <w:uiPriority w:val="39"/>
    <w:pPr>
      <w:widowControl/>
      <w:spacing w:after="100" w:line="276" w:lineRule="auto"/>
      <w:ind w:left="440"/>
      <w:jc w:val="left"/>
    </w:pPr>
    <w:rPr>
      <w:kern w:val="0"/>
      <w:sz w:val="22"/>
    </w:rPr>
  </w:style>
  <w:style w:type="paragraph" w:styleId="8">
    <w:name w:val="Balloon Text"/>
    <w:basedOn w:val="1"/>
    <w:link w:val="19"/>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tabs>
        <w:tab w:val="left" w:pos="800"/>
        <w:tab w:val="right" w:leader="dot" w:pos="8296"/>
      </w:tabs>
      <w:adjustRightInd w:val="0"/>
      <w:snapToGrid w:val="0"/>
      <w:spacing w:after="100"/>
      <w:ind w:firstLine="161" w:firstLineChars="50"/>
      <w:jc w:val="left"/>
    </w:pPr>
    <w:rPr>
      <w:rFonts w:ascii="仿宋" w:hAnsi="仿宋" w:cs="Times New Roman"/>
      <w:b/>
      <w:kern w:val="0"/>
      <w:szCs w:val="3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annotation subject"/>
    <w:basedOn w:val="6"/>
    <w:next w:val="6"/>
    <w:link w:val="27"/>
    <w:semiHidden/>
    <w:unhideWhenUsed/>
    <w:qFormat/>
    <w:uiPriority w:val="99"/>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customStyle="1" w:styleId="19">
    <w:name w:val="批注框文本 Char"/>
    <w:basedOn w:val="16"/>
    <w:link w:val="8"/>
    <w:semiHidden/>
    <w:qFormat/>
    <w:uiPriority w:val="99"/>
    <w:rPr>
      <w:rFonts w:eastAsia="仿宋"/>
      <w:kern w:val="2"/>
      <w:sz w:val="18"/>
      <w:szCs w:val="18"/>
    </w:rPr>
  </w:style>
  <w:style w:type="character" w:customStyle="1" w:styleId="20">
    <w:name w:val="批注文字 Char"/>
    <w:basedOn w:val="16"/>
    <w:link w:val="6"/>
    <w:qFormat/>
    <w:uiPriority w:val="99"/>
    <w:rPr>
      <w:rFonts w:eastAsia="仿宋"/>
      <w:kern w:val="2"/>
      <w:sz w:val="32"/>
      <w:szCs w:val="22"/>
    </w:rPr>
  </w:style>
  <w:style w:type="character" w:customStyle="1" w:styleId="21">
    <w:name w:val="标题 1 Char"/>
    <w:basedOn w:val="16"/>
    <w:link w:val="2"/>
    <w:qFormat/>
    <w:uiPriority w:val="9"/>
    <w:rPr>
      <w:rFonts w:eastAsia="黑体"/>
      <w:b/>
      <w:bCs/>
      <w:kern w:val="44"/>
      <w:sz w:val="32"/>
      <w:szCs w:val="44"/>
    </w:rPr>
  </w:style>
  <w:style w:type="character" w:customStyle="1" w:styleId="22">
    <w:name w:val="标题 2 Char"/>
    <w:basedOn w:val="16"/>
    <w:link w:val="3"/>
    <w:qFormat/>
    <w:uiPriority w:val="0"/>
    <w:rPr>
      <w:rFonts w:ascii="Arial" w:hAnsi="Arial" w:eastAsia="黑体" w:cs="Times New Roman"/>
      <w:b/>
      <w:sz w:val="32"/>
      <w:szCs w:val="20"/>
    </w:rPr>
  </w:style>
  <w:style w:type="paragraph" w:customStyle="1" w:styleId="2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页眉 Char"/>
    <w:basedOn w:val="16"/>
    <w:link w:val="10"/>
    <w:qFormat/>
    <w:uiPriority w:val="99"/>
    <w:rPr>
      <w:sz w:val="18"/>
      <w:szCs w:val="18"/>
    </w:rPr>
  </w:style>
  <w:style w:type="character" w:customStyle="1" w:styleId="25">
    <w:name w:val="页脚 Char"/>
    <w:basedOn w:val="16"/>
    <w:link w:val="9"/>
    <w:qFormat/>
    <w:uiPriority w:val="99"/>
    <w:rPr>
      <w:sz w:val="18"/>
      <w:szCs w:val="18"/>
    </w:rPr>
  </w:style>
  <w:style w:type="paragraph" w:styleId="26">
    <w:name w:val="List Paragraph"/>
    <w:basedOn w:val="1"/>
    <w:qFormat/>
    <w:uiPriority w:val="34"/>
    <w:pPr>
      <w:ind w:firstLine="420"/>
    </w:pPr>
  </w:style>
  <w:style w:type="character" w:customStyle="1" w:styleId="27">
    <w:name w:val="批注主题 Char"/>
    <w:basedOn w:val="20"/>
    <w:link w:val="13"/>
    <w:semiHidden/>
    <w:qFormat/>
    <w:uiPriority w:val="99"/>
    <w:rPr>
      <w:rFonts w:eastAsia="仿宋"/>
      <w:b/>
      <w:bCs/>
      <w:kern w:val="2"/>
      <w:sz w:val="32"/>
      <w:szCs w:val="22"/>
    </w:rPr>
  </w:style>
  <w:style w:type="paragraph" w:customStyle="1" w:styleId="2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9">
    <w:name w:val="修订1"/>
    <w:hidden/>
    <w:unhideWhenUsed/>
    <w:qFormat/>
    <w:uiPriority w:val="99"/>
    <w:rPr>
      <w:rFonts w:eastAsia="仿宋"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7839C-AADA-4B19-97E3-35F219F0DB15}">
  <ds:schemaRefs/>
</ds:datastoreItem>
</file>

<file path=docProps/app.xml><?xml version="1.0" encoding="utf-8"?>
<Properties xmlns="http://schemas.openxmlformats.org/officeDocument/2006/extended-properties" xmlns:vt="http://schemas.openxmlformats.org/officeDocument/2006/docPropsVTypes">
  <Template>Normal</Template>
  <Pages>33</Pages>
  <Words>16179</Words>
  <Characters>16216</Characters>
  <Lines>122</Lines>
  <Paragraphs>34</Paragraphs>
  <TotalTime>10</TotalTime>
  <ScaleCrop>false</ScaleCrop>
  <LinksUpToDate>false</LinksUpToDate>
  <CharactersWithSpaces>16352</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2023-01-10T08:10:00Z</dcterms:created>
  <dc:creator>NTKO</dc:creator>
  <cp:lastModifiedBy>xxfb01</cp:lastModifiedBy>
  <cp:lastPrinted>2024-03-18T02:03:00Z</cp:lastPrinted>
  <dcterms:modified xsi:type="dcterms:W3CDTF">2024-03-29T09:03:01Z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E88A091513A14E209019E12F0F72457A</vt:lpwstr>
  </property>
</Properties>
</file>