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仿宋简体" w:eastAsia="方正仿宋简体"/>
          <w:b/>
          <w:bCs/>
          <w:sz w:val="32"/>
          <w:szCs w:val="32"/>
        </w:rPr>
      </w:pPr>
      <w:bookmarkStart w:id="0" w:name="_Hlk119015209"/>
      <w:bookmarkStart w:id="41" w:name="_GoBack"/>
      <w:bookmarkEnd w:id="41"/>
      <w:r>
        <w:rPr>
          <w:rFonts w:hint="eastAsia" w:ascii="黑体" w:hAnsi="黑体" w:eastAsia="黑体" w:cs="黑体"/>
          <w:sz w:val="32"/>
          <w:szCs w:val="32"/>
        </w:rPr>
        <w:t>附件</w:t>
      </w:r>
    </w:p>
    <w:p>
      <w:pPr>
        <w:spacing w:line="560" w:lineRule="exact"/>
        <w:rPr>
          <w:rFonts w:ascii="方正仿宋简体" w:eastAsia="方正仿宋简体"/>
          <w:b/>
          <w:bCs/>
          <w:sz w:val="30"/>
          <w:szCs w:val="30"/>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深圳证券交易所资产支持证券存续期监管业务指引第2号——临时报告</w:t>
      </w:r>
    </w:p>
    <w:p>
      <w:pPr>
        <w:spacing w:line="560" w:lineRule="exact"/>
        <w:rPr>
          <w:rFonts w:ascii="方正仿宋简体" w:eastAsia="方正仿宋简体"/>
          <w:b/>
          <w:bCs/>
          <w:sz w:val="30"/>
          <w:szCs w:val="30"/>
        </w:rPr>
      </w:pPr>
    </w:p>
    <w:p>
      <w:pPr>
        <w:pStyle w:val="22"/>
        <w:spacing w:line="560" w:lineRule="exact"/>
      </w:pPr>
      <w:bookmarkStart w:id="1" w:name="_Toc3336"/>
      <w:bookmarkStart w:id="2" w:name="_Toc121678735"/>
      <w:bookmarkStart w:id="3" w:name="_Toc21239"/>
      <w:bookmarkStart w:id="4" w:name="_Toc21531"/>
      <w:bookmarkStart w:id="5" w:name="_Toc19776"/>
      <w:r>
        <w:t>第一章 总则</w:t>
      </w:r>
      <w:bookmarkEnd w:id="1"/>
      <w:bookmarkEnd w:id="2"/>
      <w:bookmarkEnd w:id="3"/>
      <w:bookmarkEnd w:id="4"/>
      <w:bookmarkEnd w:id="5"/>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第一条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为了规范资产支持证券临时报告编制和披露行为，保护投资者合法权益，根据</w:t>
      </w:r>
      <w:r>
        <w:rPr>
          <w:rFonts w:hint="eastAsia" w:ascii="仿宋" w:hAnsi="仿宋" w:eastAsia="仿宋" w:cs="仿宋"/>
          <w:sz w:val="32"/>
          <w:szCs w:val="32"/>
        </w:rPr>
        <w:t>《深圳证券交易所资产支持证券业务规则》等业务</w:t>
      </w:r>
      <w:r>
        <w:rPr>
          <w:rFonts w:hint="eastAsia" w:ascii="仿宋" w:hAnsi="仿宋" w:eastAsia="仿宋" w:cs="仿宋"/>
          <w:kern w:val="0"/>
          <w:sz w:val="32"/>
          <w:szCs w:val="32"/>
        </w:rPr>
        <w:t>规则</w:t>
      </w:r>
      <w:r>
        <w:rPr>
          <w:rFonts w:hint="eastAsia" w:ascii="仿宋" w:hAnsi="仿宋" w:eastAsia="仿宋" w:cs="仿宋"/>
          <w:kern w:val="0"/>
          <w:sz w:val="32"/>
          <w:szCs w:val="32"/>
          <w:lang w:eastAsia="zh-CN"/>
        </w:rPr>
        <w:t>的规定</w:t>
      </w:r>
      <w:r>
        <w:rPr>
          <w:rFonts w:hint="eastAsia" w:ascii="仿宋" w:hAnsi="仿宋" w:eastAsia="仿宋" w:cs="仿宋"/>
          <w:kern w:val="0"/>
          <w:sz w:val="32"/>
          <w:szCs w:val="32"/>
        </w:rPr>
        <w:t>，制定本指引。</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第二条</w:t>
      </w:r>
      <w:r>
        <w:rPr>
          <w:rFonts w:hint="eastAsia" w:ascii="仿宋" w:hAnsi="仿宋" w:eastAsia="仿宋" w:cs="仿宋"/>
          <w:kern w:val="0"/>
          <w:sz w:val="32"/>
          <w:szCs w:val="32"/>
        </w:rPr>
        <w:t xml:space="preserve"> 在深圳证券交易所（以下简称本所）挂牌转让的资产支持证券的临时报告披露，适用本指引。本所另有规定的，从其规定。</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第三条</w:t>
      </w:r>
      <w:r>
        <w:rPr>
          <w:rFonts w:hint="eastAsia" w:ascii="仿宋" w:hAnsi="仿宋" w:eastAsia="仿宋" w:cs="仿宋"/>
          <w:kern w:val="0"/>
          <w:sz w:val="32"/>
          <w:szCs w:val="32"/>
        </w:rPr>
        <w:t xml:space="preserve"> </w:t>
      </w:r>
      <w:r>
        <w:rPr>
          <w:rFonts w:hint="eastAsia" w:ascii="仿宋" w:hAnsi="仿宋" w:eastAsia="仿宋" w:cs="仿宋"/>
          <w:sz w:val="32"/>
          <w:szCs w:val="32"/>
        </w:rPr>
        <w:t>资产支持证券在本所挂牌转让的，</w:t>
      </w:r>
      <w:r>
        <w:rPr>
          <w:rFonts w:hint="eastAsia" w:ascii="仿宋" w:hAnsi="仿宋" w:eastAsia="仿宋" w:cs="仿宋"/>
          <w:kern w:val="0"/>
          <w:sz w:val="32"/>
          <w:szCs w:val="32"/>
        </w:rPr>
        <w:t>资产支持专项计划（以下简称专项计划）的管理人、资信评级机构等信息披露义务人应当按照法律、行政法规、部门规章</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规范性文件（以下统称法律法规）、本所规定、专项计划文件的约定和所作出的承诺，及时、公平履行临时报告信息披露义务，保证所披露的信息真实、准确、完整，不存在虚假记载、误导性陈述或者重大遗漏。</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第四条</w:t>
      </w:r>
      <w:r>
        <w:rPr>
          <w:rFonts w:hint="eastAsia" w:ascii="仿宋" w:hAnsi="仿宋" w:eastAsia="仿宋" w:cs="仿宋"/>
          <w:kern w:val="0"/>
          <w:sz w:val="32"/>
          <w:szCs w:val="32"/>
        </w:rPr>
        <w:t xml:space="preserve"> 原始权益人、资产服务机构、增信机构、托管人、律师事务所、会计师事务所、资产评估机构、现金流预测机构、监管银行等其他资产支持证券业务参与人应当积极配合信息披露义务人编制和披露临时报告，及时向信息披露义务人提供相关信息，并保证所提供的信息真实、准确、完整。</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管理人、资信评级机构为履行临时报告信息披露义务，需要约定重要现金流提供方</w:t>
      </w:r>
      <w:r>
        <w:rPr>
          <w:rFonts w:hint="eastAsia" w:ascii="仿宋" w:hAnsi="仿宋" w:eastAsia="仿宋" w:cs="仿宋"/>
          <w:sz w:val="32"/>
          <w:szCs w:val="32"/>
        </w:rPr>
        <w:t>配合提供信息等</w:t>
      </w:r>
      <w:r>
        <w:rPr>
          <w:rFonts w:hint="eastAsia" w:ascii="仿宋" w:hAnsi="仿宋" w:eastAsia="仿宋" w:cs="仿宋"/>
          <w:kern w:val="0"/>
          <w:sz w:val="32"/>
          <w:szCs w:val="32"/>
        </w:rPr>
        <w:t>义务的，应当通过协议</w:t>
      </w:r>
      <w:r>
        <w:rPr>
          <w:rFonts w:hint="eastAsia" w:ascii="仿宋" w:hAnsi="仿宋" w:eastAsia="仿宋" w:cs="仿宋"/>
          <w:kern w:val="0"/>
          <w:sz w:val="32"/>
          <w:szCs w:val="32"/>
          <w:lang w:eastAsia="zh-CN"/>
        </w:rPr>
        <w:t>或者其他相关文件</w:t>
      </w:r>
      <w:r>
        <w:rPr>
          <w:rFonts w:hint="eastAsia" w:ascii="仿宋" w:hAnsi="仿宋" w:eastAsia="仿宋" w:cs="仿宋"/>
          <w:kern w:val="0"/>
          <w:sz w:val="32"/>
          <w:szCs w:val="32"/>
        </w:rPr>
        <w:t>加以约定。</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sz w:val="32"/>
          <w:szCs w:val="32"/>
        </w:rPr>
        <w:t>特定原始权益人的控股股东、实际控制人、董事、监事、高级管理人员或者履行同等职责的人员应当诚实守信，按照</w:t>
      </w:r>
      <w:r>
        <w:rPr>
          <w:rFonts w:hint="eastAsia" w:ascii="仿宋" w:hAnsi="仿宋" w:eastAsia="仿宋" w:cs="仿宋"/>
          <w:sz w:val="32"/>
          <w:szCs w:val="32"/>
          <w:lang w:eastAsia="zh-CN"/>
        </w:rPr>
        <w:t>规定和</w:t>
      </w:r>
      <w:r>
        <w:rPr>
          <w:rFonts w:hint="eastAsia" w:ascii="仿宋" w:hAnsi="仿宋" w:eastAsia="仿宋" w:cs="仿宋"/>
          <w:sz w:val="32"/>
          <w:szCs w:val="32"/>
        </w:rPr>
        <w:t>约定行使权利，严格履行所作出的各项承诺，督促特定原始权益人履行规定、约定和承诺的各项义务，切实维护投资者权益。</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 xml:space="preserve">第五条 </w:t>
      </w:r>
      <w:r>
        <w:rPr>
          <w:rFonts w:hint="eastAsia" w:ascii="仿宋" w:hAnsi="仿宋" w:eastAsia="仿宋" w:cs="仿宋"/>
          <w:kern w:val="0"/>
          <w:sz w:val="32"/>
          <w:szCs w:val="32"/>
        </w:rPr>
        <w:t>资产支持证券在本所挂牌转让期间，信息披露义务人应当按照法律法规、本所规定、专项计划文件的约定和所作出的承诺履行临时报告信息披露义务。</w:t>
      </w:r>
    </w:p>
    <w:p>
      <w:pPr>
        <w:pStyle w:val="37"/>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资产支持证券发行后至挂牌转让前，发生本指引规定的临时披露事项的，信息披露义务人应当参照本指引履行临时报告信息披露义务。</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第六条</w:t>
      </w:r>
      <w:r>
        <w:rPr>
          <w:rFonts w:hint="eastAsia" w:ascii="仿宋" w:hAnsi="仿宋" w:eastAsia="仿宋" w:cs="仿宋"/>
          <w:kern w:val="0"/>
          <w:sz w:val="32"/>
          <w:szCs w:val="32"/>
        </w:rPr>
        <w:t xml:space="preserve"> 本指引是对资产支持证券临时报告信息披露的最低要求。不论本指引是否明确规定，相关信息可能对资产支持证券收益分配、投资价值、转让价格、投资者权益产生重大影响，或者触发约定的投资者权益保护条款、构成持有人会议召开事由的，信息披露义务人均应当及时履行临时报告信息披露义务。</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前款所称资产支持证券收益分配，包含按约定支付资产支持证券本金及收益、其他权利行权等。</w:t>
      </w:r>
    </w:p>
    <w:p>
      <w:pPr>
        <w:spacing w:line="560" w:lineRule="exact"/>
        <w:ind w:firstLine="643" w:firstLineChars="200"/>
      </w:pPr>
      <w:r>
        <w:rPr>
          <w:rFonts w:hint="eastAsia" w:ascii="仿宋" w:hAnsi="仿宋" w:eastAsia="仿宋" w:cs="仿宋"/>
          <w:b/>
          <w:kern w:val="0"/>
          <w:sz w:val="32"/>
          <w:szCs w:val="32"/>
        </w:rPr>
        <w:t>第七条</w:t>
      </w:r>
      <w:r>
        <w:rPr>
          <w:rFonts w:hint="eastAsia" w:ascii="仿宋" w:hAnsi="仿宋" w:eastAsia="仿宋" w:cs="仿宋"/>
          <w:kern w:val="0"/>
          <w:sz w:val="32"/>
          <w:szCs w:val="32"/>
        </w:rPr>
        <w:t xml:space="preserve"> </w:t>
      </w:r>
      <w:r>
        <w:rPr>
          <w:rFonts w:hint="eastAsia" w:ascii="仿宋" w:hAnsi="仿宋" w:eastAsia="仿宋" w:cs="仿宋"/>
          <w:sz w:val="32"/>
          <w:szCs w:val="32"/>
        </w:rPr>
        <w:t>本所依照法律法规、本指引、本所相关业务规则的规定，以及转让服务协议、计划说明书等文件的约定和作出的相关承诺，对信息披露义务人以及其他资产支持证券业务参与人及其相关人员（以下统称监管对象）实施自律管理。</w:t>
      </w:r>
    </w:p>
    <w:p>
      <w:pPr>
        <w:pStyle w:val="22"/>
        <w:spacing w:line="560" w:lineRule="exact"/>
        <w:ind w:firstLine="602"/>
      </w:pPr>
      <w:bookmarkStart w:id="6" w:name="_Toc7253"/>
      <w:bookmarkStart w:id="7" w:name="_Toc121678736"/>
      <w:bookmarkStart w:id="8" w:name="_Toc27921"/>
      <w:bookmarkStart w:id="9" w:name="_Toc20132"/>
      <w:bookmarkStart w:id="10" w:name="_Toc27413"/>
      <w:r>
        <w:rPr>
          <w:rFonts w:hint="eastAsia"/>
        </w:rPr>
        <w:t>第二章</w:t>
      </w:r>
      <w:r>
        <w:t xml:space="preserve"> </w:t>
      </w:r>
      <w:r>
        <w:rPr>
          <w:rFonts w:hint="eastAsia"/>
        </w:rPr>
        <w:t>信息披露一般规定</w:t>
      </w:r>
      <w:bookmarkEnd w:id="6"/>
      <w:bookmarkEnd w:id="7"/>
      <w:bookmarkEnd w:id="8"/>
      <w:bookmarkEnd w:id="9"/>
      <w:bookmarkEnd w:id="10"/>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第八条</w:t>
      </w:r>
      <w:r>
        <w:rPr>
          <w:rFonts w:hint="eastAsia" w:ascii="仿宋" w:hAnsi="仿宋" w:eastAsia="仿宋" w:cs="仿宋"/>
          <w:kern w:val="0"/>
          <w:sz w:val="32"/>
          <w:szCs w:val="32"/>
        </w:rPr>
        <w:t xml:space="preserve"> 发生可能影响资产支持证券收益分配、投资价值、转让价格或者投资者权益的重大事项的，管理人应当于知道或者应当知道重大事项发生之日起2个交易日内披露临时报告，临时报告应当包括下列内容：</w:t>
      </w:r>
    </w:p>
    <w:p>
      <w:pPr>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rPr>
        <w:t>（一）专项计划与资产支持证券的基本情况；</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（二）重大事项的事实、成因；</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（三）对资产支持证券的影响分析；</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（四）本指引规定的其他信息披露内容。</w:t>
      </w:r>
    </w:p>
    <w:p>
      <w:pPr>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rPr>
        <w:t>已披露的重大事项出现新的进展或者变化，可能对资产支持证券收益分配、投资价值、转让价格或者投资者权益等产生较大影响的，管理人应当于知道或者应当知道之日起2个交易日内披露后续进展或者变化情况及其影响。</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sz w:val="32"/>
          <w:szCs w:val="32"/>
        </w:rPr>
        <w:t>第九条</w:t>
      </w:r>
      <w:r>
        <w:rPr>
          <w:rFonts w:hint="eastAsia" w:ascii="仿宋" w:hAnsi="仿宋" w:eastAsia="仿宋" w:cs="仿宋"/>
          <w:kern w:val="0"/>
          <w:sz w:val="32"/>
          <w:szCs w:val="32"/>
        </w:rPr>
        <w:t xml:space="preserve"> 就信息披露义务人可能需要履行信息披露义务的事项，原始权益人、资产服务机构、增信机构、托管人等应当于知道或者应当知道该事项发生之日起2个交易日内告知信息披露义务人。</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第十条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专项计划的基本情况，包括但不限于专项计划全称、发行规模、设立日、预期到期日。</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第十一条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各档资产支持证券</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基本情况，包括但不限于报告披露日仍未完成偿付的资产支持证券简称、证券代码、发行日、预期到期日、发行金额、发行利率、存续金额。</w:t>
      </w:r>
    </w:p>
    <w:p>
      <w:pPr>
        <w:autoSpaceDE w:val="0"/>
        <w:autoSpaceDN w:val="0"/>
        <w:adjustRightInd w:val="0"/>
        <w:spacing w:line="560" w:lineRule="exact"/>
        <w:ind w:firstLine="643" w:firstLineChars="200"/>
        <w:jc w:val="both"/>
        <w:rPr>
          <w:rFonts w:ascii="仿宋" w:hAnsi="仿宋" w:eastAsia="仿宋" w:cs="仿宋"/>
          <w:kern w:val="0"/>
          <w:sz w:val="32"/>
          <w:szCs w:val="32"/>
        </w:rPr>
      </w:pPr>
      <w:r>
        <w:rPr>
          <w:rFonts w:hint="eastAsia" w:ascii="仿宋" w:hAnsi="仿宋" w:eastAsia="仿宋" w:cs="仿宋"/>
          <w:b/>
          <w:kern w:val="0"/>
          <w:sz w:val="32"/>
          <w:szCs w:val="32"/>
        </w:rPr>
        <w:t>第十二条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有权决策机构的决策情况，包括但不限于</w:t>
      </w:r>
      <w:r>
        <w:rPr>
          <w:rFonts w:hint="eastAsia" w:ascii="仿宋" w:hAnsi="仿宋" w:eastAsia="仿宋" w:cs="仿宋"/>
          <w:sz w:val="32"/>
          <w:szCs w:val="32"/>
        </w:rPr>
        <w:t>资产支持证券业务参与人</w:t>
      </w:r>
      <w:r>
        <w:rPr>
          <w:rFonts w:hint="eastAsia" w:ascii="仿宋" w:hAnsi="仿宋" w:eastAsia="仿宋" w:cs="仿宋"/>
          <w:kern w:val="0"/>
          <w:sz w:val="32"/>
          <w:szCs w:val="32"/>
        </w:rPr>
        <w:t>内部决策情况、有权机关的批准或者备案情况、资产支持证券持有人会议的情况。</w:t>
      </w:r>
    </w:p>
    <w:p>
      <w:pPr>
        <w:autoSpaceDE w:val="0"/>
        <w:autoSpaceDN w:val="0"/>
        <w:adjustRightInd w:val="0"/>
        <w:spacing w:line="560" w:lineRule="exact"/>
        <w:ind w:firstLine="643" w:firstLineChars="200"/>
        <w:jc w:val="both"/>
        <w:rPr>
          <w:rFonts w:ascii="仿宋" w:hAnsi="仿宋" w:eastAsia="仿宋" w:cs="仿宋"/>
          <w:kern w:val="0"/>
          <w:sz w:val="32"/>
          <w:szCs w:val="32"/>
        </w:rPr>
      </w:pPr>
      <w:r>
        <w:rPr>
          <w:rFonts w:hint="eastAsia" w:ascii="仿宋" w:hAnsi="仿宋" w:eastAsia="仿宋" w:cs="仿宋"/>
          <w:b/>
          <w:kern w:val="0"/>
          <w:sz w:val="32"/>
          <w:szCs w:val="32"/>
        </w:rPr>
        <w:t>第十三条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重大事项对资产支持证券的影响分析，包括但不限于重大事项是否会对资产支持证券收益分配、投资价值、转让价格和投资者权益产生重大影响或者可能引发信用触发机制。</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管理人认为存在重大不利影响的，应当披露影响具体内容，以及管理人和相关主体已采取和拟采取的对资产支持证券投资者的权益保护措施，包括但不限于专项计划增信措施、信用触发机制或者其他后续安排。如认为不存在重大不利影响的，管理人应当说明理由。</w:t>
      </w:r>
    </w:p>
    <w:p>
      <w:pPr>
        <w:autoSpaceDE w:val="0"/>
        <w:autoSpaceDN w:val="0"/>
        <w:adjustRightInd w:val="0"/>
        <w:spacing w:line="560" w:lineRule="exact"/>
        <w:ind w:firstLine="643" w:firstLineChars="200"/>
        <w:jc w:val="both"/>
        <w:rPr>
          <w:rFonts w:ascii="仿宋" w:hAnsi="仿宋" w:eastAsia="仿宋" w:cs="仿宋"/>
          <w:kern w:val="0"/>
          <w:sz w:val="32"/>
          <w:szCs w:val="32"/>
        </w:rPr>
      </w:pPr>
      <w:r>
        <w:rPr>
          <w:rFonts w:hint="eastAsia" w:ascii="仿宋" w:hAnsi="仿宋" w:eastAsia="仿宋" w:cs="仿宋"/>
          <w:b/>
          <w:sz w:val="32"/>
          <w:szCs w:val="32"/>
        </w:rPr>
        <w:t xml:space="preserve">第十四条 </w:t>
      </w:r>
      <w:r>
        <w:rPr>
          <w:rFonts w:hint="eastAsia" w:ascii="仿宋" w:hAnsi="仿宋" w:eastAsia="仿宋" w:cs="仿宋"/>
          <w:sz w:val="32"/>
          <w:szCs w:val="32"/>
        </w:rPr>
        <w:t>同一事件触发本指引不同事项披露标准的，临时报告应当同时符合不同事项的披露要求。</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第十五条</w:t>
      </w:r>
      <w:r>
        <w:rPr>
          <w:rFonts w:hint="eastAsia" w:ascii="仿宋" w:hAnsi="仿宋" w:eastAsia="仿宋" w:cs="仿宋"/>
          <w:sz w:val="32"/>
          <w:szCs w:val="32"/>
        </w:rPr>
        <w:t xml:space="preserve"> 信息披露义务人</w:t>
      </w:r>
      <w:r>
        <w:rPr>
          <w:rFonts w:hint="eastAsia" w:ascii="仿宋" w:hAnsi="仿宋" w:eastAsia="仿宋" w:cs="仿宋"/>
          <w:sz w:val="32"/>
          <w:szCs w:val="32"/>
          <w:lang w:eastAsia="zh-CN"/>
        </w:rPr>
        <w:t>应当</w:t>
      </w:r>
      <w:r>
        <w:rPr>
          <w:rFonts w:hint="eastAsia" w:ascii="仿宋" w:hAnsi="仿宋" w:eastAsia="仿宋" w:cs="仿宋"/>
          <w:sz w:val="32"/>
          <w:szCs w:val="32"/>
        </w:rPr>
        <w:t>根据不同基础资产类型、交易结构等进行针对性披露，有效揭示资产支持证券的偿付能力，充分披露有利于投资者作出价值判断和合理决策的信息。</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第十六条</w:t>
      </w:r>
      <w:r>
        <w:rPr>
          <w:rFonts w:hint="eastAsia" w:ascii="仿宋" w:hAnsi="仿宋" w:eastAsia="仿宋" w:cs="仿宋"/>
          <w:kern w:val="0"/>
          <w:sz w:val="32"/>
          <w:szCs w:val="32"/>
        </w:rPr>
        <w:t xml:space="preserve"> 信息披露义务人披露的财务数据或者财务指标，法律法规、本所业务规则规定应当经审计的，信息披露义务人应当遵守相关规定；未作规定的，应当优先使用经审计的财务数据或者财务指标。</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信息披露义务人披露未经审计的财务数据</w:t>
      </w:r>
      <w:r>
        <w:rPr>
          <w:rFonts w:hint="eastAsia" w:ascii="仿宋" w:hAnsi="仿宋" w:eastAsia="仿宋" w:cs="仿宋"/>
          <w:kern w:val="0"/>
          <w:sz w:val="32"/>
          <w:szCs w:val="32"/>
          <w:lang w:eastAsia="zh-CN"/>
        </w:rPr>
        <w:t>或者</w:t>
      </w:r>
      <w:r>
        <w:rPr>
          <w:rFonts w:hint="eastAsia" w:ascii="仿宋" w:hAnsi="仿宋" w:eastAsia="仿宋" w:cs="仿宋"/>
          <w:kern w:val="0"/>
          <w:sz w:val="32"/>
          <w:szCs w:val="32"/>
        </w:rPr>
        <w:t>财务指标，应当注明该财务数据或者财务指标未经审计。</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第十七条</w:t>
      </w:r>
      <w:r>
        <w:rPr>
          <w:rFonts w:hint="eastAsia" w:ascii="仿宋" w:hAnsi="仿宋" w:eastAsia="仿宋" w:cs="仿宋"/>
          <w:sz w:val="32"/>
          <w:szCs w:val="32"/>
        </w:rPr>
        <w:t xml:space="preserve"> 信息披露义务人应当在其编制的临时报告中声明“保证本报告的真实、准确、完整，不存在虚假记载、误导性陈述或者重大遗漏，并承担相应的法律责任”。</w:t>
      </w:r>
    </w:p>
    <w:p>
      <w:pPr>
        <w:spacing w:line="560" w:lineRule="exact"/>
        <w:ind w:firstLine="643" w:firstLineChars="200"/>
        <w:contextualSpacing/>
        <w:rPr>
          <w:rFonts w:ascii="仿宋" w:hAnsi="仿宋" w:eastAsia="仿宋" w:cs="仿宋"/>
          <w:sz w:val="32"/>
          <w:szCs w:val="32"/>
        </w:rPr>
      </w:pPr>
      <w:r>
        <w:rPr>
          <w:rFonts w:hint="eastAsia" w:ascii="仿宋" w:hAnsi="仿宋" w:eastAsia="仿宋" w:cs="仿宋"/>
          <w:b/>
          <w:sz w:val="32"/>
          <w:szCs w:val="32"/>
        </w:rPr>
        <w:t>第十八条</w:t>
      </w:r>
      <w:r>
        <w:rPr>
          <w:rFonts w:hint="eastAsia" w:ascii="仿宋" w:hAnsi="仿宋" w:eastAsia="仿宋" w:cs="仿宋"/>
          <w:sz w:val="32"/>
          <w:szCs w:val="32"/>
        </w:rPr>
        <w:t xml:space="preserve"> 已披露信息出现错误、遗漏或者误导等情形的，信息披露义务人应当及时披露补充或者更正公告，说明原因、补充或者更正事项、具体影响等。</w:t>
      </w:r>
    </w:p>
    <w:p>
      <w:pPr>
        <w:pStyle w:val="22"/>
        <w:spacing w:line="560" w:lineRule="exact"/>
      </w:pPr>
      <w:bookmarkStart w:id="11" w:name="_Toc8425"/>
      <w:bookmarkStart w:id="12" w:name="_Toc121678737"/>
      <w:bookmarkStart w:id="13" w:name="_Toc28873"/>
      <w:bookmarkStart w:id="14" w:name="_Toc779"/>
      <w:bookmarkStart w:id="15" w:name="_Toc9056"/>
      <w:r>
        <w:rPr>
          <w:rFonts w:hint="eastAsia"/>
        </w:rPr>
        <w:t>第三章</w:t>
      </w:r>
      <w:r>
        <w:t xml:space="preserve"> </w:t>
      </w:r>
      <w:r>
        <w:rPr>
          <w:rFonts w:hint="eastAsia"/>
        </w:rPr>
        <w:t>重大事项信息披露</w:t>
      </w:r>
      <w:bookmarkEnd w:id="11"/>
      <w:bookmarkEnd w:id="12"/>
      <w:bookmarkEnd w:id="13"/>
      <w:bookmarkEnd w:id="14"/>
      <w:bookmarkEnd w:id="15"/>
    </w:p>
    <w:p>
      <w:pPr>
        <w:pStyle w:val="3"/>
        <w:spacing w:line="560" w:lineRule="exact"/>
      </w:pPr>
      <w:bookmarkStart w:id="16" w:name="_Toc19589"/>
      <w:bookmarkStart w:id="17" w:name="_Toc121678738"/>
      <w:bookmarkStart w:id="18" w:name="_Toc7313"/>
      <w:bookmarkStart w:id="19" w:name="_Toc7542"/>
      <w:bookmarkStart w:id="20" w:name="_Toc24810"/>
      <w:r>
        <w:rPr>
          <w:rFonts w:hint="eastAsia"/>
        </w:rPr>
        <w:t>第一节 与专项计划资产或者现金流相关的重大事项</w:t>
      </w:r>
      <w:bookmarkEnd w:id="16"/>
      <w:bookmarkEnd w:id="17"/>
      <w:bookmarkEnd w:id="18"/>
      <w:bookmarkEnd w:id="19"/>
      <w:bookmarkEnd w:id="20"/>
    </w:p>
    <w:p>
      <w:pPr>
        <w:autoSpaceDE w:val="0"/>
        <w:autoSpaceDN w:val="0"/>
        <w:adjustRightInd w:val="0"/>
        <w:spacing w:line="560" w:lineRule="exact"/>
        <w:ind w:firstLine="643" w:firstLineChars="200"/>
        <w:jc w:val="both"/>
        <w:rPr>
          <w:rFonts w:ascii="仿宋" w:hAnsi="仿宋" w:eastAsia="仿宋" w:cs="仿宋"/>
          <w:kern w:val="0"/>
          <w:sz w:val="32"/>
          <w:szCs w:val="32"/>
        </w:rPr>
      </w:pPr>
      <w:r>
        <w:rPr>
          <w:rFonts w:hint="eastAsia" w:ascii="仿宋" w:hAnsi="仿宋" w:eastAsia="仿宋" w:cs="仿宋"/>
          <w:b/>
          <w:kern w:val="0"/>
          <w:sz w:val="32"/>
          <w:szCs w:val="32"/>
        </w:rPr>
        <w:t>第十九条</w:t>
      </w:r>
      <w:r>
        <w:rPr>
          <w:rFonts w:hint="eastAsia" w:ascii="仿宋" w:hAnsi="仿宋" w:eastAsia="仿宋" w:cs="仿宋"/>
          <w:kern w:val="0"/>
          <w:sz w:val="32"/>
          <w:szCs w:val="32"/>
        </w:rPr>
        <w:t xml:space="preserve"> 任一会计年度内专项计划发生的资产损失累计每超过全部资产支持证券未偿还本金余额10%的，管理人应当于知道或者应当知道之日起2个交易日内披露专项计划资产变动公告，并说明下列事项：</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（一）损失发生时间、原因和金额；</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（二）资产支持证券未偿还本金金额及损失占比；</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（三）损失发生对资产支持证券的影响；</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 xml:space="preserve">（四）管理人及相关主体已采取和拟采取的应对措施。 </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管理人应当于补救措施取得重大进展及后续安排执行完毕等事项发生之日起2个交易日内披露进展情况。</w:t>
      </w:r>
    </w:p>
    <w:p>
      <w:pPr>
        <w:autoSpaceDE w:val="0"/>
        <w:autoSpaceDN w:val="0"/>
        <w:adjustRightInd w:val="0"/>
        <w:spacing w:line="560" w:lineRule="exact"/>
        <w:ind w:firstLine="643" w:firstLineChars="200"/>
        <w:jc w:val="both"/>
        <w:rPr>
          <w:rFonts w:ascii="仿宋" w:hAnsi="仿宋" w:eastAsia="仿宋" w:cs="仿宋"/>
          <w:kern w:val="0"/>
          <w:sz w:val="32"/>
          <w:szCs w:val="32"/>
        </w:rPr>
      </w:pPr>
      <w:r>
        <w:rPr>
          <w:rFonts w:hint="eastAsia" w:ascii="仿宋" w:hAnsi="仿宋" w:eastAsia="仿宋" w:cs="仿宋"/>
          <w:b/>
          <w:kern w:val="0"/>
          <w:sz w:val="32"/>
          <w:szCs w:val="32"/>
        </w:rPr>
        <w:t>第二十条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基础资产运行情况、产生现金流的能力发生重大变化的，管理人应当于知道或者应当知道之日起2个交易日内披露基础资产运行变动公告。</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重大变化对资产支持证券投资者权益产生不利影响的，管理人应当于知道或者应当知道基础资产恢复正常运行、产生现金流的能力恢复正常等事项发生之日起2个交易日内披露进展情况。</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与基础资产运行相关的生产经营设施等发生重大变化的，管理人应当参照本条要求进行信息披露。</w:t>
      </w:r>
    </w:p>
    <w:p>
      <w:pPr>
        <w:autoSpaceDE w:val="0"/>
        <w:autoSpaceDN w:val="0"/>
        <w:adjustRightInd w:val="0"/>
        <w:spacing w:line="560" w:lineRule="exact"/>
        <w:ind w:firstLine="643" w:firstLineChars="200"/>
        <w:jc w:val="both"/>
        <w:rPr>
          <w:rFonts w:ascii="仿宋" w:hAnsi="仿宋" w:eastAsia="仿宋" w:cs="仿宋"/>
          <w:kern w:val="0"/>
          <w:sz w:val="32"/>
          <w:szCs w:val="32"/>
        </w:rPr>
      </w:pPr>
      <w:r>
        <w:rPr>
          <w:rFonts w:hint="eastAsia" w:ascii="仿宋" w:hAnsi="仿宋" w:eastAsia="仿宋" w:cs="仿宋"/>
          <w:b/>
          <w:bCs/>
          <w:kern w:val="0"/>
          <w:sz w:val="32"/>
          <w:szCs w:val="32"/>
        </w:rPr>
        <w:t>第二十一条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管理人按照本指引第二十条披露基础资产运行变动公告的，应当说明下列事项：</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（一）基础资产的基本情况；</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（二）重大变化的基本情况，包括但不限于基础资产数量及金额变化情况，基础资产违约率、逾期率等指标大幅提升情况，不动产资产评估价值大幅下降情况，基础资产质量变化情况，现金流变化情况；</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（三）相关资产评估报告（如有）；</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（四）发生重大变化的具体原因；</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（五）对资产支持证券的影响分析。</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前款所称基础资产的基本情况，包括但不限于基础资产的类型及具体内容。</w:t>
      </w:r>
    </w:p>
    <w:p>
      <w:pPr>
        <w:autoSpaceDE w:val="0"/>
        <w:autoSpaceDN w:val="0"/>
        <w:adjustRightInd w:val="0"/>
        <w:spacing w:line="560" w:lineRule="exact"/>
        <w:ind w:firstLine="643" w:firstLineChars="200"/>
        <w:jc w:val="both"/>
        <w:rPr>
          <w:rFonts w:ascii="仿宋" w:hAnsi="仿宋" w:eastAsia="仿宋" w:cs="仿宋"/>
          <w:kern w:val="0"/>
          <w:sz w:val="32"/>
          <w:szCs w:val="32"/>
        </w:rPr>
      </w:pPr>
      <w:r>
        <w:rPr>
          <w:rFonts w:hint="eastAsia" w:ascii="仿宋" w:hAnsi="仿宋" w:eastAsia="仿宋" w:cs="仿宋"/>
          <w:b/>
          <w:bCs/>
          <w:kern w:val="0"/>
          <w:sz w:val="32"/>
          <w:szCs w:val="32"/>
        </w:rPr>
        <w:t>第二十二条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基础资产在任一预测周期内实际产生的现金流较对应期间的最近一次现金流预测结果下降20%以上，或者最近一次对任一预测周期的现金流预测结果比上一次披露的预测结果下降20%以上的，管理人应当于知道或者应当知道相关事项发生之日起2个交易日内披露基础资产现金流变动公告，并说明下列事项：</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（一）基础资产的基本情况；</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（二）基础资产现金流变化的具体情况，包括实际产生的现金流金额和对应的现金流预测结果及其变动比率，或者最近一次和上一次现金流预测结果及其变动比率等；</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（三）修正后的现金流预测报告（如有）；</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（四）现金流减少的具体原因；</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（五）对资产支持证券的影响分析；</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（六）管理人和相关主体已采取和拟采取的应对措施。</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管理人应当于知道或者应当知道应对措施取得重大进展之日起2个交易日内披露进展情况。</w:t>
      </w:r>
      <w:r>
        <w:rPr>
          <w:rFonts w:hint="eastAsia" w:ascii="仿宋" w:hAnsi="仿宋" w:eastAsia="仿宋" w:cs="仿宋"/>
          <w:b/>
          <w:bCs/>
          <w:kern w:val="0"/>
          <w:sz w:val="32"/>
          <w:szCs w:val="32"/>
        </w:rPr>
        <w:t xml:space="preserve"> </w:t>
      </w:r>
    </w:p>
    <w:p>
      <w:pPr>
        <w:autoSpaceDE w:val="0"/>
        <w:autoSpaceDN w:val="0"/>
        <w:adjustRightInd w:val="0"/>
        <w:spacing w:line="560" w:lineRule="exact"/>
        <w:ind w:firstLine="643" w:firstLineChars="200"/>
        <w:jc w:val="both"/>
        <w:rPr>
          <w:rFonts w:ascii="仿宋" w:hAnsi="仿宋" w:eastAsia="仿宋" w:cs="仿宋"/>
          <w:kern w:val="0"/>
          <w:sz w:val="32"/>
          <w:szCs w:val="32"/>
        </w:rPr>
      </w:pPr>
      <w:r>
        <w:rPr>
          <w:rFonts w:hint="eastAsia" w:ascii="仿宋" w:hAnsi="仿宋" w:eastAsia="仿宋" w:cs="仿宋"/>
          <w:b/>
          <w:bCs/>
          <w:kern w:val="0"/>
          <w:sz w:val="32"/>
          <w:szCs w:val="32"/>
        </w:rPr>
        <w:t>第二十三条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专项计划文件约定在专项计划设立后完成基础资产及其相关资产抵质押登记、解除相关资产权利负担或者业务参与人承诺履行其他事项的，管理人应当于约定或者承诺履行期间届满之日起2个交易日内披露专项计划约定或者承诺事项履行公告，并说明下列事项：</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（一）约定或者承诺事项内容及其履行情况；</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（二）未完成约定或者承诺事项的原因（如有）；</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（三）对资产支持证券的影响分析；</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（四）约定或者承诺事项未完成时，管理人和相关主体已采取和拟采取的应对措施（如有）。</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约定或者承诺事项未完成的，管理人应当于相关约定或者承诺事项履行发生重大进展之日起2个交易日内披露进展情况。</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第二十四条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基础资产权属发生变化或者争议、被设置权利负担或者其他权利限制，管理人应当于知道或者应当知道相关事项发生之日起2个交易日内披露基础资产权属变</w:t>
      </w:r>
      <w:r>
        <w:rPr>
          <w:rFonts w:hint="eastAsia" w:ascii="仿宋" w:hAnsi="仿宋" w:eastAsia="仿宋" w:cs="仿宋"/>
          <w:kern w:val="0"/>
          <w:sz w:val="32"/>
          <w:szCs w:val="32"/>
          <w:lang w:eastAsia="zh-CN"/>
        </w:rPr>
        <w:t>化</w:t>
      </w:r>
      <w:r>
        <w:rPr>
          <w:rFonts w:hint="eastAsia" w:ascii="仿宋" w:hAnsi="仿宋" w:eastAsia="仿宋" w:cs="仿宋"/>
          <w:kern w:val="0"/>
          <w:sz w:val="32"/>
          <w:szCs w:val="32"/>
        </w:rPr>
        <w:t xml:space="preserve">或者权利受限公告，并说明下列事项： </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（一）基础资产权属发生变化或者争议的情况，所涉资产金额及占比；</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（二）基础资产原权利受限情况、新增受限权利种类、权利人基本信息、受限资产金额及占比；</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（三）基础资产权属发生变化或者争议、被设置权利负担或者其他权利限制的原因；</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（四）有权决策机构的决策情况；</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（五）是否符合专项计划文件约定；</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（六）对资产支持证券的影响分析；</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（七）管理人和相关主体已采取和拟采取的应对措施。</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管理人应当于知道或者应当知道基础资产权属变</w:t>
      </w:r>
      <w:r>
        <w:rPr>
          <w:rFonts w:hint="eastAsia" w:ascii="仿宋" w:hAnsi="仿宋" w:eastAsia="仿宋" w:cs="仿宋"/>
          <w:kern w:val="0"/>
          <w:sz w:val="32"/>
          <w:szCs w:val="32"/>
          <w:lang w:eastAsia="zh-CN"/>
        </w:rPr>
        <w:t>化</w:t>
      </w:r>
      <w:r>
        <w:rPr>
          <w:rFonts w:hint="eastAsia" w:ascii="仿宋" w:hAnsi="仿宋" w:eastAsia="仿宋" w:cs="仿宋"/>
          <w:kern w:val="0"/>
          <w:sz w:val="32"/>
          <w:szCs w:val="32"/>
        </w:rPr>
        <w:t>或者权利受限事项应对措施</w:t>
      </w:r>
      <w:r>
        <w:rPr>
          <w:rFonts w:hint="eastAsia" w:ascii="仿宋" w:hAnsi="仿宋" w:eastAsia="仿宋" w:cs="仿宋"/>
          <w:kern w:val="0"/>
          <w:sz w:val="32"/>
          <w:szCs w:val="32"/>
          <w:lang w:eastAsia="zh-CN"/>
        </w:rPr>
        <w:t>取得</w:t>
      </w:r>
      <w:r>
        <w:rPr>
          <w:rFonts w:hint="eastAsia" w:ascii="仿宋" w:hAnsi="仿宋" w:eastAsia="仿宋" w:cs="仿宋"/>
          <w:kern w:val="0"/>
          <w:sz w:val="32"/>
          <w:szCs w:val="32"/>
        </w:rPr>
        <w:t>重大进展之日起2个交易日内披露进展情况。</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第二十五条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专项计划现金流归集账户因涉及法律纠纷被查封、冻结或者限制使用，或者基础资产现金流出现被滞留、截留、挪用等情况，可能对资产支持证券投资者权益产生重大不利影响的，管理人应当于知道或者应当知道相关事项发生之日起2个交易日内披露专项计划现金流归集情况公告，并说明下列事项：</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（一）现金流归集账户被查封、冻结或者限制使用情况（如有），包括账户名称、发生时间、发生原因、查封冻结或者限制使用机构、归集账户中的资金余额及权利受限金额、截至披露日的进展情况等；</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 xml:space="preserve">（二）现金流被滞留、截留、挪用情况（如有），包括发生时间、发生原因、涉及主体、涉及金额、截至披露日的进展情况等； </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（三）对资产支持证券的影响分析；</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（四）管理人和相关主体已采取或者拟采取的应对措施。</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现金流归集账户被解除查封、冻结或者限制使用，或者现金流被滞留、截留、挪用等情况已改正的，管理人应当于知道或者应当知道相关事项发生之日起2个交易日内及时披露相应的解除或者改正事项。</w:t>
      </w:r>
    </w:p>
    <w:p>
      <w:pPr>
        <w:autoSpaceDE w:val="0"/>
        <w:autoSpaceDN w:val="0"/>
        <w:adjustRightInd w:val="0"/>
        <w:spacing w:line="560" w:lineRule="exact"/>
        <w:ind w:firstLine="643" w:firstLineChars="200"/>
        <w:jc w:val="both"/>
        <w:rPr>
          <w:rFonts w:ascii="仿宋" w:hAnsi="仿宋" w:eastAsia="仿宋" w:cs="仿宋"/>
          <w:kern w:val="0"/>
          <w:sz w:val="32"/>
          <w:szCs w:val="32"/>
        </w:rPr>
      </w:pPr>
      <w:r>
        <w:rPr>
          <w:rFonts w:hint="eastAsia" w:ascii="仿宋" w:hAnsi="仿宋" w:eastAsia="仿宋" w:cs="仿宋"/>
          <w:b/>
          <w:bCs/>
          <w:kern w:val="0"/>
          <w:sz w:val="32"/>
          <w:szCs w:val="32"/>
        </w:rPr>
        <w:t>第二十六条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基础资产发生法律纠纷、可能影响专项计划按时分配收益的，管理人应当于知道或者应当知道相</w:t>
      </w:r>
      <w:r>
        <w:rPr>
          <w:rFonts w:hint="eastAsia" w:ascii="仿宋" w:hAnsi="仿宋" w:eastAsia="仿宋" w:cs="仿宋"/>
          <w:kern w:val="0"/>
          <w:sz w:val="32"/>
          <w:szCs w:val="32"/>
          <w:lang w:eastAsia="zh-CN"/>
        </w:rPr>
        <w:t>关</w:t>
      </w:r>
      <w:r>
        <w:rPr>
          <w:rFonts w:hint="eastAsia" w:ascii="仿宋" w:hAnsi="仿宋" w:eastAsia="仿宋" w:cs="仿宋"/>
          <w:kern w:val="0"/>
          <w:sz w:val="32"/>
          <w:szCs w:val="32"/>
        </w:rPr>
        <w:t>纠纷发生之日起2个交易日内，参照本指引第二十九条披露基础资产法律纠纷公告，并说明涉及法律纠纷基础资产的基本情况。</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第二十七条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专项计划文件约定循环购买基础资产的，管理人应当于每次循环购买完成之日起2个交易日内披露循环购买公告，并说明下列事项：</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（一）本次循环购买的时间和次数、可以用于购买新增基础资产的价款总额、可供购买的基础资产总额；</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（二）实际购买的新增基础资产总额、基础资产买方及卖方、新增基础资产是否均符合合格标准、新增基础资产的购买价款的计算方式及其公允性、循环购买账户资金划转情况；</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（三）新增基础资产的规模（包括未偿本金及利息余额）、笔数、债务人数量、债务人行业分布、利率分布、合同剩余期限分布等特征及新增重要现金流提供方情况等；</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（四）购买完成后基础资产的总规模、笔数、债务人数量、债务人行业分布、利率分布、合同剩余</w:t>
      </w:r>
      <w:r>
        <w:rPr>
          <w:rFonts w:hint="eastAsia" w:ascii="仿宋" w:hAnsi="仿宋" w:eastAsia="仿宋" w:cs="仿宋"/>
          <w:kern w:val="0"/>
          <w:sz w:val="32"/>
          <w:szCs w:val="32"/>
          <w:lang w:eastAsia="zh-CN"/>
        </w:rPr>
        <w:t>期</w:t>
      </w:r>
      <w:r>
        <w:rPr>
          <w:rFonts w:hint="eastAsia" w:ascii="仿宋" w:hAnsi="仿宋" w:eastAsia="仿宋" w:cs="仿宋"/>
          <w:kern w:val="0"/>
          <w:sz w:val="32"/>
          <w:szCs w:val="32"/>
        </w:rPr>
        <w:t>限分布等特征；</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（五）循环购买的条件、程序和确认依据，包括循环购买基础资产的条件、流程，循环购买是否符合专项计划文件的约定；</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（六）律师事务所按照专项计划文件约定对循环购买基础资产真实合法有效性、是否符合合格标准、基础资产转让合法有效性发表的意见。</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循环购买频率高于每季度一次的，管理人可以于每季度前</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个交易日内整体披露上一季度发生的循环购买情况。</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第二十八条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未按照专项计划文件约定进行循环购买或者提前结束循环期的，管理人应当于相关事项发生之日起2个交易日内披露循环购买调整公告，并说明下列事项：</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（一）专项计划关于循环购买的有关约定，包括循环购买频率、涉及主体、循环购买条件及流程、循环期提前结束事件；</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（二）违反循环购买约定或者导致循环期提前结束的具体事件及发生原因；</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（三）截至报告披露时的进展情况；</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（四）对资产支持证券的影响分析。</w:t>
      </w:r>
    </w:p>
    <w:p>
      <w:pPr>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rPr>
        <w:t>管理人应当于违反循环购买约定的行为纠正等事项发生之日起2个交易日内披露进展情况。</w:t>
      </w:r>
    </w:p>
    <w:p>
      <w:pPr>
        <w:pStyle w:val="3"/>
        <w:spacing w:line="560" w:lineRule="exact"/>
      </w:pPr>
      <w:bookmarkStart w:id="21" w:name="_Toc24758"/>
      <w:bookmarkStart w:id="22" w:name="_Toc121678739"/>
      <w:bookmarkStart w:id="23" w:name="_Toc25541"/>
      <w:bookmarkStart w:id="24" w:name="_Toc7873"/>
      <w:bookmarkStart w:id="25" w:name="_Toc4978"/>
      <w:r>
        <w:rPr>
          <w:rFonts w:hint="eastAsia"/>
        </w:rPr>
        <w:t>第二节 与业务参与人相关的重大事项</w:t>
      </w:r>
      <w:bookmarkEnd w:id="21"/>
      <w:bookmarkEnd w:id="22"/>
      <w:bookmarkEnd w:id="23"/>
      <w:bookmarkEnd w:id="24"/>
      <w:bookmarkEnd w:id="25"/>
    </w:p>
    <w:p>
      <w:pPr>
        <w:autoSpaceDE w:val="0"/>
        <w:autoSpaceDN w:val="0"/>
        <w:adjustRightInd w:val="0"/>
        <w:spacing w:line="560" w:lineRule="exact"/>
        <w:ind w:firstLine="643" w:firstLineChars="200"/>
        <w:jc w:val="both"/>
        <w:rPr>
          <w:rFonts w:ascii="仿宋" w:hAnsi="仿宋" w:eastAsia="仿宋" w:cs="仿宋"/>
          <w:kern w:val="0"/>
          <w:sz w:val="32"/>
          <w:szCs w:val="32"/>
        </w:rPr>
      </w:pPr>
      <w:r>
        <w:rPr>
          <w:rFonts w:hint="eastAsia" w:ascii="仿宋" w:hAnsi="仿宋" w:eastAsia="仿宋" w:cs="仿宋"/>
          <w:b/>
          <w:bCs/>
          <w:kern w:val="0"/>
          <w:sz w:val="32"/>
          <w:szCs w:val="32"/>
        </w:rPr>
        <w:t>第二十九条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管理人、托管人、特定原始权益人及其他现金流参与人等发生法律纠纷、可能影响专项计划按时分配收益的，管理人应当于知道或者应当知道相</w:t>
      </w:r>
      <w:r>
        <w:rPr>
          <w:rFonts w:hint="eastAsia" w:ascii="仿宋" w:hAnsi="仿宋" w:eastAsia="仿宋" w:cs="仿宋"/>
          <w:kern w:val="0"/>
          <w:sz w:val="32"/>
          <w:szCs w:val="32"/>
          <w:lang w:eastAsia="zh-CN"/>
        </w:rPr>
        <w:t>关</w:t>
      </w:r>
      <w:r>
        <w:rPr>
          <w:rFonts w:hint="eastAsia" w:ascii="仿宋" w:hAnsi="仿宋" w:eastAsia="仿宋" w:cs="仿宋"/>
          <w:kern w:val="0"/>
          <w:sz w:val="32"/>
          <w:szCs w:val="32"/>
        </w:rPr>
        <w:t>纠纷发生之日起2个交易日内披露</w:t>
      </w:r>
      <w:r>
        <w:rPr>
          <w:rFonts w:hint="eastAsia" w:ascii="仿宋" w:hAnsi="仿宋" w:eastAsia="仿宋" w:cs="仿宋"/>
          <w:kern w:val="0"/>
          <w:sz w:val="32"/>
          <w:szCs w:val="32"/>
          <w:lang w:eastAsia="zh-CN"/>
        </w:rPr>
        <w:t>相关主体</w:t>
      </w:r>
      <w:r>
        <w:rPr>
          <w:rFonts w:hint="eastAsia" w:ascii="仿宋" w:hAnsi="仿宋" w:eastAsia="仿宋" w:cs="仿宋"/>
          <w:kern w:val="0"/>
          <w:sz w:val="32"/>
          <w:szCs w:val="32"/>
        </w:rPr>
        <w:t>涉及法律纠纷公告，并说明下列事项：</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（一）涉及法律纠纷的</w:t>
      </w:r>
      <w:r>
        <w:rPr>
          <w:rFonts w:hint="eastAsia" w:ascii="仿宋" w:hAnsi="仿宋" w:eastAsia="仿宋" w:cs="仿宋"/>
          <w:kern w:val="0"/>
          <w:sz w:val="32"/>
          <w:szCs w:val="32"/>
          <w:lang w:eastAsia="zh-CN"/>
        </w:rPr>
        <w:t>主体</w:t>
      </w:r>
      <w:r>
        <w:rPr>
          <w:rFonts w:hint="eastAsia" w:ascii="仿宋" w:hAnsi="仿宋" w:eastAsia="仿宋" w:cs="仿宋"/>
          <w:kern w:val="0"/>
          <w:sz w:val="32"/>
          <w:szCs w:val="32"/>
        </w:rPr>
        <w:t xml:space="preserve">名称和职责； </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（二）法律纠纷的具体情况，包括法律纠纷的案件当事人、案由、涉案原因、案件进展、涉案金额等；</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（三）对资产支持证券的影响分析；</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（四）管理人和相关主体已采取和拟采取的应对措施。</w:t>
      </w:r>
    </w:p>
    <w:p>
      <w:pPr>
        <w:spacing w:line="560" w:lineRule="exact"/>
        <w:ind w:firstLine="640" w:firstLineChars="200"/>
        <w:rPr>
          <w:rFonts w:ascii="仿宋" w:hAnsi="仿宋" w:eastAsia="仿宋" w:cs="仿宋"/>
          <w:color w:val="FF0000"/>
          <w:kern w:val="0"/>
          <w:sz w:val="32"/>
          <w:szCs w:val="32"/>
        </w:rPr>
      </w:pPr>
      <w:r>
        <w:rPr>
          <w:rFonts w:hint="eastAsia" w:ascii="仿宋" w:hAnsi="仿宋" w:eastAsia="仿宋" w:cs="仿宋"/>
          <w:kern w:val="0"/>
          <w:sz w:val="32"/>
          <w:szCs w:val="32"/>
        </w:rPr>
        <w:t>管理人应当按照分阶段披露原则，于知道或者应当知道相</w:t>
      </w:r>
      <w:r>
        <w:rPr>
          <w:rFonts w:hint="eastAsia" w:ascii="仿宋" w:hAnsi="仿宋" w:eastAsia="仿宋" w:cs="仿宋"/>
          <w:kern w:val="0"/>
          <w:sz w:val="32"/>
          <w:szCs w:val="32"/>
          <w:lang w:eastAsia="zh-CN"/>
        </w:rPr>
        <w:t>关</w:t>
      </w:r>
      <w:r>
        <w:rPr>
          <w:rFonts w:hint="eastAsia" w:ascii="仿宋" w:hAnsi="仿宋" w:eastAsia="仿宋" w:cs="仿宋"/>
          <w:kern w:val="0"/>
          <w:sz w:val="32"/>
          <w:szCs w:val="32"/>
        </w:rPr>
        <w:t>法律纠纷发生重大进展之日起2个交易日内披露进展情况。</w:t>
      </w:r>
    </w:p>
    <w:p>
      <w:pPr>
        <w:autoSpaceDE w:val="0"/>
        <w:autoSpaceDN w:val="0"/>
        <w:adjustRightInd w:val="0"/>
        <w:spacing w:line="560" w:lineRule="exact"/>
        <w:ind w:firstLine="643" w:firstLineChars="200"/>
        <w:jc w:val="both"/>
        <w:rPr>
          <w:rFonts w:ascii="仿宋" w:hAnsi="仿宋" w:eastAsia="仿宋" w:cs="仿宋"/>
          <w:kern w:val="0"/>
          <w:sz w:val="32"/>
          <w:szCs w:val="32"/>
        </w:rPr>
      </w:pPr>
      <w:r>
        <w:rPr>
          <w:rFonts w:hint="eastAsia" w:ascii="仿宋" w:hAnsi="仿宋" w:eastAsia="仿宋" w:cs="仿宋"/>
          <w:b/>
          <w:bCs/>
          <w:kern w:val="0"/>
          <w:sz w:val="32"/>
          <w:szCs w:val="32"/>
        </w:rPr>
        <w:t>第三十条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管理人、托管人、现金流参与人、监管银行等违反专项计划文件约定，对资产支持证券投资者权益产生不利影响的，管理人应当于知道或者应当知道相关事项发生之日起2个交易日内披露</w:t>
      </w:r>
      <w:r>
        <w:rPr>
          <w:rFonts w:hint="eastAsia" w:ascii="仿宋" w:hAnsi="仿宋" w:eastAsia="仿宋" w:cs="仿宋"/>
          <w:kern w:val="0"/>
          <w:sz w:val="32"/>
          <w:szCs w:val="32"/>
          <w:lang w:eastAsia="zh-CN"/>
        </w:rPr>
        <w:t>相关主体</w:t>
      </w:r>
      <w:r>
        <w:rPr>
          <w:rFonts w:hint="eastAsia" w:ascii="仿宋" w:hAnsi="仿宋" w:eastAsia="仿宋" w:cs="仿宋"/>
          <w:kern w:val="0"/>
          <w:sz w:val="32"/>
          <w:szCs w:val="32"/>
        </w:rPr>
        <w:t>违反专项计划文件约定公告，</w:t>
      </w:r>
      <w:r>
        <w:rPr>
          <w:rFonts w:hint="eastAsia" w:ascii="仿宋" w:hAnsi="仿宋" w:eastAsia="仿宋" w:cs="仿宋"/>
          <w:bCs/>
          <w:kern w:val="0"/>
          <w:sz w:val="32"/>
          <w:szCs w:val="32"/>
        </w:rPr>
        <w:t>并说明</w:t>
      </w:r>
      <w:r>
        <w:rPr>
          <w:rFonts w:hint="eastAsia" w:ascii="仿宋" w:hAnsi="仿宋" w:eastAsia="仿宋" w:cs="仿宋"/>
          <w:kern w:val="0"/>
          <w:sz w:val="32"/>
          <w:szCs w:val="32"/>
        </w:rPr>
        <w:t>下列事项：</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（一）违反约定的</w:t>
      </w:r>
      <w:r>
        <w:rPr>
          <w:rFonts w:hint="eastAsia" w:ascii="仿宋" w:hAnsi="仿宋" w:eastAsia="仿宋" w:cs="仿宋"/>
          <w:kern w:val="0"/>
          <w:sz w:val="32"/>
          <w:szCs w:val="32"/>
          <w:lang w:eastAsia="zh-CN"/>
        </w:rPr>
        <w:t>主体</w:t>
      </w:r>
      <w:r>
        <w:rPr>
          <w:rFonts w:hint="eastAsia" w:ascii="仿宋" w:hAnsi="仿宋" w:eastAsia="仿宋" w:cs="仿宋"/>
          <w:kern w:val="0"/>
          <w:sz w:val="32"/>
          <w:szCs w:val="32"/>
        </w:rPr>
        <w:t>名称和职责；</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（二）违反约定的基本情况，包括约定的相关内容、违反约定的原因及具体情况；</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（三）违约责任的承担方式和承担情况；</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（四）对资产支持证券的影响分析；</w:t>
      </w:r>
    </w:p>
    <w:p>
      <w:pPr>
        <w:spacing w:line="560" w:lineRule="exact"/>
        <w:ind w:firstLine="640" w:firstLineChars="200"/>
        <w:rPr>
          <w:rFonts w:ascii="仿宋" w:hAnsi="仿宋" w:eastAsia="仿宋" w:cs="仿宋"/>
          <w:color w:val="FF0000"/>
          <w:kern w:val="0"/>
          <w:sz w:val="32"/>
          <w:szCs w:val="32"/>
        </w:rPr>
      </w:pPr>
      <w:r>
        <w:rPr>
          <w:rFonts w:hint="eastAsia" w:ascii="仿宋" w:hAnsi="仿宋" w:eastAsia="仿宋" w:cs="仿宋"/>
          <w:kern w:val="0"/>
          <w:sz w:val="32"/>
          <w:szCs w:val="32"/>
        </w:rPr>
        <w:t>（五）管理人和其他主体已采取和拟采取的应对措施。</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管理人应当于知道或者应当知道后续应对措施取得重大进展之日起2个交易日内披露进展情况。</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前款所称专项计划文件约定包括专项计划收益分配安排、循环购买安排、资金保管使用安排、风险隔离措施、增信措施、基础资产合格标准、持有人会议安排等条款的约定。</w:t>
      </w:r>
    </w:p>
    <w:p>
      <w:pPr>
        <w:autoSpaceDE w:val="0"/>
        <w:autoSpaceDN w:val="0"/>
        <w:adjustRightInd w:val="0"/>
        <w:spacing w:line="560" w:lineRule="exact"/>
        <w:ind w:firstLine="643" w:firstLineChars="200"/>
        <w:jc w:val="both"/>
        <w:rPr>
          <w:rFonts w:ascii="仿宋" w:hAnsi="仿宋" w:eastAsia="仿宋" w:cs="仿宋"/>
          <w:kern w:val="0"/>
          <w:sz w:val="32"/>
          <w:szCs w:val="32"/>
        </w:rPr>
      </w:pPr>
      <w:r>
        <w:rPr>
          <w:rFonts w:hint="eastAsia" w:ascii="仿宋" w:hAnsi="仿宋" w:eastAsia="仿宋" w:cs="仿宋"/>
          <w:b/>
          <w:bCs/>
          <w:kern w:val="0"/>
          <w:sz w:val="32"/>
          <w:szCs w:val="32"/>
        </w:rPr>
        <w:t>第三十一条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管理人、托管人、现金流参与人等变更的，管理人应当于知道或者应当知道相关变更事项生效之日起2个交易日内披露</w:t>
      </w:r>
      <w:r>
        <w:rPr>
          <w:rFonts w:hint="eastAsia" w:ascii="仿宋" w:hAnsi="仿宋" w:eastAsia="仿宋" w:cs="仿宋"/>
          <w:kern w:val="0"/>
          <w:sz w:val="32"/>
          <w:szCs w:val="32"/>
          <w:lang w:eastAsia="zh-CN"/>
        </w:rPr>
        <w:t>相关主体</w:t>
      </w:r>
      <w:r>
        <w:rPr>
          <w:rFonts w:hint="eastAsia" w:ascii="仿宋" w:hAnsi="仿宋" w:eastAsia="仿宋" w:cs="仿宋"/>
          <w:kern w:val="0"/>
          <w:sz w:val="32"/>
          <w:szCs w:val="32"/>
        </w:rPr>
        <w:t>变更公告，并说明下列事项：</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（一）变更涉及的主体名称，涉及多个主体变更的，应当分别说明对应关系；</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（二）变更的原因、变更生效时间；</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（三）有权决策机构的决策情况、相关协议签署情况；</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（四）是否符合规定和约定；</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（五）变更后主体的基本信息及其相应执业资格（如有）；</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（六）变更后主体的主要职责；</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（七）工作移交情况或者移交安排；</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（八）对资产支持证券的影响分析。</w:t>
      </w:r>
    </w:p>
    <w:p>
      <w:pPr>
        <w:autoSpaceDE w:val="0"/>
        <w:autoSpaceDN w:val="0"/>
        <w:adjustRightInd w:val="0"/>
        <w:spacing w:line="560" w:lineRule="exact"/>
        <w:ind w:firstLine="643" w:firstLineChars="200"/>
        <w:jc w:val="both"/>
        <w:rPr>
          <w:rFonts w:ascii="仿宋" w:hAnsi="仿宋" w:eastAsia="仿宋" w:cs="仿宋"/>
          <w:kern w:val="0"/>
          <w:sz w:val="32"/>
          <w:szCs w:val="32"/>
        </w:rPr>
      </w:pPr>
      <w:r>
        <w:rPr>
          <w:rFonts w:hint="eastAsia" w:ascii="仿宋" w:hAnsi="仿宋" w:eastAsia="仿宋" w:cs="仿宋"/>
          <w:b/>
          <w:bCs/>
          <w:kern w:val="0"/>
          <w:sz w:val="32"/>
          <w:szCs w:val="32"/>
        </w:rPr>
        <w:t>第三十二条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管理人、托管人、特定原始权益人及其他现金流参与人等信用评级或者评级展望发生调整、被列入信用观察名单，可能影响资产支持证券投资者权益的，管理人应当于知道或者应当知道相关事项发生之日起2个交易日内披露</w:t>
      </w:r>
      <w:r>
        <w:rPr>
          <w:rFonts w:hint="eastAsia" w:ascii="仿宋" w:hAnsi="仿宋" w:eastAsia="仿宋" w:cs="仿宋"/>
          <w:kern w:val="0"/>
          <w:sz w:val="32"/>
          <w:szCs w:val="32"/>
          <w:lang w:eastAsia="zh-CN"/>
        </w:rPr>
        <w:t>相关主体</w:t>
      </w:r>
      <w:r>
        <w:rPr>
          <w:rFonts w:hint="eastAsia" w:ascii="仿宋" w:hAnsi="仿宋" w:eastAsia="仿宋" w:cs="仿宋"/>
          <w:kern w:val="0"/>
          <w:sz w:val="32"/>
          <w:szCs w:val="32"/>
        </w:rPr>
        <w:t>信用评级调整公告，并说明下列事项：</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（一）评级调整所涉主体的名称及其职责；</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（二）评级机构名称、评级调整时间、调整前后的评级结论；</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（三）评级调整的原因；</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（四）评级调整对相关主体的履约能力和资产支持证券的影响分析，如出现评级负面调整，管理人还需说明管理人和相关主体针对该项负面因素已采取和拟采取的应对措施。</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第三十三条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市场上出现关于现金流参与人等</w:t>
      </w:r>
      <w:r>
        <w:rPr>
          <w:rFonts w:hint="eastAsia" w:ascii="仿宋" w:hAnsi="仿宋" w:eastAsia="仿宋" w:cs="仿宋"/>
          <w:kern w:val="0"/>
          <w:sz w:val="32"/>
          <w:szCs w:val="32"/>
          <w:lang w:eastAsia="zh-CN"/>
        </w:rPr>
        <w:t>主体</w:t>
      </w:r>
      <w:r>
        <w:rPr>
          <w:rFonts w:hint="eastAsia" w:ascii="仿宋" w:hAnsi="仿宋" w:eastAsia="仿宋" w:cs="仿宋"/>
          <w:kern w:val="0"/>
          <w:sz w:val="32"/>
          <w:szCs w:val="32"/>
        </w:rPr>
        <w:t>的重大不利报道或者负面市场传闻，可能影响资产支持证券投资者权益的，管理人应当于知道或者应当知道相关报道或者市场传闻之日起2个交易日内发布报道或者市场传闻说明公告，并说明下列事项：</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（一）报道或者市场传闻涉及的主体名称及其职责；</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（二）报道或者市场传闻的主要内容；</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（三）对报道或者市场传闻的核实情况或者截至</w:t>
      </w:r>
      <w:r>
        <w:rPr>
          <w:rFonts w:hint="eastAsia" w:ascii="仿宋" w:hAnsi="仿宋" w:eastAsia="仿宋" w:cs="仿宋"/>
          <w:kern w:val="0"/>
          <w:sz w:val="32"/>
          <w:szCs w:val="32"/>
          <w:lang w:eastAsia="zh-CN"/>
        </w:rPr>
        <w:t>报告披露时</w:t>
      </w:r>
      <w:r>
        <w:rPr>
          <w:rFonts w:hint="eastAsia" w:ascii="仿宋" w:hAnsi="仿宋" w:eastAsia="仿宋" w:cs="仿宋"/>
          <w:kern w:val="0"/>
          <w:sz w:val="32"/>
          <w:szCs w:val="32"/>
        </w:rPr>
        <w:t>的核实进展；</w:t>
      </w:r>
    </w:p>
    <w:p>
      <w:pPr>
        <w:autoSpaceDE w:val="0"/>
        <w:autoSpaceDN w:val="0"/>
        <w:adjustRightInd w:val="0"/>
        <w:spacing w:line="560" w:lineRule="exact"/>
        <w:ind w:firstLine="640" w:firstLineChars="200"/>
        <w:jc w:val="both"/>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kern w:val="0"/>
          <w:sz w:val="32"/>
          <w:szCs w:val="32"/>
        </w:rPr>
        <w:t>（四）是否存</w:t>
      </w:r>
      <w:r>
        <w:rPr>
          <w:rFonts w:hint="eastAsia" w:ascii="仿宋" w:hAnsi="仿宋" w:eastAsia="仿宋" w:cs="仿宋"/>
          <w:color w:val="000000" w:themeColor="text1"/>
          <w:kern w:val="0"/>
          <w:sz w:val="32"/>
          <w:szCs w:val="32"/>
          <w14:textFill>
            <w14:solidFill>
              <w14:schemeClr w14:val="tx1"/>
            </w14:solidFill>
          </w14:textFill>
        </w:rPr>
        <w:t>在应当披露而未披露事项；</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（五）对资产支持证券的影响分析。</w:t>
      </w:r>
    </w:p>
    <w:p>
      <w:pPr>
        <w:spacing w:line="560" w:lineRule="exact"/>
        <w:ind w:firstLine="640" w:firstLineChars="200"/>
        <w:rPr>
          <w:rFonts w:ascii="仿宋" w:hAnsi="仿宋" w:eastAsia="仿宋" w:cs="仿宋"/>
          <w:color w:val="FF0000"/>
          <w:kern w:val="0"/>
          <w:sz w:val="32"/>
          <w:szCs w:val="32"/>
        </w:rPr>
      </w:pPr>
      <w:r>
        <w:rPr>
          <w:rFonts w:hint="eastAsia" w:ascii="仿宋" w:hAnsi="仿宋" w:eastAsia="仿宋" w:cs="仿宋"/>
          <w:kern w:val="0"/>
          <w:sz w:val="32"/>
          <w:szCs w:val="32"/>
        </w:rPr>
        <w:t>报道或者市场传闻需要进一步核实的，管理人应当自核实事项发生重大进展之日起2个交易日内披露进展情况。</w:t>
      </w:r>
    </w:p>
    <w:p>
      <w:pPr>
        <w:spacing w:line="560" w:lineRule="exact"/>
        <w:ind w:firstLine="602"/>
        <w:rPr>
          <w:rFonts w:ascii="仿宋" w:hAnsi="仿宋" w:eastAsia="仿宋" w:cs="仿宋"/>
          <w:sz w:val="32"/>
          <w:szCs w:val="32"/>
        </w:rPr>
      </w:pPr>
      <w:r>
        <w:rPr>
          <w:rFonts w:hint="eastAsia" w:ascii="仿宋" w:hAnsi="仿宋" w:eastAsia="仿宋" w:cs="仿宋"/>
          <w:b/>
          <w:bCs/>
          <w:kern w:val="0"/>
          <w:sz w:val="32"/>
          <w:szCs w:val="32"/>
        </w:rPr>
        <w:t>第三十四条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管理人、托管人、特定原始权益人及其他现金流参与人等发生经营方针或者经营范围的重大变化、法律政策或者重大灾害导致的经营外部条件的重大变化、盈利和偿债能力的重大变化等事项，可能影响资产支持证券投资者权益的，管理人应当于知道或者应当知道相关事项发生之日起2个交易日内披露经营情况发生重大变化公告，说明下列事项，并持续披露重大事项进展公告：</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（一）经营情况发生重大变化的主体名称及其职责；</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（二）经营情况发生重大变化的具体情况及发生原因；</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（三）重大变化的预计持续时间；</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（四）对资产支持证券的影响分析。</w:t>
      </w:r>
    </w:p>
    <w:p>
      <w:pPr>
        <w:autoSpaceDE w:val="0"/>
        <w:autoSpaceDN w:val="0"/>
        <w:adjustRightInd w:val="0"/>
        <w:spacing w:line="56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第三十五条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管理人、托管人、特定原始权益人及其他现金流参与人等被列为失信被执行人，受到刑事处罚、重大行政处罚或者被立案调查，发生金额占上年末合并口径净资产的5%以上且超过5000万元的债务违约或者其他资信状况的重大变化，可能影响资产支持证券投资者权益的，或者发生公开市场债务违约</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，管理人应当于知道或者应当知道相关事项发生之日起2个交易日内披露资信情况发生重大变化公告，并说明下列事项：</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（一）被列为失信被执行人的，披露导致被列为失信被执行人的案件情况，包括案件当事人、案由、涉案原因、案件进展、涉案金额、作出相应裁定的法院、所涉主体知道上述事项的时间；</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（二）受到刑事处罚、重大行政处罚或者被立案调查的，披露处罚调查机构、处罚调查事由、处罚调查时间、处罚结果、所涉主体知道上述事项的时间；</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（三）债务违约的，披露债务基本情况、违约时间、违约金额、违约原因、处置进展、所涉主体目前的资信情况；</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（四）对资产支持证券的影响分析；</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（五）管理人和相关主体已采取和拟采取的应对措施。</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管理人应当于知道或者应当知道相关处罚履行完毕、失信被执行人解除、债务违约处置取得重大进展等事项发生之日起2个交易日内披露进展情况。</w:t>
      </w:r>
    </w:p>
    <w:p>
      <w:pPr>
        <w:autoSpaceDE w:val="0"/>
        <w:autoSpaceDN w:val="0"/>
        <w:adjustRightInd w:val="0"/>
        <w:spacing w:line="56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第三十六条</w:t>
      </w:r>
      <w:r>
        <w:rPr>
          <w:rFonts w:hint="eastAsia" w:ascii="仿宋" w:hAnsi="仿宋" w:eastAsia="仿宋" w:cs="仿宋"/>
          <w:b/>
          <w:bCs/>
          <w:kern w:val="0"/>
          <w:sz w:val="32"/>
          <w:szCs w:val="32"/>
          <w:lang w:val="en-US" w:eastAsia="zh-CN"/>
        </w:rPr>
        <w:t xml:space="preserve"> </w:t>
      </w:r>
      <w:r>
        <w:rPr>
          <w:rFonts w:hint="eastAsia" w:ascii="仿宋" w:hAnsi="仿宋" w:eastAsia="仿宋" w:cs="仿宋"/>
          <w:kern w:val="0"/>
          <w:sz w:val="32"/>
          <w:szCs w:val="32"/>
        </w:rPr>
        <w:t>管理人、托管人、特定原始权益人及其他现金流参与人等作出减资、合并、分立等决定，可能影响资产支持证券投资者权益的，或者作出解散决定、出现破产事由的，管理人应当于知道或者应当知道相关事项发生之日起2个交易日内披露主体变动报告，并说明下列事项：</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（一）减资、合并、分立、解散、破产的主体、实施原因及实施依据；</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（二）减资、合并、分立、解散、破产的具体实施方案；</w:t>
      </w:r>
    </w:p>
    <w:p>
      <w:pPr>
        <w:autoSpaceDE w:val="0"/>
        <w:autoSpaceDN w:val="0"/>
        <w:adjustRightInd w:val="0"/>
        <w:spacing w:line="560" w:lineRule="exact"/>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（三）所涉主体职责的承继情况（如有）；</w:t>
      </w:r>
    </w:p>
    <w:p>
      <w:pPr>
        <w:autoSpaceDE w:val="0"/>
        <w:autoSpaceDN w:val="0"/>
        <w:adjustRightIn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（四）有权决策机构的决策情况；</w:t>
      </w:r>
    </w:p>
    <w:p>
      <w:pPr>
        <w:autoSpaceDE w:val="0"/>
        <w:autoSpaceDN w:val="0"/>
        <w:adjustRightIn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（五）工商或者产权变更登记情况（如有）；</w:t>
      </w:r>
    </w:p>
    <w:p>
      <w:pPr>
        <w:autoSpaceDE w:val="0"/>
        <w:autoSpaceDN w:val="0"/>
        <w:adjustRightIn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（六）对资产支持证券的影响分析；</w:t>
      </w:r>
    </w:p>
    <w:p>
      <w:pPr>
        <w:autoSpaceDE w:val="0"/>
        <w:autoSpaceDN w:val="0"/>
        <w:adjustRightIn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（七）管理人和其他主体已采取和拟采取的应对措施。</w:t>
      </w:r>
    </w:p>
    <w:p>
      <w:pPr>
        <w:autoSpaceDE w:val="0"/>
        <w:autoSpaceDN w:val="0"/>
        <w:adjustRightIn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管理人应当于知道或者应当知道减资、合并、分立、解散、破产等事项发生重大进展之日起2个交易日内披露进展情况。</w:t>
      </w:r>
    </w:p>
    <w:p>
      <w:pPr>
        <w:pStyle w:val="3"/>
        <w:spacing w:line="560" w:lineRule="exact"/>
      </w:pPr>
      <w:bookmarkStart w:id="26" w:name="_Toc13580"/>
      <w:bookmarkStart w:id="27" w:name="_Toc4197"/>
      <w:bookmarkStart w:id="28" w:name="_Toc4887"/>
      <w:bookmarkStart w:id="29" w:name="_Toc16379"/>
      <w:bookmarkStart w:id="30" w:name="_Toc121678740"/>
      <w:r>
        <w:rPr>
          <w:rFonts w:hint="eastAsia"/>
        </w:rPr>
        <w:t>第三节 与资产支持证券相关的重大事项</w:t>
      </w:r>
      <w:bookmarkEnd w:id="26"/>
      <w:bookmarkEnd w:id="27"/>
      <w:bookmarkEnd w:id="28"/>
      <w:bookmarkEnd w:id="29"/>
      <w:bookmarkEnd w:id="30"/>
    </w:p>
    <w:p>
      <w:pPr>
        <w:autoSpaceDE w:val="0"/>
        <w:autoSpaceDN w:val="0"/>
        <w:adjustRightInd w:val="0"/>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第三十七</w:t>
      </w:r>
      <w:r>
        <w:rPr>
          <w:rFonts w:ascii="仿宋" w:hAnsi="仿宋" w:eastAsia="仿宋"/>
          <w:b/>
          <w:kern w:val="0"/>
          <w:sz w:val="32"/>
          <w:szCs w:val="32"/>
        </w:rPr>
        <w:t>条</w:t>
      </w:r>
      <w:r>
        <w:rPr>
          <w:rFonts w:hint="eastAsia" w:ascii="仿宋" w:hAnsi="仿宋" w:eastAsia="仿宋"/>
          <w:b/>
          <w:kern w:val="0"/>
          <w:sz w:val="32"/>
          <w:szCs w:val="32"/>
          <w:lang w:val="en-US" w:eastAsia="zh-CN"/>
        </w:rPr>
        <w:t xml:space="preserve"> </w:t>
      </w:r>
      <w:r>
        <w:rPr>
          <w:rFonts w:hint="eastAsia" w:ascii="仿宋" w:hAnsi="仿宋" w:eastAsia="仿宋"/>
          <w:kern w:val="0"/>
          <w:sz w:val="32"/>
          <w:szCs w:val="32"/>
        </w:rPr>
        <w:t>专项计划未按照约定的时间、金额、方式等向投资者分配收益的，管理人应当在相关事项发生之日起2个交易日内披露专项计划收益分配变动公告，并说明下列事项：</w:t>
      </w:r>
    </w:p>
    <w:p>
      <w:pPr>
        <w:autoSpaceDE w:val="0"/>
        <w:autoSpaceDN w:val="0"/>
        <w:adjustRightInd w:val="0"/>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（一）原定的收益分配时间、金额和方式；</w:t>
      </w:r>
    </w:p>
    <w:p>
      <w:pPr>
        <w:autoSpaceDE w:val="0"/>
        <w:autoSpaceDN w:val="0"/>
        <w:adjustRightInd w:val="0"/>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（二）未按照约定分配收益的具体情况和原因；</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（三）对资产支持证券的影响分析；</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（四）管理人和其他主体已采取和拟采取的应对措施，包括但不限于后续资金筹措方案、后续收益分配安排以及投资者赔偿安排（如有）。</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管理人应当在资金筹措或者增信措施落实等事项发生重大进展之日起2个交易日内披露进展情况。</w:t>
      </w:r>
    </w:p>
    <w:p>
      <w:pPr>
        <w:spacing w:line="560" w:lineRule="exact"/>
        <w:ind w:firstLine="643" w:firstLineChars="200"/>
        <w:rPr>
          <w:rFonts w:ascii="仿宋" w:hAnsi="仿宋" w:eastAsia="仿宋"/>
          <w:kern w:val="0"/>
          <w:sz w:val="32"/>
          <w:szCs w:val="32"/>
        </w:rPr>
      </w:pPr>
      <w:r>
        <w:rPr>
          <w:rFonts w:hint="eastAsia" w:ascii="仿宋" w:hAnsi="仿宋" w:eastAsia="仿宋" w:cs="宋体"/>
          <w:b/>
          <w:bCs/>
          <w:kern w:val="0"/>
          <w:sz w:val="32"/>
          <w:szCs w:val="32"/>
        </w:rPr>
        <w:t>第三十八</w:t>
      </w:r>
      <w:r>
        <w:rPr>
          <w:rFonts w:ascii="仿宋" w:hAnsi="仿宋" w:eastAsia="仿宋" w:cs="宋体"/>
          <w:b/>
          <w:bCs/>
          <w:kern w:val="0"/>
          <w:sz w:val="32"/>
          <w:szCs w:val="32"/>
        </w:rPr>
        <w:t>条</w:t>
      </w:r>
      <w:r>
        <w:rPr>
          <w:rFonts w:hint="eastAsia" w:ascii="仿宋" w:hAnsi="仿宋" w:eastAsia="仿宋" w:cs="宋体"/>
          <w:b/>
          <w:bCs/>
          <w:kern w:val="0"/>
          <w:sz w:val="32"/>
          <w:szCs w:val="32"/>
          <w:lang w:val="en-US" w:eastAsia="zh-CN"/>
        </w:rPr>
        <w:t xml:space="preserve"> </w:t>
      </w:r>
      <w:r>
        <w:rPr>
          <w:rFonts w:hint="eastAsia" w:ascii="仿宋" w:hAnsi="仿宋" w:eastAsia="仿宋"/>
          <w:kern w:val="0"/>
          <w:sz w:val="32"/>
          <w:szCs w:val="32"/>
        </w:rPr>
        <w:t>资产支持证券信用评级下调、评级展望发生负面变化或者被列入信用观察名单的，管理人应当于知道或者应当知道相关事项发生之日起2个交易日内披露资产支持证券信用评级发生不利调整公告，并说明下列事项：</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（一）评级调整涉及的证券简称和代码；</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（二）评级机构名称、评级调整时间、调整前后的评级结论；</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（三）评级调整的原因；</w:t>
      </w:r>
    </w:p>
    <w:p>
      <w:pPr>
        <w:autoSpaceDE w:val="0"/>
        <w:autoSpaceDN w:val="0"/>
        <w:adjustRightInd w:val="0"/>
        <w:spacing w:line="560" w:lineRule="exact"/>
        <w:ind w:firstLine="640" w:firstLineChars="200"/>
        <w:jc w:val="both"/>
        <w:rPr>
          <w:rFonts w:ascii="仿宋" w:hAnsi="仿宋" w:eastAsia="仿宋"/>
          <w:kern w:val="0"/>
          <w:sz w:val="32"/>
          <w:szCs w:val="32"/>
        </w:rPr>
      </w:pPr>
      <w:r>
        <w:rPr>
          <w:rFonts w:hint="eastAsia" w:ascii="仿宋" w:hAnsi="仿宋" w:eastAsia="仿宋"/>
          <w:kern w:val="0"/>
          <w:sz w:val="32"/>
          <w:szCs w:val="32"/>
        </w:rPr>
        <w:t>（四）对资产支持证券的影响分析。</w:t>
      </w:r>
    </w:p>
    <w:p>
      <w:pPr>
        <w:autoSpaceDE w:val="0"/>
        <w:autoSpaceDN w:val="0"/>
        <w:adjustRightInd w:val="0"/>
        <w:spacing w:line="560" w:lineRule="exact"/>
        <w:ind w:firstLine="643" w:firstLineChars="200"/>
        <w:jc w:val="both"/>
        <w:rPr>
          <w:rFonts w:ascii="仿宋" w:hAnsi="仿宋" w:eastAsia="仿宋"/>
          <w:kern w:val="0"/>
          <w:sz w:val="32"/>
          <w:szCs w:val="32"/>
        </w:rPr>
      </w:pPr>
      <w:r>
        <w:rPr>
          <w:rFonts w:hint="eastAsia" w:ascii="仿宋" w:hAnsi="仿宋" w:eastAsia="仿宋"/>
          <w:b/>
          <w:kern w:val="0"/>
          <w:sz w:val="32"/>
          <w:szCs w:val="32"/>
        </w:rPr>
        <w:t>第三十九条</w:t>
      </w:r>
      <w:r>
        <w:rPr>
          <w:rFonts w:hint="eastAsia" w:ascii="仿宋" w:hAnsi="仿宋" w:eastAsia="仿宋"/>
          <w:b/>
          <w:kern w:val="0"/>
          <w:sz w:val="32"/>
          <w:szCs w:val="32"/>
          <w:lang w:val="en-US" w:eastAsia="zh-CN"/>
        </w:rPr>
        <w:t xml:space="preserve"> </w:t>
      </w:r>
      <w:r>
        <w:rPr>
          <w:rFonts w:hint="eastAsia" w:ascii="仿宋" w:hAnsi="仿宋" w:eastAsia="仿宋"/>
          <w:kern w:val="0"/>
          <w:sz w:val="32"/>
          <w:szCs w:val="32"/>
        </w:rPr>
        <w:t>资产支持证券基本要素条款、专项计划收益分配、循环购买、资金保管使用安排、风险隔离措施、增信措施、基础资产合格标准和持有人会议安排等专项计划文件的主要约定发生变化的，管理人应当于知道或者应当知道相关事项发生之日起2个交易日内披露专项计划文件主要约定发生变化公告，并说明下列事项：</w:t>
      </w:r>
    </w:p>
    <w:p>
      <w:pPr>
        <w:autoSpaceDE w:val="0"/>
        <w:autoSpaceDN w:val="0"/>
        <w:adjustRightInd w:val="0"/>
        <w:spacing w:line="560" w:lineRule="exact"/>
        <w:ind w:firstLine="640" w:firstLineChars="200"/>
        <w:jc w:val="both"/>
        <w:rPr>
          <w:rFonts w:ascii="仿宋" w:hAnsi="仿宋" w:eastAsia="仿宋"/>
          <w:kern w:val="0"/>
          <w:sz w:val="32"/>
          <w:szCs w:val="32"/>
        </w:rPr>
      </w:pPr>
      <w:r>
        <w:rPr>
          <w:rFonts w:hint="eastAsia" w:ascii="仿宋" w:hAnsi="仿宋" w:eastAsia="仿宋"/>
          <w:kern w:val="0"/>
          <w:sz w:val="32"/>
          <w:szCs w:val="32"/>
        </w:rPr>
        <w:t>（一）变化前后约定的具体内容；</w:t>
      </w:r>
    </w:p>
    <w:p>
      <w:pPr>
        <w:autoSpaceDE w:val="0"/>
        <w:autoSpaceDN w:val="0"/>
        <w:adjustRightInd w:val="0"/>
        <w:spacing w:line="560" w:lineRule="exact"/>
        <w:ind w:firstLine="640" w:firstLineChars="200"/>
        <w:jc w:val="both"/>
        <w:rPr>
          <w:rFonts w:ascii="仿宋" w:hAnsi="仿宋" w:eastAsia="仿宋"/>
          <w:kern w:val="0"/>
          <w:sz w:val="32"/>
          <w:szCs w:val="32"/>
        </w:rPr>
      </w:pPr>
      <w:r>
        <w:rPr>
          <w:rFonts w:hint="eastAsia" w:ascii="仿宋" w:hAnsi="仿宋" w:eastAsia="仿宋"/>
          <w:kern w:val="0"/>
          <w:sz w:val="32"/>
          <w:szCs w:val="32"/>
        </w:rPr>
        <w:t>（二）变化发生原因；</w:t>
      </w:r>
    </w:p>
    <w:p>
      <w:pPr>
        <w:autoSpaceDE w:val="0"/>
        <w:autoSpaceDN w:val="0"/>
        <w:adjustRightInd w:val="0"/>
        <w:spacing w:line="560" w:lineRule="exact"/>
        <w:ind w:firstLine="640" w:firstLineChars="200"/>
        <w:jc w:val="both"/>
        <w:rPr>
          <w:rFonts w:ascii="仿宋" w:hAnsi="仿宋" w:eastAsia="仿宋"/>
          <w:kern w:val="0"/>
          <w:sz w:val="32"/>
          <w:szCs w:val="32"/>
        </w:rPr>
      </w:pPr>
      <w:r>
        <w:rPr>
          <w:rFonts w:hint="eastAsia" w:ascii="仿宋" w:hAnsi="仿宋" w:eastAsia="仿宋"/>
          <w:kern w:val="0"/>
          <w:sz w:val="32"/>
          <w:szCs w:val="32"/>
        </w:rPr>
        <w:t>（三）有权决策机构的决策情况；</w:t>
      </w:r>
    </w:p>
    <w:p>
      <w:pPr>
        <w:autoSpaceDE w:val="0"/>
        <w:autoSpaceDN w:val="0"/>
        <w:adjustRightInd w:val="0"/>
        <w:spacing w:line="560" w:lineRule="exact"/>
        <w:ind w:firstLine="640" w:firstLineChars="200"/>
        <w:jc w:val="both"/>
        <w:rPr>
          <w:rFonts w:ascii="仿宋" w:hAnsi="仿宋" w:eastAsia="仿宋"/>
          <w:kern w:val="0"/>
          <w:sz w:val="32"/>
          <w:szCs w:val="32"/>
        </w:rPr>
      </w:pPr>
      <w:r>
        <w:rPr>
          <w:rFonts w:hint="eastAsia" w:ascii="仿宋" w:hAnsi="仿宋" w:eastAsia="仿宋"/>
          <w:kern w:val="0"/>
          <w:sz w:val="32"/>
          <w:szCs w:val="32"/>
        </w:rPr>
        <w:t>（四）对资产支持证券的影响分析。</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持有人会议审议通过前款规定的专项计划文件主要约定变化事宜并已在持有人会议决议公告中披露相关内容的，管理人可以不再重复披露。</w:t>
      </w:r>
    </w:p>
    <w:p>
      <w:pPr>
        <w:spacing w:line="560" w:lineRule="exact"/>
        <w:ind w:firstLine="643" w:firstLineChars="200"/>
        <w:rPr>
          <w:rFonts w:ascii="仿宋" w:hAnsi="仿宋" w:eastAsia="仿宋"/>
          <w:kern w:val="0"/>
          <w:sz w:val="32"/>
          <w:szCs w:val="32"/>
        </w:rPr>
      </w:pPr>
      <w:r>
        <w:rPr>
          <w:rFonts w:hint="eastAsia" w:ascii="仿宋" w:hAnsi="仿宋" w:eastAsia="仿宋" w:cs="宋体"/>
          <w:b/>
          <w:bCs/>
          <w:kern w:val="0"/>
          <w:sz w:val="32"/>
          <w:szCs w:val="32"/>
        </w:rPr>
        <w:t>第四十</w:t>
      </w:r>
      <w:r>
        <w:rPr>
          <w:rFonts w:ascii="仿宋" w:hAnsi="仿宋" w:eastAsia="仿宋" w:cs="宋体"/>
          <w:b/>
          <w:bCs/>
          <w:kern w:val="0"/>
          <w:sz w:val="32"/>
          <w:szCs w:val="32"/>
        </w:rPr>
        <w:t>条</w:t>
      </w:r>
      <w:r>
        <w:rPr>
          <w:rFonts w:hint="eastAsia" w:ascii="仿宋" w:hAnsi="仿宋" w:eastAsia="仿宋" w:cs="宋体"/>
          <w:b/>
          <w:bCs/>
          <w:kern w:val="0"/>
          <w:sz w:val="32"/>
          <w:szCs w:val="32"/>
          <w:lang w:val="en-US" w:eastAsia="zh-CN"/>
        </w:rPr>
        <w:t xml:space="preserve"> </w:t>
      </w:r>
      <w:r>
        <w:rPr>
          <w:rFonts w:hint="eastAsia" w:ascii="仿宋" w:hAnsi="仿宋" w:eastAsia="仿宋"/>
          <w:kern w:val="0"/>
          <w:sz w:val="32"/>
          <w:szCs w:val="32"/>
        </w:rPr>
        <w:t>管理人应当及时披露专项计划收益分配报告，披露日应当不晚于每期专项计划收益分配日前的第3个交易日。</w:t>
      </w:r>
    </w:p>
    <w:p>
      <w:pPr>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第四十一条</w:t>
      </w:r>
      <w:r>
        <w:rPr>
          <w:rFonts w:hint="eastAsia" w:ascii="仿宋" w:hAnsi="仿宋" w:eastAsia="仿宋"/>
          <w:b/>
          <w:kern w:val="0"/>
          <w:sz w:val="32"/>
          <w:szCs w:val="32"/>
          <w:lang w:val="en-US" w:eastAsia="zh-CN"/>
        </w:rPr>
        <w:t xml:space="preserve"> </w:t>
      </w:r>
      <w:r>
        <w:rPr>
          <w:rFonts w:hint="eastAsia" w:ascii="仿宋" w:hAnsi="仿宋" w:eastAsia="仿宋"/>
          <w:sz w:val="32"/>
          <w:szCs w:val="32"/>
        </w:rPr>
        <w:t>资信评级机构应当密切关注受评对象的资信状况</w:t>
      </w:r>
      <w:r>
        <w:rPr>
          <w:rFonts w:hint="eastAsia" w:ascii="仿宋" w:hAnsi="仿宋" w:eastAsia="仿宋"/>
          <w:kern w:val="0"/>
          <w:sz w:val="32"/>
          <w:szCs w:val="32"/>
        </w:rPr>
        <w:t>，按照相关规定和约定及时披露资产支持证券不定期跟踪评级报告。</w:t>
      </w:r>
    </w:p>
    <w:p>
      <w:pPr>
        <w:spacing w:line="560" w:lineRule="exact"/>
        <w:ind w:firstLine="643" w:firstLineChars="200"/>
        <w:rPr>
          <w:rFonts w:ascii="仿宋" w:hAnsi="仿宋" w:eastAsia="仿宋"/>
          <w:sz w:val="32"/>
          <w:szCs w:val="32"/>
        </w:rPr>
      </w:pPr>
      <w:r>
        <w:rPr>
          <w:rFonts w:hint="eastAsia" w:ascii="仿宋" w:hAnsi="仿宋" w:eastAsia="仿宋"/>
          <w:b/>
          <w:kern w:val="0"/>
          <w:sz w:val="32"/>
          <w:szCs w:val="32"/>
        </w:rPr>
        <w:t>第四十二条</w:t>
      </w:r>
      <w:r>
        <w:rPr>
          <w:rFonts w:hint="eastAsia" w:ascii="仿宋" w:hAnsi="仿宋" w:eastAsia="仿宋"/>
          <w:b/>
          <w:kern w:val="0"/>
          <w:sz w:val="32"/>
          <w:szCs w:val="32"/>
          <w:lang w:val="en-US" w:eastAsia="zh-CN"/>
        </w:rPr>
        <w:t xml:space="preserve"> </w:t>
      </w:r>
      <w:r>
        <w:rPr>
          <w:rFonts w:hint="eastAsia" w:ascii="仿宋" w:hAnsi="仿宋" w:eastAsia="仿宋"/>
          <w:kern w:val="0"/>
          <w:sz w:val="32"/>
          <w:szCs w:val="32"/>
        </w:rPr>
        <w:t>资产支持证券</w:t>
      </w:r>
      <w:r>
        <w:rPr>
          <w:rFonts w:ascii="仿宋" w:hAnsi="仿宋" w:eastAsia="仿宋"/>
          <w:kern w:val="0"/>
          <w:sz w:val="32"/>
          <w:szCs w:val="32"/>
        </w:rPr>
        <w:t>附调整收益率条款的</w:t>
      </w:r>
      <w:r>
        <w:rPr>
          <w:rFonts w:hint="eastAsia" w:ascii="仿宋" w:hAnsi="仿宋" w:eastAsia="仿宋"/>
          <w:kern w:val="0"/>
          <w:sz w:val="32"/>
          <w:szCs w:val="32"/>
        </w:rPr>
        <w:t>，管理人应当按照专项计划文件约定的日期披露</w:t>
      </w:r>
      <w:r>
        <w:rPr>
          <w:rFonts w:ascii="仿宋" w:hAnsi="仿宋" w:eastAsia="仿宋"/>
          <w:kern w:val="0"/>
          <w:sz w:val="32"/>
          <w:szCs w:val="32"/>
        </w:rPr>
        <w:t>收益率调整公告</w:t>
      </w:r>
      <w:r>
        <w:rPr>
          <w:rFonts w:hint="eastAsia" w:ascii="仿宋" w:hAnsi="仿宋" w:eastAsia="仿宋"/>
          <w:kern w:val="0"/>
          <w:sz w:val="32"/>
          <w:szCs w:val="32"/>
        </w:rPr>
        <w:t>。没有约定或者约定不明确的，管理人应当于收益率调整实施日之前及时</w:t>
      </w:r>
      <w:r>
        <w:rPr>
          <w:rFonts w:ascii="仿宋" w:hAnsi="仿宋" w:eastAsia="仿宋"/>
          <w:kern w:val="0"/>
          <w:sz w:val="32"/>
          <w:szCs w:val="32"/>
        </w:rPr>
        <w:t>披露收益率调整公告</w:t>
      </w:r>
      <w:r>
        <w:rPr>
          <w:rFonts w:hint="eastAsia" w:ascii="仿宋" w:hAnsi="仿宋" w:eastAsia="仿宋"/>
          <w:kern w:val="0"/>
          <w:sz w:val="32"/>
          <w:szCs w:val="32"/>
        </w:rPr>
        <w:t>。调整收益率条款与回售业务相关的，管理人应当于回售申报起始日前至少披露3次收益率调整公告。</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收益率调整公告应当说明收益率调整条款具体内容、是否调整收益率、调整前后的收益率、收益率调整生效日期等信息。</w:t>
      </w:r>
    </w:p>
    <w:p>
      <w:pPr>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第四十三条</w:t>
      </w:r>
      <w:r>
        <w:rPr>
          <w:rFonts w:hint="eastAsia" w:ascii="仿宋" w:hAnsi="仿宋" w:eastAsia="仿宋"/>
          <w:b/>
          <w:kern w:val="0"/>
          <w:sz w:val="32"/>
          <w:szCs w:val="32"/>
          <w:lang w:val="en-US" w:eastAsia="zh-CN"/>
        </w:rPr>
        <w:t xml:space="preserve"> </w:t>
      </w:r>
      <w:r>
        <w:rPr>
          <w:rFonts w:hint="eastAsia" w:ascii="仿宋" w:hAnsi="仿宋" w:eastAsia="仿宋"/>
          <w:kern w:val="0"/>
          <w:sz w:val="32"/>
          <w:szCs w:val="32"/>
        </w:rPr>
        <w:t>资产支持证券</w:t>
      </w:r>
      <w:r>
        <w:rPr>
          <w:rFonts w:ascii="仿宋" w:hAnsi="仿宋" w:eastAsia="仿宋"/>
          <w:kern w:val="0"/>
          <w:sz w:val="32"/>
          <w:szCs w:val="32"/>
        </w:rPr>
        <w:t>附回售选择权的</w:t>
      </w:r>
      <w:r>
        <w:rPr>
          <w:rFonts w:hint="eastAsia" w:ascii="仿宋" w:hAnsi="仿宋" w:eastAsia="仿宋"/>
          <w:kern w:val="0"/>
          <w:sz w:val="32"/>
          <w:szCs w:val="32"/>
        </w:rPr>
        <w:t>，管理人应当在回售申报起始日前披露回售条款的基本内容、回售义务人、回售程序、回售申报期、回售撤销期（如有）、回售价格、回售资金到账日和转售安排（如有）等内容，并在回售申报结束日前至少披露3次。回售、转售（如有）完成后，管理人应当及时披露资产支持证券回售、转售（如有）情况及其影响。</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管理人应当在回售资金到账日前及时披露资产支持证券回售结果公告，说明回售申报金额、回售资金发放及资产支持证券注销安排等，并按规定注销相应资产支持证券。</w:t>
      </w:r>
    </w:p>
    <w:p>
      <w:pPr>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第四十四条</w:t>
      </w:r>
      <w:r>
        <w:rPr>
          <w:rFonts w:hint="eastAsia" w:ascii="仿宋" w:hAnsi="仿宋" w:eastAsia="仿宋"/>
          <w:b/>
          <w:kern w:val="0"/>
          <w:sz w:val="32"/>
          <w:szCs w:val="32"/>
          <w:lang w:val="en-US" w:eastAsia="zh-CN"/>
        </w:rPr>
        <w:t xml:space="preserve"> </w:t>
      </w:r>
      <w:r>
        <w:rPr>
          <w:rFonts w:hint="eastAsia" w:ascii="仿宋" w:hAnsi="仿宋" w:eastAsia="仿宋"/>
          <w:kern w:val="0"/>
          <w:sz w:val="32"/>
          <w:szCs w:val="32"/>
        </w:rPr>
        <w:t>资产支持证券拟实施转售的，管理人应当于回售实施提示性公告中披露拟转售安排，在回售结果公告中披露转售数量、转售期间，并承诺转售符合相关规定、约定及承诺的要求。管理人应当于转售期间届满之日起2个交易日内披露转售结果公告，并注销未转售部分的资产支持证券。</w:t>
      </w:r>
    </w:p>
    <w:p>
      <w:pPr>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第四十五条</w:t>
      </w:r>
      <w:r>
        <w:rPr>
          <w:rFonts w:hint="eastAsia" w:ascii="仿宋" w:hAnsi="仿宋" w:eastAsia="仿宋"/>
          <w:b/>
          <w:kern w:val="0"/>
          <w:sz w:val="32"/>
          <w:szCs w:val="32"/>
          <w:lang w:val="en-US" w:eastAsia="zh-CN"/>
        </w:rPr>
        <w:t xml:space="preserve"> </w:t>
      </w:r>
      <w:r>
        <w:rPr>
          <w:rFonts w:hint="eastAsia" w:ascii="仿宋" w:hAnsi="仿宋" w:eastAsia="仿宋"/>
          <w:kern w:val="0"/>
          <w:sz w:val="32"/>
          <w:szCs w:val="32"/>
        </w:rPr>
        <w:t>管理人拟申请延长转售期间的，应当于转售期限届满前5个交易日向本所提交申请，说明目前转售进度、申请延长转售期的必要性和可行性、拟申请延长的期间。确定延长转售期的，管理人应当及时披露延长转售期公告，说明相关安排。</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延长的转售期间内，管理人应当至少每5个交易日披露一次进展公告，说明目前转售进展、管理人为推进转售工作所采取的措施及其成效、预计转售完成时间。</w:t>
      </w:r>
    </w:p>
    <w:p>
      <w:pPr>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第四十六条</w:t>
      </w:r>
      <w:r>
        <w:rPr>
          <w:rFonts w:hint="eastAsia" w:ascii="仿宋" w:hAnsi="仿宋" w:eastAsia="仿宋"/>
          <w:b/>
          <w:kern w:val="0"/>
          <w:sz w:val="32"/>
          <w:szCs w:val="32"/>
          <w:lang w:val="en-US" w:eastAsia="zh-CN"/>
        </w:rPr>
        <w:t xml:space="preserve"> </w:t>
      </w:r>
      <w:r>
        <w:rPr>
          <w:rFonts w:hint="eastAsia" w:ascii="仿宋" w:hAnsi="仿宋" w:eastAsia="仿宋"/>
          <w:kern w:val="0"/>
          <w:sz w:val="32"/>
          <w:szCs w:val="32"/>
        </w:rPr>
        <w:t>资产支持证券附赎回条款的，管理人应当在满足赎回条件时，披露相关主体是否行使赎回权。行使赎回权的，应当披露赎回条款的基本内容、行使主体、赎回程序、赎回价格、赎回资金到账日等内容，并在赎回权行权日前至少披露3次。赎回完成后，管理人应当及时披露赎回情况及其影响。</w:t>
      </w:r>
    </w:p>
    <w:p>
      <w:pPr>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第四十七条</w:t>
      </w:r>
      <w:r>
        <w:rPr>
          <w:rFonts w:hint="eastAsia" w:ascii="仿宋" w:hAnsi="仿宋" w:eastAsia="仿宋"/>
          <w:b/>
          <w:kern w:val="0"/>
          <w:sz w:val="32"/>
          <w:szCs w:val="32"/>
          <w:lang w:val="en-US" w:eastAsia="zh-CN"/>
        </w:rPr>
        <w:t xml:space="preserve"> </w:t>
      </w:r>
      <w:r>
        <w:rPr>
          <w:rFonts w:hint="eastAsia" w:ascii="仿宋" w:hAnsi="仿宋" w:eastAsia="仿宋"/>
          <w:kern w:val="0"/>
          <w:sz w:val="32"/>
          <w:szCs w:val="32"/>
        </w:rPr>
        <w:t>专项计划文件约定由指定主体受让资产支持证券的，管理人应当参照本指引第四十二条、第四十三条、第四十六条的规定披露相关权利条款的主要内容与行权情况。</w:t>
      </w:r>
    </w:p>
    <w:p>
      <w:pPr>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第四十八条</w:t>
      </w:r>
      <w:r>
        <w:rPr>
          <w:rFonts w:hint="eastAsia" w:ascii="仿宋" w:hAnsi="仿宋" w:eastAsia="仿宋"/>
          <w:b/>
          <w:kern w:val="0"/>
          <w:sz w:val="32"/>
          <w:szCs w:val="32"/>
          <w:lang w:val="en-US" w:eastAsia="zh-CN"/>
        </w:rPr>
        <w:t xml:space="preserve"> </w:t>
      </w:r>
      <w:r>
        <w:rPr>
          <w:rFonts w:hint="eastAsia" w:ascii="仿宋" w:hAnsi="仿宋" w:eastAsia="仿宋"/>
          <w:kern w:val="0"/>
          <w:sz w:val="32"/>
          <w:szCs w:val="32"/>
        </w:rPr>
        <w:t>资产支持证券停牌、复牌的，管理人应当于资产支持证券停复牌前提交停牌或者复牌申请，并披露停牌或者复牌公告，说明专项计划与资产支持证券的基本信息、涉及停牌或者复牌的证券信息、申请停牌或者复牌的原因、停牌或者复牌的具体时间，以及后续进展公告的披露安排等。</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停牌期间，管理人应当于相关事项取得重大进展或者发生重大变化时及时进行信息披露。</w:t>
      </w:r>
    </w:p>
    <w:p>
      <w:pPr>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第四十九条</w:t>
      </w:r>
      <w:r>
        <w:rPr>
          <w:rFonts w:hint="eastAsia" w:ascii="仿宋" w:hAnsi="仿宋" w:eastAsia="仿宋"/>
          <w:b/>
          <w:kern w:val="0"/>
          <w:sz w:val="32"/>
          <w:szCs w:val="32"/>
          <w:lang w:val="en-US" w:eastAsia="zh-CN"/>
        </w:rPr>
        <w:t xml:space="preserve"> </w:t>
      </w:r>
      <w:r>
        <w:rPr>
          <w:rFonts w:hint="eastAsia" w:ascii="仿宋" w:hAnsi="仿宋" w:eastAsia="仿宋"/>
          <w:sz w:val="32"/>
          <w:szCs w:val="32"/>
        </w:rPr>
        <w:t>资产支持证券终止挂牌转让的，管理人应当于资产支持证券终止挂牌转让日之前披露终止挂牌转让的原因、终止挂牌转让的日期、相关清算安排（如有）。</w:t>
      </w:r>
    </w:p>
    <w:p>
      <w:pPr>
        <w:spacing w:line="560" w:lineRule="exact"/>
        <w:ind w:firstLine="643" w:firstLineChars="200"/>
        <w:rPr>
          <w:rFonts w:ascii="仿宋" w:hAnsi="仿宋" w:eastAsia="仿宋"/>
          <w:sz w:val="32"/>
          <w:szCs w:val="32"/>
        </w:rPr>
      </w:pPr>
      <w:r>
        <w:rPr>
          <w:rFonts w:hint="eastAsia" w:ascii="仿宋" w:hAnsi="仿宋" w:eastAsia="仿宋"/>
          <w:b/>
          <w:kern w:val="0"/>
          <w:sz w:val="32"/>
          <w:szCs w:val="32"/>
        </w:rPr>
        <w:t>第五十条</w:t>
      </w:r>
      <w:r>
        <w:rPr>
          <w:rFonts w:hint="eastAsia" w:ascii="仿宋" w:hAnsi="仿宋" w:eastAsia="仿宋"/>
          <w:b/>
          <w:kern w:val="0"/>
          <w:sz w:val="32"/>
          <w:szCs w:val="32"/>
          <w:lang w:val="en-US" w:eastAsia="zh-CN"/>
        </w:rPr>
        <w:t xml:space="preserve"> </w:t>
      </w:r>
      <w:r>
        <w:rPr>
          <w:rFonts w:hint="eastAsia" w:ascii="仿宋" w:hAnsi="仿宋" w:eastAsia="仿宋"/>
          <w:sz w:val="32"/>
          <w:szCs w:val="32"/>
        </w:rPr>
        <w:t>专项计划终止的，管理人应当自专项计划清算完毕之日起10个交易日内披露清算报告，说明终止时间、终止原因、专项计划清偿顺序、专项计划剩余资产情况、分配安排等信息。</w:t>
      </w:r>
    </w:p>
    <w:p>
      <w:pPr>
        <w:pStyle w:val="22"/>
        <w:spacing w:line="560" w:lineRule="exact"/>
      </w:pPr>
      <w:bookmarkStart w:id="31" w:name="_Toc7436"/>
      <w:bookmarkStart w:id="32" w:name="_Toc18273"/>
      <w:bookmarkStart w:id="33" w:name="_Toc12685"/>
      <w:bookmarkStart w:id="34" w:name="_Toc121678741"/>
      <w:bookmarkStart w:id="35" w:name="_Toc14546"/>
      <w:r>
        <w:rPr>
          <w:rFonts w:hint="eastAsia"/>
        </w:rPr>
        <w:t>第四章 持有人会议信息披露</w:t>
      </w:r>
      <w:bookmarkEnd w:id="31"/>
      <w:bookmarkEnd w:id="32"/>
      <w:bookmarkEnd w:id="33"/>
      <w:bookmarkEnd w:id="34"/>
      <w:bookmarkEnd w:id="35"/>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第五十一条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管理人、单独或者合计持有本期资产支持证券总额10%以上的持有人书面提议召开持有人会议的，管理人应当自收到书面提议之日起5个交易日内向提议人书面回复是否召集持有人会议，并说明召集会议的具体安排或者不召集会议的理由。</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同意召集会议的，管理人应当于书面回复日起15个交易日内召开持有人会议，提议人同意延期召开的除外。管理人不同意召集会议或者应当召集而未召集会议的，单独或者合计持有本期资产支持证券总额10%以上的持有人有权自行召集持有人会议，管理人应当为召开持有人会议提供必要协助。</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持有人会议规则对有召集权的持有人比例另有约定的，从其约定。</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第五十二条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资产支持证券召开持有人会议的，管理人或者其他召集人（以下简称召集人）应当至少于持有人会议召开日前10个交易日发布持有人会议通知的公告，持有人会议规则另有约定的，从其约定。</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第五十三条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持有人会议通知的公告内容包括但不限于下列事项：</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（一）专项计划和资产支持证券的基本情况；</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（二）召集人、会务负责人姓名及联系方式；</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（三）会议召集事由；</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（四）会议时间和地点；</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（五）会议召开形式；</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（六）会议拟审议议案，议案应当属于持有人会议权限范围、有明确的决议事项，并且符合法律法规、本指引和本所其他业务规则的规定；</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（七）会议议事程序，包括持有人会议的召集方式、表决方式、表决时间、计票方式和其他相关事项；</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（八）持有人会议权益登记日，</w:t>
      </w:r>
      <w:r>
        <w:rPr>
          <w:rFonts w:hint="eastAsia" w:ascii="仿宋" w:hAnsi="仿宋" w:eastAsia="仿宋" w:cs="仿宋"/>
          <w:sz w:val="32"/>
          <w:szCs w:val="32"/>
        </w:rPr>
        <w:t>权益登记日与会议召开日之间的间隔应当不超过3个交易日且不少于1个交易日；</w:t>
      </w:r>
      <w:r>
        <w:rPr>
          <w:rFonts w:hint="eastAsia" w:ascii="仿宋" w:hAnsi="仿宋" w:eastAsia="仿宋" w:cs="仿宋"/>
          <w:kern w:val="0"/>
          <w:sz w:val="32"/>
          <w:szCs w:val="32"/>
        </w:rPr>
        <w:t>有权参加持有人会议并享有表决权的持有人以权益登记日收市后的持有人名册为准；</w:t>
      </w:r>
    </w:p>
    <w:p>
      <w:pPr>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rPr>
        <w:t>（九）委托事项，</w:t>
      </w:r>
      <w:r>
        <w:rPr>
          <w:rFonts w:hint="eastAsia" w:ascii="仿宋" w:hAnsi="仿宋" w:eastAsia="仿宋" w:cs="仿宋"/>
          <w:sz w:val="32"/>
          <w:szCs w:val="32"/>
        </w:rPr>
        <w:t>资产支持证券持有人委托他人参会的，受托参会人员应当出示授权委托书和身份证明，在授权范围内参加持有人会议并履行受托义务。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会议通知中未包含的议案，应当不晚于权益登记日前</w:t>
      </w:r>
      <w:r>
        <w:rPr>
          <w:rFonts w:hint="eastAsia" w:ascii="仿宋" w:hAnsi="仿宋" w:eastAsia="仿宋" w:cs="仿宋"/>
          <w:sz w:val="32"/>
          <w:szCs w:val="32"/>
          <w:lang w:val="en-US" w:eastAsia="zh-CN"/>
        </w:rPr>
        <w:t>1</w:t>
      </w:r>
      <w:r>
        <w:rPr>
          <w:rFonts w:hint="eastAsia" w:ascii="仿宋" w:hAnsi="仿宋" w:eastAsia="仿宋" w:cs="仿宋"/>
          <w:sz w:val="32"/>
          <w:szCs w:val="32"/>
        </w:rPr>
        <w:t>交易日公告，未按规定以及约定公告的议案不得提交该次持有人会议审议。</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第五十四条</w:t>
      </w:r>
      <w:r>
        <w:rPr>
          <w:rFonts w:hint="eastAsia" w:ascii="仿宋" w:hAnsi="仿宋" w:eastAsia="仿宋" w:cs="仿宋"/>
          <w:kern w:val="0"/>
          <w:sz w:val="32"/>
          <w:szCs w:val="32"/>
        </w:rPr>
        <w:t xml:space="preserve"> 管理人可以按照相关规定或者持有人会议规则的约定简化持有人会议召集程序或者决议方式，但不得对持有人权益产生不利影响。</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第五十五条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持有人会议应当由律师见证。见证律师对会议的召集、召开、表决程序、出席会议人员资格、有效表决权、决议的合法性及其效力等事项出具法律意见，法律意见应当与持有人会议决议一同披露。</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第五十六条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召集人应当在持有人会议表决截止日次</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交易日内披露会议决议公告，会议决议公告包括但不限于以下内容：</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（一）会议召开时间、形式和地点，会议召集人，权益登记日等持有人会议召开情况；</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（二）会议出席情况和出席会议的资产支持证券持有人所持表决权情况；</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（三）会议有效性；</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（四）各项议案的议题、表决结果及决议生效情况；</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（五）律师见证情况。</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第五十七条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持有人会议形成生效决议后，管理人应当积极落实或者督促原始权益人、资产服务机构、增信机构或者其他相关方按照规定和约定予以落实。</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原始权益人、资产服务机构、增信机构或者其他相关方未按规定或者约定落实持有人会议决议的，管理人应当及时采取有效应对措施，切实维护持有人法定或者约定的权利。</w:t>
      </w:r>
    </w:p>
    <w:p>
      <w:pPr>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rPr>
        <w:t>管理人应当及时披露决议落实的进展情况及后续安排事项的重大进展情况。</w:t>
      </w:r>
    </w:p>
    <w:p>
      <w:pPr>
        <w:pStyle w:val="22"/>
      </w:pPr>
      <w:bookmarkStart w:id="36" w:name="_Toc9497"/>
      <w:bookmarkStart w:id="37" w:name="_Toc5980"/>
      <w:bookmarkStart w:id="38" w:name="_Toc10224"/>
      <w:bookmarkStart w:id="39" w:name="_Toc21880"/>
      <w:bookmarkStart w:id="40" w:name="_Toc121678742"/>
      <w:r>
        <w:t>第</w:t>
      </w:r>
      <w:r>
        <w:rPr>
          <w:rFonts w:hint="eastAsia"/>
        </w:rPr>
        <w:t>五</w:t>
      </w:r>
      <w:r>
        <w:t>章 附则</w:t>
      </w:r>
      <w:bookmarkEnd w:id="36"/>
      <w:bookmarkEnd w:id="37"/>
      <w:bookmarkEnd w:id="38"/>
      <w:bookmarkEnd w:id="39"/>
      <w:bookmarkEnd w:id="40"/>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第五十八条</w:t>
      </w:r>
      <w:r>
        <w:rPr>
          <w:rFonts w:hint="eastAsia" w:ascii="仿宋" w:hAnsi="仿宋" w:eastAsia="仿宋" w:cs="仿宋"/>
          <w:kern w:val="0"/>
          <w:sz w:val="32"/>
          <w:szCs w:val="32"/>
        </w:rPr>
        <w:t xml:space="preserve"> 专项计划基础资产为核心企业供应链应付款的，核心企业参照执行本指引特定原始权益人的披露要求。</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前款所称核心企业供应链应付款，是指上游供应商或者服务提供方向核心企业或者其下属公司销售商品或者提供服务等经营活动后产生的、以核心企业或者其下属公司为付款方的应付款；核心企业，是指在供应链业务过程中具备主导地位且利用其主体资信为供应链资产支持证券提供信用支持的企业。</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第五十九条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专项计划剩余基础资产规模不足发行时资产规模的20%，且</w:t>
      </w:r>
      <w:r>
        <w:rPr>
          <w:rFonts w:hint="eastAsia" w:ascii="仿宋" w:hAnsi="仿宋" w:eastAsia="仿宋" w:cs="仿宋"/>
          <w:sz w:val="32"/>
          <w:szCs w:val="32"/>
        </w:rPr>
        <w:t>单一</w:t>
      </w:r>
      <w:r>
        <w:rPr>
          <w:rFonts w:hint="eastAsia" w:ascii="仿宋" w:hAnsi="仿宋" w:eastAsia="仿宋" w:cs="仿宋"/>
          <w:kern w:val="0"/>
          <w:sz w:val="32"/>
          <w:szCs w:val="32"/>
        </w:rPr>
        <w:t>重要现金流提供方按照约定未支付现金流金额占基础资产未来现金流总额比例不足30%，或者该单一提供方及其关联方的未支付现金流金额合计占基础资产未来现金流总额比例不足40%</w:t>
      </w:r>
      <w:r>
        <w:rPr>
          <w:rFonts w:hint="eastAsia" w:ascii="仿宋" w:hAnsi="仿宋" w:eastAsia="仿宋" w:cs="仿宋"/>
          <w:sz w:val="32"/>
          <w:szCs w:val="32"/>
        </w:rPr>
        <w:t>的，</w:t>
      </w:r>
      <w:r>
        <w:rPr>
          <w:rFonts w:hint="eastAsia" w:ascii="仿宋" w:hAnsi="仿宋" w:eastAsia="仿宋" w:cs="仿宋"/>
          <w:kern w:val="0"/>
          <w:sz w:val="32"/>
          <w:szCs w:val="32"/>
        </w:rPr>
        <w:t>可以豁免管理人披露重要现金流提供方相关事项的要求。</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第六十条</w:t>
      </w:r>
      <w:r>
        <w:rPr>
          <w:rFonts w:hint="eastAsia" w:ascii="仿宋" w:hAnsi="仿宋" w:eastAsia="仿宋" w:cs="仿宋"/>
          <w:b/>
          <w:kern w:val="0"/>
          <w:sz w:val="32"/>
          <w:szCs w:val="32"/>
          <w:lang w:val="en-US" w:eastAsia="zh-CN"/>
        </w:rPr>
        <w:t xml:space="preserve"> </w:t>
      </w:r>
      <w:r>
        <w:rPr>
          <w:rFonts w:hint="eastAsia" w:ascii="仿宋" w:hAnsi="仿宋" w:eastAsia="仿宋" w:cs="仿宋"/>
          <w:sz w:val="32"/>
          <w:szCs w:val="32"/>
        </w:rPr>
        <w:t>本指引所称知道或者应当知道之日，指下列任一情形的最早发生日当日：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（一）董事会、监事会</w:t>
      </w:r>
      <w:r>
        <w:rPr>
          <w:rFonts w:hint="eastAsia" w:ascii="仿宋" w:hAnsi="仿宋" w:eastAsia="仿宋" w:cs="仿宋"/>
          <w:kern w:val="0"/>
          <w:sz w:val="32"/>
          <w:szCs w:val="32"/>
        </w:rPr>
        <w:t>或者履行同等职责的机构</w:t>
      </w:r>
      <w:r>
        <w:rPr>
          <w:rFonts w:hint="eastAsia" w:ascii="仿宋" w:hAnsi="仿宋" w:eastAsia="仿宋" w:cs="仿宋"/>
          <w:sz w:val="32"/>
          <w:szCs w:val="32"/>
        </w:rPr>
        <w:t>就该重大事项形成决议；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（二）有关各方就该重大事项签署意向书或者协议；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（三）董事、监事、高级管理人员</w:t>
      </w:r>
      <w:r>
        <w:rPr>
          <w:rFonts w:hint="eastAsia" w:ascii="仿宋" w:hAnsi="仿宋" w:eastAsia="仿宋" w:cs="仿宋"/>
          <w:kern w:val="0"/>
          <w:sz w:val="32"/>
          <w:szCs w:val="32"/>
        </w:rPr>
        <w:t>或者履行同等职责的人员</w:t>
      </w:r>
      <w:r>
        <w:rPr>
          <w:rFonts w:hint="eastAsia" w:ascii="仿宋" w:hAnsi="仿宋" w:eastAsia="仿宋" w:cs="仿宋"/>
          <w:sz w:val="32"/>
          <w:szCs w:val="32"/>
        </w:rPr>
        <w:t>知悉该重大事项发生；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（四）收到相关主管部门关于该重大事项的决定或者通知；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（五）其他能够明确该重大事项已经发生的时点。</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第六十一条</w:t>
      </w:r>
      <w:r>
        <w:rPr>
          <w:rFonts w:hint="eastAsia" w:ascii="仿宋" w:hAnsi="仿宋" w:eastAsia="仿宋" w:cs="仿宋"/>
          <w:b/>
          <w:kern w:val="0"/>
          <w:sz w:val="32"/>
          <w:szCs w:val="32"/>
          <w:lang w:val="en-US" w:eastAsia="zh-CN"/>
        </w:rPr>
        <w:t xml:space="preserve"> </w:t>
      </w:r>
      <w:r>
        <w:rPr>
          <w:rFonts w:hint="eastAsia" w:ascii="仿宋" w:hAnsi="仿宋" w:eastAsia="仿宋" w:cs="仿宋"/>
          <w:kern w:val="0"/>
          <w:sz w:val="32"/>
          <w:szCs w:val="32"/>
        </w:rPr>
        <w:t>本指引所称重大行政处罚，指中国证监会及其派出机构实施的行政处罚，其他行政机关实施的暂扣许可证件、降低资质等级、吊销许可证件、限制开展生产经营活动、责令停产停业、责令关闭、限制从业等行政处罚或者其他可能严重影响被处罚主体经营情况或者专项计划收益分配的行政处罚。</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第六十二条</w:t>
      </w:r>
      <w:r>
        <w:rPr>
          <w:rFonts w:hint="eastAsia" w:ascii="仿宋" w:hAnsi="仿宋" w:eastAsia="仿宋" w:cs="仿宋"/>
          <w:b/>
          <w:kern w:val="0"/>
          <w:sz w:val="32"/>
          <w:szCs w:val="32"/>
          <w:lang w:val="en-US" w:eastAsia="zh-CN"/>
        </w:rPr>
        <w:t xml:space="preserve"> </w:t>
      </w:r>
      <w:r>
        <w:rPr>
          <w:rFonts w:hint="eastAsia" w:ascii="仿宋" w:hAnsi="仿宋" w:eastAsia="仿宋" w:cs="仿宋"/>
          <w:b w:val="0"/>
          <w:bCs/>
          <w:kern w:val="0"/>
          <w:sz w:val="32"/>
          <w:szCs w:val="32"/>
          <w:lang w:val="en-US" w:eastAsia="zh-CN"/>
        </w:rPr>
        <w:t>本指引所称</w:t>
      </w:r>
      <w:r>
        <w:rPr>
          <w:rFonts w:hint="eastAsia" w:ascii="仿宋" w:hAnsi="仿宋" w:eastAsia="仿宋" w:cs="仿宋"/>
          <w:kern w:val="0"/>
          <w:sz w:val="32"/>
          <w:szCs w:val="32"/>
        </w:rPr>
        <w:t>现金流参与人包括原始权益人、重要现金流提供方、资产服务机构以及增信机构。</w:t>
      </w:r>
    </w:p>
    <w:p>
      <w:pPr>
        <w:spacing w:line="560" w:lineRule="exact"/>
        <w:ind w:firstLine="643" w:firstLineChars="200"/>
        <w:rPr>
          <w:rFonts w:ascii="仿宋" w:hAnsi="仿宋" w:eastAsia="仿宋" w:cs="仿宋"/>
          <w:sz w:val="32"/>
          <w:szCs w:val="32"/>
        </w:rPr>
      </w:pPr>
      <w:r>
        <w:rPr>
          <w:rFonts w:hint="eastAsia" w:ascii="仿宋" w:hAnsi="仿宋" w:eastAsia="仿宋" w:cs="仿宋"/>
          <w:b/>
          <w:kern w:val="0"/>
          <w:sz w:val="32"/>
          <w:szCs w:val="32"/>
        </w:rPr>
        <w:t>第六十</w:t>
      </w:r>
      <w:r>
        <w:rPr>
          <w:rFonts w:hint="eastAsia" w:ascii="仿宋" w:hAnsi="仿宋" w:eastAsia="仿宋" w:cs="仿宋"/>
          <w:b/>
          <w:kern w:val="0"/>
          <w:sz w:val="32"/>
          <w:szCs w:val="32"/>
          <w:lang w:eastAsia="zh-CN"/>
        </w:rPr>
        <w:t>三</w:t>
      </w:r>
      <w:r>
        <w:rPr>
          <w:rFonts w:hint="eastAsia" w:ascii="仿宋" w:hAnsi="仿宋" w:eastAsia="仿宋" w:cs="仿宋"/>
          <w:b/>
          <w:kern w:val="0"/>
          <w:sz w:val="32"/>
          <w:szCs w:val="32"/>
        </w:rPr>
        <w:t xml:space="preserve">条 </w:t>
      </w:r>
      <w:r>
        <w:rPr>
          <w:rFonts w:hint="eastAsia" w:ascii="仿宋" w:hAnsi="仿宋" w:eastAsia="仿宋" w:cs="仿宋"/>
          <w:kern w:val="0"/>
          <w:sz w:val="32"/>
          <w:szCs w:val="32"/>
        </w:rPr>
        <w:t>监管对象</w:t>
      </w:r>
      <w:r>
        <w:rPr>
          <w:rFonts w:hint="eastAsia" w:ascii="仿宋" w:hAnsi="仿宋" w:eastAsia="仿宋" w:cs="仿宋"/>
          <w:sz w:val="32"/>
          <w:szCs w:val="32"/>
        </w:rPr>
        <w:t>违反本指引的，本所根据《深圳证券交易所资产支持证券业务规则》等相关业务规则的规定对其采取自律监管措施或者纪律处分。</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第六十</w:t>
      </w:r>
      <w:r>
        <w:rPr>
          <w:rFonts w:hint="eastAsia" w:ascii="仿宋" w:hAnsi="仿宋" w:eastAsia="仿宋" w:cs="仿宋"/>
          <w:b/>
          <w:kern w:val="0"/>
          <w:sz w:val="32"/>
          <w:szCs w:val="32"/>
          <w:lang w:eastAsia="zh-CN"/>
        </w:rPr>
        <w:t>四</w:t>
      </w:r>
      <w:r>
        <w:rPr>
          <w:rFonts w:hint="eastAsia" w:ascii="仿宋" w:hAnsi="仿宋" w:eastAsia="仿宋" w:cs="仿宋"/>
          <w:b/>
          <w:kern w:val="0"/>
          <w:sz w:val="32"/>
          <w:szCs w:val="32"/>
        </w:rPr>
        <w:t xml:space="preserve">条 </w:t>
      </w:r>
      <w:r>
        <w:rPr>
          <w:rFonts w:hint="eastAsia" w:ascii="仿宋" w:hAnsi="仿宋" w:eastAsia="仿宋" w:cs="仿宋"/>
          <w:kern w:val="0"/>
          <w:sz w:val="32"/>
          <w:szCs w:val="32"/>
        </w:rPr>
        <w:t>本指引由本所负责解释。</w:t>
      </w:r>
    </w:p>
    <w:p>
      <w:pPr>
        <w:spacing w:line="560" w:lineRule="exact"/>
        <w:ind w:firstLine="643" w:firstLineChars="200"/>
        <w:rPr>
          <w:rFonts w:ascii="仿宋" w:hAnsi="仿宋" w:eastAsia="仿宋" w:cs="仿宋"/>
          <w:sz w:val="32"/>
          <w:szCs w:val="32"/>
        </w:rPr>
      </w:pPr>
      <w:r>
        <w:rPr>
          <w:rFonts w:hint="eastAsia" w:ascii="仿宋" w:hAnsi="仿宋" w:eastAsia="仿宋" w:cs="仿宋"/>
          <w:b/>
          <w:kern w:val="0"/>
          <w:sz w:val="32"/>
          <w:szCs w:val="32"/>
        </w:rPr>
        <w:t>第六十</w:t>
      </w:r>
      <w:r>
        <w:rPr>
          <w:rFonts w:hint="eastAsia" w:ascii="仿宋" w:hAnsi="仿宋" w:eastAsia="仿宋" w:cs="仿宋"/>
          <w:b/>
          <w:kern w:val="0"/>
          <w:sz w:val="32"/>
          <w:szCs w:val="32"/>
          <w:lang w:eastAsia="zh-CN"/>
        </w:rPr>
        <w:t>五</w:t>
      </w:r>
      <w:r>
        <w:rPr>
          <w:rFonts w:hint="eastAsia" w:ascii="仿宋" w:hAnsi="仿宋" w:eastAsia="仿宋" w:cs="仿宋"/>
          <w:b/>
          <w:kern w:val="0"/>
          <w:sz w:val="32"/>
          <w:szCs w:val="32"/>
        </w:rPr>
        <w:t xml:space="preserve">条 </w:t>
      </w:r>
      <w:r>
        <w:rPr>
          <w:rFonts w:hint="eastAsia" w:ascii="仿宋" w:hAnsi="仿宋" w:eastAsia="仿宋" w:cs="仿宋"/>
          <w:kern w:val="0"/>
          <w:sz w:val="32"/>
          <w:szCs w:val="32"/>
        </w:rPr>
        <w:t>本指引自发布之日起施行。本所</w:t>
      </w:r>
      <w:r>
        <w:rPr>
          <w:rFonts w:hint="eastAsia" w:ascii="仿宋" w:hAnsi="仿宋" w:eastAsia="仿宋" w:cs="仿宋"/>
          <w:kern w:val="0"/>
          <w:sz w:val="32"/>
          <w:szCs w:val="32"/>
          <w:lang w:eastAsia="zh-CN"/>
        </w:rPr>
        <w:t>于</w:t>
      </w:r>
      <w:r>
        <w:rPr>
          <w:rFonts w:hint="eastAsia" w:ascii="仿宋" w:hAnsi="仿宋" w:eastAsia="仿宋" w:cs="仿宋"/>
          <w:kern w:val="0"/>
          <w:sz w:val="32"/>
          <w:szCs w:val="32"/>
        </w:rPr>
        <w:t>2019年10月31日</w:t>
      </w:r>
      <w:r>
        <w:rPr>
          <w:rFonts w:hint="eastAsia" w:ascii="仿宋" w:hAnsi="仿宋" w:eastAsia="仿宋" w:cs="仿宋"/>
          <w:sz w:val="32"/>
          <w:szCs w:val="32"/>
        </w:rPr>
        <w:t>发布的《深圳证券交易所资产支持证券临时报告信息披露指引》（深证上〔2019〕685号）</w:t>
      </w:r>
      <w:r>
        <w:rPr>
          <w:rFonts w:hint="eastAsia" w:ascii="仿宋" w:hAnsi="仿宋" w:eastAsia="仿宋" w:cs="仿宋"/>
          <w:kern w:val="0"/>
          <w:sz w:val="32"/>
          <w:szCs w:val="32"/>
        </w:rPr>
        <w:t>同时废止。</w:t>
      </w:r>
    </w:p>
    <w:bookmarkEnd w:id="0"/>
    <w:p>
      <w:pPr>
        <w:spacing w:line="560" w:lineRule="exact"/>
        <w:rPr>
          <w:rFonts w:ascii="仿宋" w:hAnsi="仿宋" w:eastAsia="仿宋" w:cs="仿宋"/>
          <w:sz w:val="32"/>
          <w:szCs w:val="32"/>
        </w:rPr>
      </w:pPr>
    </w:p>
    <w:sectPr>
      <w:footerReference r:id="rId4" w:type="default"/>
      <w:headerReference r:id="rId3" w:type="even"/>
      <w:footerReference r:id="rId5" w:type="even"/>
      <w:pgSz w:w="11907" w:h="16840"/>
      <w:pgMar w:top="2098" w:right="1474" w:bottom="1984" w:left="1587" w:header="0"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snapToGrid w:val="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27</w:t>
    </w:r>
    <w:r>
      <w:rPr>
        <w:rFonts w:ascii="宋体" w:hAnsi="宋体"/>
        <w:sz w:val="28"/>
        <w:szCs w:val="28"/>
      </w:rPr>
      <w:fldChar w:fldCharType="end"/>
    </w:r>
    <w:r>
      <w:rPr>
        <w:rFonts w:hint="eastAsia" w:ascii="宋体" w:hAnsi="宋体"/>
        <w:sz w:val="28"/>
        <w:szCs w:val="28"/>
      </w:rPr>
      <w:t xml:space="preserve"> —</w:t>
    </w:r>
  </w:p>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snapToGrid w:val="0"/>
      <w:jc w:val="left"/>
      <w:rPr>
        <w:rFonts w:ascii="宋体" w:hAnsi="宋体"/>
        <w:sz w:val="22"/>
        <w:szCs w:val="22"/>
      </w:rPr>
    </w:pPr>
    <w:r>
      <w:rPr>
        <w:rFonts w:hint="eastAsia" w:ascii="宋体" w:hAnsi="宋体"/>
        <w:sz w:val="22"/>
        <w:szCs w:val="22"/>
      </w:rPr>
      <w:t xml:space="preserve">— </w:t>
    </w:r>
    <w:r>
      <w:rPr>
        <w:rFonts w:ascii="宋体" w:hAnsi="宋体"/>
        <w:sz w:val="22"/>
        <w:szCs w:val="22"/>
      </w:rPr>
      <w:fldChar w:fldCharType="begin"/>
    </w:r>
    <w:r>
      <w:rPr>
        <w:rFonts w:ascii="宋体" w:hAnsi="宋体"/>
        <w:sz w:val="22"/>
        <w:szCs w:val="22"/>
      </w:rPr>
      <w:instrText xml:space="preserve">PAGE  </w:instrText>
    </w:r>
    <w:r>
      <w:rPr>
        <w:rFonts w:ascii="宋体" w:hAnsi="宋体"/>
        <w:sz w:val="22"/>
        <w:szCs w:val="22"/>
      </w:rPr>
      <w:fldChar w:fldCharType="separate"/>
    </w:r>
    <w:r>
      <w:rPr>
        <w:rFonts w:ascii="宋体" w:hAnsi="宋体"/>
        <w:sz w:val="22"/>
        <w:szCs w:val="22"/>
      </w:rPr>
      <w:t>26</w:t>
    </w:r>
    <w:r>
      <w:rPr>
        <w:rFonts w:ascii="宋体" w:hAnsi="宋体"/>
        <w:sz w:val="22"/>
        <w:szCs w:val="22"/>
      </w:rPr>
      <w:fldChar w:fldCharType="end"/>
    </w:r>
    <w:r>
      <w:rPr>
        <w:rFonts w:hint="eastAsia" w:ascii="宋体" w:hAnsi="宋体"/>
        <w:sz w:val="22"/>
        <w:szCs w:val="22"/>
      </w:rPr>
      <w:t xml:space="preserve"> —</w:t>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D0"/>
    <w:rsid w:val="00000087"/>
    <w:rsid w:val="00000668"/>
    <w:rsid w:val="00000E4D"/>
    <w:rsid w:val="00000E7E"/>
    <w:rsid w:val="00001325"/>
    <w:rsid w:val="000019B6"/>
    <w:rsid w:val="0000228A"/>
    <w:rsid w:val="00002FE7"/>
    <w:rsid w:val="000032F9"/>
    <w:rsid w:val="00003485"/>
    <w:rsid w:val="00003A0E"/>
    <w:rsid w:val="00003DB4"/>
    <w:rsid w:val="00004482"/>
    <w:rsid w:val="000044D3"/>
    <w:rsid w:val="000047BC"/>
    <w:rsid w:val="00004ED5"/>
    <w:rsid w:val="00006176"/>
    <w:rsid w:val="0000635C"/>
    <w:rsid w:val="000068F0"/>
    <w:rsid w:val="00006B3F"/>
    <w:rsid w:val="00006B69"/>
    <w:rsid w:val="00007022"/>
    <w:rsid w:val="00007079"/>
    <w:rsid w:val="000070E7"/>
    <w:rsid w:val="000071E0"/>
    <w:rsid w:val="000079BF"/>
    <w:rsid w:val="00007A05"/>
    <w:rsid w:val="0001081D"/>
    <w:rsid w:val="00010DE8"/>
    <w:rsid w:val="00010FA5"/>
    <w:rsid w:val="00011017"/>
    <w:rsid w:val="00011A17"/>
    <w:rsid w:val="00012008"/>
    <w:rsid w:val="000131D8"/>
    <w:rsid w:val="00014196"/>
    <w:rsid w:val="0001424E"/>
    <w:rsid w:val="000142C4"/>
    <w:rsid w:val="000151D6"/>
    <w:rsid w:val="00015A24"/>
    <w:rsid w:val="00015A70"/>
    <w:rsid w:val="00015B36"/>
    <w:rsid w:val="000160B2"/>
    <w:rsid w:val="00016119"/>
    <w:rsid w:val="0001636B"/>
    <w:rsid w:val="00016936"/>
    <w:rsid w:val="0001713E"/>
    <w:rsid w:val="00017196"/>
    <w:rsid w:val="00017199"/>
    <w:rsid w:val="00017BE7"/>
    <w:rsid w:val="000206D0"/>
    <w:rsid w:val="00020918"/>
    <w:rsid w:val="000209EB"/>
    <w:rsid w:val="00020F20"/>
    <w:rsid w:val="000217A1"/>
    <w:rsid w:val="00022106"/>
    <w:rsid w:val="00022C8C"/>
    <w:rsid w:val="00022CC7"/>
    <w:rsid w:val="000250A9"/>
    <w:rsid w:val="000272E3"/>
    <w:rsid w:val="00027D37"/>
    <w:rsid w:val="000300CA"/>
    <w:rsid w:val="00030924"/>
    <w:rsid w:val="00030AAB"/>
    <w:rsid w:val="00030C25"/>
    <w:rsid w:val="0003106C"/>
    <w:rsid w:val="00032990"/>
    <w:rsid w:val="00032D90"/>
    <w:rsid w:val="00032E1F"/>
    <w:rsid w:val="00033145"/>
    <w:rsid w:val="00033319"/>
    <w:rsid w:val="00033905"/>
    <w:rsid w:val="0003420B"/>
    <w:rsid w:val="0003456F"/>
    <w:rsid w:val="00035024"/>
    <w:rsid w:val="00036560"/>
    <w:rsid w:val="00036B70"/>
    <w:rsid w:val="00036D67"/>
    <w:rsid w:val="000376D2"/>
    <w:rsid w:val="00040082"/>
    <w:rsid w:val="0004081D"/>
    <w:rsid w:val="00041341"/>
    <w:rsid w:val="00041A58"/>
    <w:rsid w:val="00042535"/>
    <w:rsid w:val="00043033"/>
    <w:rsid w:val="00043692"/>
    <w:rsid w:val="00044281"/>
    <w:rsid w:val="00044ADF"/>
    <w:rsid w:val="00044CD2"/>
    <w:rsid w:val="0004559B"/>
    <w:rsid w:val="000460A0"/>
    <w:rsid w:val="00047054"/>
    <w:rsid w:val="00047210"/>
    <w:rsid w:val="0005053B"/>
    <w:rsid w:val="00050ADF"/>
    <w:rsid w:val="0005159C"/>
    <w:rsid w:val="000519A6"/>
    <w:rsid w:val="00051A50"/>
    <w:rsid w:val="000522A6"/>
    <w:rsid w:val="00052438"/>
    <w:rsid w:val="00052A33"/>
    <w:rsid w:val="00052BE4"/>
    <w:rsid w:val="00053DCD"/>
    <w:rsid w:val="000544CF"/>
    <w:rsid w:val="00055326"/>
    <w:rsid w:val="00055999"/>
    <w:rsid w:val="000564E2"/>
    <w:rsid w:val="000565E7"/>
    <w:rsid w:val="000576FE"/>
    <w:rsid w:val="00057E61"/>
    <w:rsid w:val="00057F6E"/>
    <w:rsid w:val="00060498"/>
    <w:rsid w:val="00061234"/>
    <w:rsid w:val="0006128A"/>
    <w:rsid w:val="0006136F"/>
    <w:rsid w:val="00061437"/>
    <w:rsid w:val="000617A1"/>
    <w:rsid w:val="000619A6"/>
    <w:rsid w:val="00062252"/>
    <w:rsid w:val="00062AC3"/>
    <w:rsid w:val="00064C62"/>
    <w:rsid w:val="000661D5"/>
    <w:rsid w:val="0006658C"/>
    <w:rsid w:val="00066B14"/>
    <w:rsid w:val="00067E75"/>
    <w:rsid w:val="0007088E"/>
    <w:rsid w:val="00070943"/>
    <w:rsid w:val="00070A8E"/>
    <w:rsid w:val="00070AFB"/>
    <w:rsid w:val="0007200A"/>
    <w:rsid w:val="0007275C"/>
    <w:rsid w:val="00072B41"/>
    <w:rsid w:val="00072E58"/>
    <w:rsid w:val="000731B1"/>
    <w:rsid w:val="00073660"/>
    <w:rsid w:val="00074C04"/>
    <w:rsid w:val="00074D2F"/>
    <w:rsid w:val="0007739C"/>
    <w:rsid w:val="00077C82"/>
    <w:rsid w:val="0008023B"/>
    <w:rsid w:val="0008125B"/>
    <w:rsid w:val="000816A9"/>
    <w:rsid w:val="00082EDE"/>
    <w:rsid w:val="00083851"/>
    <w:rsid w:val="000847D4"/>
    <w:rsid w:val="00084951"/>
    <w:rsid w:val="00084B01"/>
    <w:rsid w:val="00084D7F"/>
    <w:rsid w:val="00084F79"/>
    <w:rsid w:val="0008561B"/>
    <w:rsid w:val="00085A0F"/>
    <w:rsid w:val="00086C87"/>
    <w:rsid w:val="000871B5"/>
    <w:rsid w:val="00090CD6"/>
    <w:rsid w:val="0009123D"/>
    <w:rsid w:val="000927E0"/>
    <w:rsid w:val="00092817"/>
    <w:rsid w:val="0009299F"/>
    <w:rsid w:val="000930EE"/>
    <w:rsid w:val="0009310B"/>
    <w:rsid w:val="0009312E"/>
    <w:rsid w:val="00093471"/>
    <w:rsid w:val="00094143"/>
    <w:rsid w:val="00095EB4"/>
    <w:rsid w:val="00096001"/>
    <w:rsid w:val="00096BAF"/>
    <w:rsid w:val="00097996"/>
    <w:rsid w:val="00097BFD"/>
    <w:rsid w:val="00097F99"/>
    <w:rsid w:val="000A110E"/>
    <w:rsid w:val="000A158C"/>
    <w:rsid w:val="000A1A44"/>
    <w:rsid w:val="000A28BA"/>
    <w:rsid w:val="000A2C28"/>
    <w:rsid w:val="000A373E"/>
    <w:rsid w:val="000A3C20"/>
    <w:rsid w:val="000A3DA8"/>
    <w:rsid w:val="000A430F"/>
    <w:rsid w:val="000A4914"/>
    <w:rsid w:val="000A4E46"/>
    <w:rsid w:val="000A5238"/>
    <w:rsid w:val="000A5FEE"/>
    <w:rsid w:val="000A6094"/>
    <w:rsid w:val="000A6359"/>
    <w:rsid w:val="000A748F"/>
    <w:rsid w:val="000A756C"/>
    <w:rsid w:val="000A7E30"/>
    <w:rsid w:val="000B0EA5"/>
    <w:rsid w:val="000B1B4D"/>
    <w:rsid w:val="000B2BBA"/>
    <w:rsid w:val="000B3553"/>
    <w:rsid w:val="000B3634"/>
    <w:rsid w:val="000B44A9"/>
    <w:rsid w:val="000B458A"/>
    <w:rsid w:val="000B5ED4"/>
    <w:rsid w:val="000B6244"/>
    <w:rsid w:val="000B6E5D"/>
    <w:rsid w:val="000B7016"/>
    <w:rsid w:val="000B7721"/>
    <w:rsid w:val="000B78B3"/>
    <w:rsid w:val="000B7F97"/>
    <w:rsid w:val="000C03F4"/>
    <w:rsid w:val="000C07D3"/>
    <w:rsid w:val="000C0841"/>
    <w:rsid w:val="000C1FB1"/>
    <w:rsid w:val="000C2E31"/>
    <w:rsid w:val="000C4FD1"/>
    <w:rsid w:val="000C67C7"/>
    <w:rsid w:val="000C6942"/>
    <w:rsid w:val="000C72D1"/>
    <w:rsid w:val="000C742A"/>
    <w:rsid w:val="000C75A0"/>
    <w:rsid w:val="000D0360"/>
    <w:rsid w:val="000D0364"/>
    <w:rsid w:val="000D059B"/>
    <w:rsid w:val="000D2BEA"/>
    <w:rsid w:val="000D2D97"/>
    <w:rsid w:val="000D3174"/>
    <w:rsid w:val="000D3E09"/>
    <w:rsid w:val="000D443A"/>
    <w:rsid w:val="000D488A"/>
    <w:rsid w:val="000D5248"/>
    <w:rsid w:val="000D6B57"/>
    <w:rsid w:val="000D75DE"/>
    <w:rsid w:val="000D79E5"/>
    <w:rsid w:val="000D7B7F"/>
    <w:rsid w:val="000D7FF1"/>
    <w:rsid w:val="000E046F"/>
    <w:rsid w:val="000E0CFA"/>
    <w:rsid w:val="000E1CAB"/>
    <w:rsid w:val="000E237E"/>
    <w:rsid w:val="000E3917"/>
    <w:rsid w:val="000E3BDD"/>
    <w:rsid w:val="000E61AF"/>
    <w:rsid w:val="000E656D"/>
    <w:rsid w:val="000E7309"/>
    <w:rsid w:val="000E736E"/>
    <w:rsid w:val="000F0B9D"/>
    <w:rsid w:val="000F1C48"/>
    <w:rsid w:val="000F218E"/>
    <w:rsid w:val="000F34D7"/>
    <w:rsid w:val="000F39AB"/>
    <w:rsid w:val="000F3DEC"/>
    <w:rsid w:val="000F4614"/>
    <w:rsid w:val="000F4B03"/>
    <w:rsid w:val="000F4BD9"/>
    <w:rsid w:val="000F4BE6"/>
    <w:rsid w:val="000F5816"/>
    <w:rsid w:val="000F7324"/>
    <w:rsid w:val="0010061E"/>
    <w:rsid w:val="001013F2"/>
    <w:rsid w:val="001014D9"/>
    <w:rsid w:val="001014F1"/>
    <w:rsid w:val="00101A97"/>
    <w:rsid w:val="00102033"/>
    <w:rsid w:val="001036F2"/>
    <w:rsid w:val="00103CB5"/>
    <w:rsid w:val="00104366"/>
    <w:rsid w:val="001055F5"/>
    <w:rsid w:val="001056CD"/>
    <w:rsid w:val="00105D57"/>
    <w:rsid w:val="001101D2"/>
    <w:rsid w:val="0011149C"/>
    <w:rsid w:val="00111F25"/>
    <w:rsid w:val="00112438"/>
    <w:rsid w:val="00112757"/>
    <w:rsid w:val="00112DB6"/>
    <w:rsid w:val="00114E90"/>
    <w:rsid w:val="001151E8"/>
    <w:rsid w:val="001152CD"/>
    <w:rsid w:val="00115F7B"/>
    <w:rsid w:val="001161DB"/>
    <w:rsid w:val="00116230"/>
    <w:rsid w:val="0011670E"/>
    <w:rsid w:val="00116A54"/>
    <w:rsid w:val="001178E6"/>
    <w:rsid w:val="00117C89"/>
    <w:rsid w:val="00120854"/>
    <w:rsid w:val="0012096B"/>
    <w:rsid w:val="00120A88"/>
    <w:rsid w:val="001217B6"/>
    <w:rsid w:val="00121ED9"/>
    <w:rsid w:val="0012266E"/>
    <w:rsid w:val="001228C9"/>
    <w:rsid w:val="001231BF"/>
    <w:rsid w:val="001232FB"/>
    <w:rsid w:val="00123D0C"/>
    <w:rsid w:val="00123DB3"/>
    <w:rsid w:val="00124860"/>
    <w:rsid w:val="00125315"/>
    <w:rsid w:val="00126624"/>
    <w:rsid w:val="00127118"/>
    <w:rsid w:val="00127DD4"/>
    <w:rsid w:val="001304CE"/>
    <w:rsid w:val="00131802"/>
    <w:rsid w:val="00131A20"/>
    <w:rsid w:val="00131B2F"/>
    <w:rsid w:val="001320A4"/>
    <w:rsid w:val="001321A2"/>
    <w:rsid w:val="001324FD"/>
    <w:rsid w:val="00133249"/>
    <w:rsid w:val="001347B2"/>
    <w:rsid w:val="00134862"/>
    <w:rsid w:val="001350F7"/>
    <w:rsid w:val="0013532C"/>
    <w:rsid w:val="00135D6C"/>
    <w:rsid w:val="0013607C"/>
    <w:rsid w:val="0013649D"/>
    <w:rsid w:val="0013653B"/>
    <w:rsid w:val="00136A18"/>
    <w:rsid w:val="00136B14"/>
    <w:rsid w:val="00136C8A"/>
    <w:rsid w:val="00136E9F"/>
    <w:rsid w:val="0014052B"/>
    <w:rsid w:val="00140897"/>
    <w:rsid w:val="001409DD"/>
    <w:rsid w:val="00141DE5"/>
    <w:rsid w:val="00142386"/>
    <w:rsid w:val="00142899"/>
    <w:rsid w:val="00142E9B"/>
    <w:rsid w:val="00143C5A"/>
    <w:rsid w:val="00144371"/>
    <w:rsid w:val="00144BAA"/>
    <w:rsid w:val="00144C82"/>
    <w:rsid w:val="00144D85"/>
    <w:rsid w:val="0014509C"/>
    <w:rsid w:val="0014561C"/>
    <w:rsid w:val="0014568B"/>
    <w:rsid w:val="001460DA"/>
    <w:rsid w:val="00146EF6"/>
    <w:rsid w:val="0014721C"/>
    <w:rsid w:val="0014725B"/>
    <w:rsid w:val="00147343"/>
    <w:rsid w:val="00147770"/>
    <w:rsid w:val="0014788A"/>
    <w:rsid w:val="001509E6"/>
    <w:rsid w:val="00150F93"/>
    <w:rsid w:val="001516DC"/>
    <w:rsid w:val="00151F1A"/>
    <w:rsid w:val="00151FDB"/>
    <w:rsid w:val="0015207B"/>
    <w:rsid w:val="00152353"/>
    <w:rsid w:val="001524D6"/>
    <w:rsid w:val="0015274B"/>
    <w:rsid w:val="00153067"/>
    <w:rsid w:val="0015307F"/>
    <w:rsid w:val="00153F41"/>
    <w:rsid w:val="00154663"/>
    <w:rsid w:val="00154668"/>
    <w:rsid w:val="00154A9B"/>
    <w:rsid w:val="00154BF5"/>
    <w:rsid w:val="00155158"/>
    <w:rsid w:val="00155F76"/>
    <w:rsid w:val="001571E2"/>
    <w:rsid w:val="001575EE"/>
    <w:rsid w:val="00157A05"/>
    <w:rsid w:val="00160259"/>
    <w:rsid w:val="00160FD5"/>
    <w:rsid w:val="00162A3A"/>
    <w:rsid w:val="00162A7E"/>
    <w:rsid w:val="00165441"/>
    <w:rsid w:val="001660DF"/>
    <w:rsid w:val="00166F71"/>
    <w:rsid w:val="0016737D"/>
    <w:rsid w:val="00167804"/>
    <w:rsid w:val="00167D3D"/>
    <w:rsid w:val="00170591"/>
    <w:rsid w:val="001705E6"/>
    <w:rsid w:val="0017203F"/>
    <w:rsid w:val="00173550"/>
    <w:rsid w:val="001736AE"/>
    <w:rsid w:val="00174842"/>
    <w:rsid w:val="00174E2E"/>
    <w:rsid w:val="0017590C"/>
    <w:rsid w:val="00175986"/>
    <w:rsid w:val="00176612"/>
    <w:rsid w:val="001773FE"/>
    <w:rsid w:val="0017790A"/>
    <w:rsid w:val="00177C94"/>
    <w:rsid w:val="001800AC"/>
    <w:rsid w:val="00180864"/>
    <w:rsid w:val="00180B69"/>
    <w:rsid w:val="00180DA3"/>
    <w:rsid w:val="00181264"/>
    <w:rsid w:val="00181CBD"/>
    <w:rsid w:val="001831EE"/>
    <w:rsid w:val="00183D13"/>
    <w:rsid w:val="00183F53"/>
    <w:rsid w:val="00184394"/>
    <w:rsid w:val="0018443E"/>
    <w:rsid w:val="00185AF2"/>
    <w:rsid w:val="0018624A"/>
    <w:rsid w:val="00186BA2"/>
    <w:rsid w:val="0018717A"/>
    <w:rsid w:val="001872FD"/>
    <w:rsid w:val="00187401"/>
    <w:rsid w:val="001878AD"/>
    <w:rsid w:val="00187CBB"/>
    <w:rsid w:val="0019008E"/>
    <w:rsid w:val="00190AC1"/>
    <w:rsid w:val="00191692"/>
    <w:rsid w:val="001918BA"/>
    <w:rsid w:val="00191CE7"/>
    <w:rsid w:val="001929B8"/>
    <w:rsid w:val="00192BCA"/>
    <w:rsid w:val="0019334D"/>
    <w:rsid w:val="00193621"/>
    <w:rsid w:val="00194230"/>
    <w:rsid w:val="001944E5"/>
    <w:rsid w:val="0019498D"/>
    <w:rsid w:val="00194EE9"/>
    <w:rsid w:val="00195106"/>
    <w:rsid w:val="001951EC"/>
    <w:rsid w:val="00196807"/>
    <w:rsid w:val="001968DC"/>
    <w:rsid w:val="001968EA"/>
    <w:rsid w:val="001978FC"/>
    <w:rsid w:val="00197C91"/>
    <w:rsid w:val="001A036F"/>
    <w:rsid w:val="001A150B"/>
    <w:rsid w:val="001A2B5F"/>
    <w:rsid w:val="001A2E63"/>
    <w:rsid w:val="001A301B"/>
    <w:rsid w:val="001A30DD"/>
    <w:rsid w:val="001A382F"/>
    <w:rsid w:val="001A38E5"/>
    <w:rsid w:val="001A3C05"/>
    <w:rsid w:val="001A43C5"/>
    <w:rsid w:val="001A48FA"/>
    <w:rsid w:val="001A4992"/>
    <w:rsid w:val="001A5478"/>
    <w:rsid w:val="001A6187"/>
    <w:rsid w:val="001A63AE"/>
    <w:rsid w:val="001A6A84"/>
    <w:rsid w:val="001B0735"/>
    <w:rsid w:val="001B0ED8"/>
    <w:rsid w:val="001B16F9"/>
    <w:rsid w:val="001B1B8F"/>
    <w:rsid w:val="001B25BF"/>
    <w:rsid w:val="001B2841"/>
    <w:rsid w:val="001B2853"/>
    <w:rsid w:val="001B293E"/>
    <w:rsid w:val="001B3183"/>
    <w:rsid w:val="001B37F4"/>
    <w:rsid w:val="001B3F52"/>
    <w:rsid w:val="001B436C"/>
    <w:rsid w:val="001B4B8A"/>
    <w:rsid w:val="001B5F51"/>
    <w:rsid w:val="001B7820"/>
    <w:rsid w:val="001C0E01"/>
    <w:rsid w:val="001C1352"/>
    <w:rsid w:val="001C1772"/>
    <w:rsid w:val="001C1A38"/>
    <w:rsid w:val="001C2227"/>
    <w:rsid w:val="001C3724"/>
    <w:rsid w:val="001C3E39"/>
    <w:rsid w:val="001C40C5"/>
    <w:rsid w:val="001C4D14"/>
    <w:rsid w:val="001C53F9"/>
    <w:rsid w:val="001C58EF"/>
    <w:rsid w:val="001C5F39"/>
    <w:rsid w:val="001C764C"/>
    <w:rsid w:val="001C7947"/>
    <w:rsid w:val="001C7EF4"/>
    <w:rsid w:val="001D09BB"/>
    <w:rsid w:val="001D0AAF"/>
    <w:rsid w:val="001D15D2"/>
    <w:rsid w:val="001D1FA0"/>
    <w:rsid w:val="001D1FDA"/>
    <w:rsid w:val="001D2E02"/>
    <w:rsid w:val="001D314A"/>
    <w:rsid w:val="001D3D37"/>
    <w:rsid w:val="001D449D"/>
    <w:rsid w:val="001D5277"/>
    <w:rsid w:val="001D688C"/>
    <w:rsid w:val="001D6F32"/>
    <w:rsid w:val="001D7953"/>
    <w:rsid w:val="001D7DD7"/>
    <w:rsid w:val="001E00E7"/>
    <w:rsid w:val="001E05A3"/>
    <w:rsid w:val="001E09E2"/>
    <w:rsid w:val="001E191D"/>
    <w:rsid w:val="001E1E56"/>
    <w:rsid w:val="001E282C"/>
    <w:rsid w:val="001E283B"/>
    <w:rsid w:val="001E30D8"/>
    <w:rsid w:val="001E337D"/>
    <w:rsid w:val="001E357C"/>
    <w:rsid w:val="001E41BA"/>
    <w:rsid w:val="001E4C8E"/>
    <w:rsid w:val="001E543D"/>
    <w:rsid w:val="001E595E"/>
    <w:rsid w:val="001E5F31"/>
    <w:rsid w:val="001E5F73"/>
    <w:rsid w:val="001E7485"/>
    <w:rsid w:val="001E74FF"/>
    <w:rsid w:val="001E75FC"/>
    <w:rsid w:val="001E7E95"/>
    <w:rsid w:val="001E7F3C"/>
    <w:rsid w:val="001F0063"/>
    <w:rsid w:val="001F0659"/>
    <w:rsid w:val="001F0A25"/>
    <w:rsid w:val="001F2044"/>
    <w:rsid w:val="001F2C40"/>
    <w:rsid w:val="001F3413"/>
    <w:rsid w:val="001F3B21"/>
    <w:rsid w:val="001F3CA4"/>
    <w:rsid w:val="001F40E2"/>
    <w:rsid w:val="001F414C"/>
    <w:rsid w:val="001F4603"/>
    <w:rsid w:val="001F649E"/>
    <w:rsid w:val="001F6513"/>
    <w:rsid w:val="001F791D"/>
    <w:rsid w:val="002013C0"/>
    <w:rsid w:val="00201B0C"/>
    <w:rsid w:val="00201D3F"/>
    <w:rsid w:val="0020233A"/>
    <w:rsid w:val="00202F75"/>
    <w:rsid w:val="002032A1"/>
    <w:rsid w:val="00203487"/>
    <w:rsid w:val="00203BDA"/>
    <w:rsid w:val="00204C37"/>
    <w:rsid w:val="00204D2A"/>
    <w:rsid w:val="002059C5"/>
    <w:rsid w:val="00205C88"/>
    <w:rsid w:val="00206727"/>
    <w:rsid w:val="002073C0"/>
    <w:rsid w:val="00207818"/>
    <w:rsid w:val="00210359"/>
    <w:rsid w:val="002116A2"/>
    <w:rsid w:val="00211AAA"/>
    <w:rsid w:val="002132AF"/>
    <w:rsid w:val="00213876"/>
    <w:rsid w:val="0021404D"/>
    <w:rsid w:val="00214347"/>
    <w:rsid w:val="00214C53"/>
    <w:rsid w:val="002164E6"/>
    <w:rsid w:val="0021742A"/>
    <w:rsid w:val="0021793E"/>
    <w:rsid w:val="00220C6B"/>
    <w:rsid w:val="00221344"/>
    <w:rsid w:val="002215E1"/>
    <w:rsid w:val="0022345E"/>
    <w:rsid w:val="0022367D"/>
    <w:rsid w:val="0022375B"/>
    <w:rsid w:val="00223FAE"/>
    <w:rsid w:val="00223FB2"/>
    <w:rsid w:val="00224DF1"/>
    <w:rsid w:val="00224E63"/>
    <w:rsid w:val="0022555D"/>
    <w:rsid w:val="002255F0"/>
    <w:rsid w:val="002270F4"/>
    <w:rsid w:val="0022785E"/>
    <w:rsid w:val="00227F90"/>
    <w:rsid w:val="00230D0B"/>
    <w:rsid w:val="00231BA1"/>
    <w:rsid w:val="00231C95"/>
    <w:rsid w:val="00232F83"/>
    <w:rsid w:val="00233063"/>
    <w:rsid w:val="002335E4"/>
    <w:rsid w:val="002338BF"/>
    <w:rsid w:val="00233ED0"/>
    <w:rsid w:val="002350B4"/>
    <w:rsid w:val="00236F3F"/>
    <w:rsid w:val="0023746D"/>
    <w:rsid w:val="002400EE"/>
    <w:rsid w:val="00240A3E"/>
    <w:rsid w:val="00240CA4"/>
    <w:rsid w:val="0024115E"/>
    <w:rsid w:val="00241179"/>
    <w:rsid w:val="002416A6"/>
    <w:rsid w:val="002417A5"/>
    <w:rsid w:val="00241E39"/>
    <w:rsid w:val="00242FD8"/>
    <w:rsid w:val="0024338B"/>
    <w:rsid w:val="00245769"/>
    <w:rsid w:val="0024637C"/>
    <w:rsid w:val="0024660F"/>
    <w:rsid w:val="0024701B"/>
    <w:rsid w:val="0024705D"/>
    <w:rsid w:val="002470A1"/>
    <w:rsid w:val="00247473"/>
    <w:rsid w:val="002479FA"/>
    <w:rsid w:val="00247BCB"/>
    <w:rsid w:val="002504BB"/>
    <w:rsid w:val="0025095D"/>
    <w:rsid w:val="002515C2"/>
    <w:rsid w:val="002516C1"/>
    <w:rsid w:val="00251D6C"/>
    <w:rsid w:val="00251F78"/>
    <w:rsid w:val="00252C4C"/>
    <w:rsid w:val="00252F30"/>
    <w:rsid w:val="00253579"/>
    <w:rsid w:val="00253EDB"/>
    <w:rsid w:val="0025441A"/>
    <w:rsid w:val="002549CF"/>
    <w:rsid w:val="00254B1A"/>
    <w:rsid w:val="00254BCD"/>
    <w:rsid w:val="00254D74"/>
    <w:rsid w:val="00254FB4"/>
    <w:rsid w:val="0025549C"/>
    <w:rsid w:val="00255BE0"/>
    <w:rsid w:val="00256685"/>
    <w:rsid w:val="00256785"/>
    <w:rsid w:val="00256EBA"/>
    <w:rsid w:val="002572C3"/>
    <w:rsid w:val="00257A0E"/>
    <w:rsid w:val="00257EBB"/>
    <w:rsid w:val="00260735"/>
    <w:rsid w:val="00260B67"/>
    <w:rsid w:val="00260E32"/>
    <w:rsid w:val="00261893"/>
    <w:rsid w:val="00261BC1"/>
    <w:rsid w:val="00262D5B"/>
    <w:rsid w:val="00264893"/>
    <w:rsid w:val="00265021"/>
    <w:rsid w:val="0026626C"/>
    <w:rsid w:val="0026638C"/>
    <w:rsid w:val="0026656D"/>
    <w:rsid w:val="002668F3"/>
    <w:rsid w:val="0026723F"/>
    <w:rsid w:val="00267F0F"/>
    <w:rsid w:val="0027388F"/>
    <w:rsid w:val="00276D35"/>
    <w:rsid w:val="00277E4C"/>
    <w:rsid w:val="0028069C"/>
    <w:rsid w:val="00280A97"/>
    <w:rsid w:val="00280C89"/>
    <w:rsid w:val="002814AB"/>
    <w:rsid w:val="00281B39"/>
    <w:rsid w:val="002829E0"/>
    <w:rsid w:val="00282C67"/>
    <w:rsid w:val="00283010"/>
    <w:rsid w:val="002830BE"/>
    <w:rsid w:val="002849CD"/>
    <w:rsid w:val="00284EC1"/>
    <w:rsid w:val="002851EC"/>
    <w:rsid w:val="00286373"/>
    <w:rsid w:val="00286B93"/>
    <w:rsid w:val="00287D80"/>
    <w:rsid w:val="00287F1B"/>
    <w:rsid w:val="00290143"/>
    <w:rsid w:val="002910D3"/>
    <w:rsid w:val="00291458"/>
    <w:rsid w:val="002915B7"/>
    <w:rsid w:val="00291851"/>
    <w:rsid w:val="00291B27"/>
    <w:rsid w:val="002920C9"/>
    <w:rsid w:val="00292577"/>
    <w:rsid w:val="00292B81"/>
    <w:rsid w:val="00292D4B"/>
    <w:rsid w:val="00292D93"/>
    <w:rsid w:val="00293D44"/>
    <w:rsid w:val="002946CB"/>
    <w:rsid w:val="00295A24"/>
    <w:rsid w:val="002971D1"/>
    <w:rsid w:val="00297C1D"/>
    <w:rsid w:val="002A0BD3"/>
    <w:rsid w:val="002A0D66"/>
    <w:rsid w:val="002A0E9B"/>
    <w:rsid w:val="002A101D"/>
    <w:rsid w:val="002A1231"/>
    <w:rsid w:val="002A1A7B"/>
    <w:rsid w:val="002A24CE"/>
    <w:rsid w:val="002A2D5D"/>
    <w:rsid w:val="002A2D96"/>
    <w:rsid w:val="002A32E5"/>
    <w:rsid w:val="002A3E2F"/>
    <w:rsid w:val="002A5183"/>
    <w:rsid w:val="002A52D6"/>
    <w:rsid w:val="002A55FB"/>
    <w:rsid w:val="002A5779"/>
    <w:rsid w:val="002A64A4"/>
    <w:rsid w:val="002A6C44"/>
    <w:rsid w:val="002A740D"/>
    <w:rsid w:val="002A74D1"/>
    <w:rsid w:val="002A7763"/>
    <w:rsid w:val="002B0C63"/>
    <w:rsid w:val="002B1766"/>
    <w:rsid w:val="002B2ABE"/>
    <w:rsid w:val="002B2C37"/>
    <w:rsid w:val="002B2E48"/>
    <w:rsid w:val="002B3532"/>
    <w:rsid w:val="002B415D"/>
    <w:rsid w:val="002B4223"/>
    <w:rsid w:val="002B4996"/>
    <w:rsid w:val="002B627D"/>
    <w:rsid w:val="002B634E"/>
    <w:rsid w:val="002B69C3"/>
    <w:rsid w:val="002B7371"/>
    <w:rsid w:val="002B74EF"/>
    <w:rsid w:val="002B7B26"/>
    <w:rsid w:val="002C083C"/>
    <w:rsid w:val="002C149C"/>
    <w:rsid w:val="002C1F62"/>
    <w:rsid w:val="002C2859"/>
    <w:rsid w:val="002C2AFF"/>
    <w:rsid w:val="002C3491"/>
    <w:rsid w:val="002C4A01"/>
    <w:rsid w:val="002C4DAF"/>
    <w:rsid w:val="002C4DE1"/>
    <w:rsid w:val="002C5326"/>
    <w:rsid w:val="002C5BFD"/>
    <w:rsid w:val="002C5CF2"/>
    <w:rsid w:val="002C60EE"/>
    <w:rsid w:val="002C6167"/>
    <w:rsid w:val="002C6224"/>
    <w:rsid w:val="002D080D"/>
    <w:rsid w:val="002D1B31"/>
    <w:rsid w:val="002D1EBB"/>
    <w:rsid w:val="002D2154"/>
    <w:rsid w:val="002D26E0"/>
    <w:rsid w:val="002D2B60"/>
    <w:rsid w:val="002D2CAF"/>
    <w:rsid w:val="002D40C5"/>
    <w:rsid w:val="002D4C23"/>
    <w:rsid w:val="002D518B"/>
    <w:rsid w:val="002D6899"/>
    <w:rsid w:val="002D6B49"/>
    <w:rsid w:val="002D7197"/>
    <w:rsid w:val="002D78C2"/>
    <w:rsid w:val="002D7CC0"/>
    <w:rsid w:val="002D7E51"/>
    <w:rsid w:val="002E058A"/>
    <w:rsid w:val="002E19DA"/>
    <w:rsid w:val="002E25D8"/>
    <w:rsid w:val="002E30A2"/>
    <w:rsid w:val="002E33BF"/>
    <w:rsid w:val="002E3DE7"/>
    <w:rsid w:val="002E3F6A"/>
    <w:rsid w:val="002E4555"/>
    <w:rsid w:val="002E5DC7"/>
    <w:rsid w:val="002E6C3B"/>
    <w:rsid w:val="002E7945"/>
    <w:rsid w:val="002F072C"/>
    <w:rsid w:val="002F1387"/>
    <w:rsid w:val="002F176F"/>
    <w:rsid w:val="002F2276"/>
    <w:rsid w:val="002F2B0D"/>
    <w:rsid w:val="002F2F35"/>
    <w:rsid w:val="002F33A4"/>
    <w:rsid w:val="002F3AD9"/>
    <w:rsid w:val="002F4241"/>
    <w:rsid w:val="002F49AC"/>
    <w:rsid w:val="002F4B2E"/>
    <w:rsid w:val="002F5DF7"/>
    <w:rsid w:val="002F6583"/>
    <w:rsid w:val="002F6747"/>
    <w:rsid w:val="002F7031"/>
    <w:rsid w:val="002F71F6"/>
    <w:rsid w:val="002F7959"/>
    <w:rsid w:val="002F7D3E"/>
    <w:rsid w:val="0030117C"/>
    <w:rsid w:val="00301347"/>
    <w:rsid w:val="003014EC"/>
    <w:rsid w:val="003019C3"/>
    <w:rsid w:val="00301AD2"/>
    <w:rsid w:val="00301F8B"/>
    <w:rsid w:val="003021EB"/>
    <w:rsid w:val="00302EDD"/>
    <w:rsid w:val="00303529"/>
    <w:rsid w:val="00303AD3"/>
    <w:rsid w:val="003052E2"/>
    <w:rsid w:val="0030618C"/>
    <w:rsid w:val="00307194"/>
    <w:rsid w:val="0030740D"/>
    <w:rsid w:val="00310825"/>
    <w:rsid w:val="0031161A"/>
    <w:rsid w:val="00312AB4"/>
    <w:rsid w:val="00313F77"/>
    <w:rsid w:val="00314C05"/>
    <w:rsid w:val="0031584F"/>
    <w:rsid w:val="00315EF9"/>
    <w:rsid w:val="0031626C"/>
    <w:rsid w:val="00316838"/>
    <w:rsid w:val="0031683A"/>
    <w:rsid w:val="003168DF"/>
    <w:rsid w:val="0031695F"/>
    <w:rsid w:val="003170C5"/>
    <w:rsid w:val="00317FD4"/>
    <w:rsid w:val="00320AAD"/>
    <w:rsid w:val="003212FA"/>
    <w:rsid w:val="003226F7"/>
    <w:rsid w:val="00322B66"/>
    <w:rsid w:val="00323467"/>
    <w:rsid w:val="00323469"/>
    <w:rsid w:val="00323B83"/>
    <w:rsid w:val="00324661"/>
    <w:rsid w:val="00324F5E"/>
    <w:rsid w:val="003259AB"/>
    <w:rsid w:val="0032619F"/>
    <w:rsid w:val="00327DFA"/>
    <w:rsid w:val="00327F5B"/>
    <w:rsid w:val="0033000F"/>
    <w:rsid w:val="00330B92"/>
    <w:rsid w:val="003313CD"/>
    <w:rsid w:val="003315BA"/>
    <w:rsid w:val="00331684"/>
    <w:rsid w:val="003321D3"/>
    <w:rsid w:val="003322AA"/>
    <w:rsid w:val="003324ED"/>
    <w:rsid w:val="00332B8B"/>
    <w:rsid w:val="00333220"/>
    <w:rsid w:val="00333AEF"/>
    <w:rsid w:val="00333F1B"/>
    <w:rsid w:val="003340E6"/>
    <w:rsid w:val="00334625"/>
    <w:rsid w:val="00334670"/>
    <w:rsid w:val="00334BA1"/>
    <w:rsid w:val="00334E36"/>
    <w:rsid w:val="00334ED6"/>
    <w:rsid w:val="003352A6"/>
    <w:rsid w:val="00335C65"/>
    <w:rsid w:val="00336288"/>
    <w:rsid w:val="00340568"/>
    <w:rsid w:val="003416D1"/>
    <w:rsid w:val="003416E4"/>
    <w:rsid w:val="00343B52"/>
    <w:rsid w:val="00343C0A"/>
    <w:rsid w:val="003440A6"/>
    <w:rsid w:val="003447B9"/>
    <w:rsid w:val="003452AE"/>
    <w:rsid w:val="00350B31"/>
    <w:rsid w:val="00350F88"/>
    <w:rsid w:val="003514A7"/>
    <w:rsid w:val="00351821"/>
    <w:rsid w:val="00351BAD"/>
    <w:rsid w:val="00352261"/>
    <w:rsid w:val="00352AF4"/>
    <w:rsid w:val="00353720"/>
    <w:rsid w:val="00353A92"/>
    <w:rsid w:val="0035434C"/>
    <w:rsid w:val="003545C3"/>
    <w:rsid w:val="00354690"/>
    <w:rsid w:val="003546B7"/>
    <w:rsid w:val="003559B6"/>
    <w:rsid w:val="00355FDE"/>
    <w:rsid w:val="003568C3"/>
    <w:rsid w:val="00356D93"/>
    <w:rsid w:val="0035715D"/>
    <w:rsid w:val="00357D3B"/>
    <w:rsid w:val="00357DED"/>
    <w:rsid w:val="00357EFC"/>
    <w:rsid w:val="00360CF0"/>
    <w:rsid w:val="00360F59"/>
    <w:rsid w:val="00362664"/>
    <w:rsid w:val="00362B92"/>
    <w:rsid w:val="003634D5"/>
    <w:rsid w:val="003640F3"/>
    <w:rsid w:val="003649A4"/>
    <w:rsid w:val="003656EF"/>
    <w:rsid w:val="003668A8"/>
    <w:rsid w:val="00366D23"/>
    <w:rsid w:val="00366F4E"/>
    <w:rsid w:val="00367A56"/>
    <w:rsid w:val="00367B6E"/>
    <w:rsid w:val="00367C8F"/>
    <w:rsid w:val="00370131"/>
    <w:rsid w:val="0037089F"/>
    <w:rsid w:val="0037362E"/>
    <w:rsid w:val="003739E2"/>
    <w:rsid w:val="00373EA1"/>
    <w:rsid w:val="00374045"/>
    <w:rsid w:val="00375C1B"/>
    <w:rsid w:val="00376B39"/>
    <w:rsid w:val="00376C9A"/>
    <w:rsid w:val="00380156"/>
    <w:rsid w:val="003802C4"/>
    <w:rsid w:val="00381333"/>
    <w:rsid w:val="003814CE"/>
    <w:rsid w:val="003815A8"/>
    <w:rsid w:val="00381A23"/>
    <w:rsid w:val="00381A8D"/>
    <w:rsid w:val="00381CEF"/>
    <w:rsid w:val="00382049"/>
    <w:rsid w:val="003838CC"/>
    <w:rsid w:val="00383D1A"/>
    <w:rsid w:val="003861B1"/>
    <w:rsid w:val="0038687C"/>
    <w:rsid w:val="00386D37"/>
    <w:rsid w:val="00386F8A"/>
    <w:rsid w:val="00387711"/>
    <w:rsid w:val="003901D3"/>
    <w:rsid w:val="003905AD"/>
    <w:rsid w:val="003911A9"/>
    <w:rsid w:val="00391299"/>
    <w:rsid w:val="0039182A"/>
    <w:rsid w:val="00391860"/>
    <w:rsid w:val="00391B43"/>
    <w:rsid w:val="003921D6"/>
    <w:rsid w:val="003922E7"/>
    <w:rsid w:val="00393166"/>
    <w:rsid w:val="00393316"/>
    <w:rsid w:val="003939EA"/>
    <w:rsid w:val="00393E7E"/>
    <w:rsid w:val="003944D3"/>
    <w:rsid w:val="003956C3"/>
    <w:rsid w:val="003956E6"/>
    <w:rsid w:val="00395A52"/>
    <w:rsid w:val="00395F6B"/>
    <w:rsid w:val="003963D8"/>
    <w:rsid w:val="00396668"/>
    <w:rsid w:val="00396DD7"/>
    <w:rsid w:val="00396E36"/>
    <w:rsid w:val="003979E6"/>
    <w:rsid w:val="003A08BF"/>
    <w:rsid w:val="003A0AC1"/>
    <w:rsid w:val="003A0EE6"/>
    <w:rsid w:val="003A132E"/>
    <w:rsid w:val="003A13ED"/>
    <w:rsid w:val="003A148D"/>
    <w:rsid w:val="003A1A84"/>
    <w:rsid w:val="003A2257"/>
    <w:rsid w:val="003A2458"/>
    <w:rsid w:val="003A248D"/>
    <w:rsid w:val="003A2F2C"/>
    <w:rsid w:val="003A3315"/>
    <w:rsid w:val="003A3D5F"/>
    <w:rsid w:val="003A3F5F"/>
    <w:rsid w:val="003A47D6"/>
    <w:rsid w:val="003A49F3"/>
    <w:rsid w:val="003A4E30"/>
    <w:rsid w:val="003A5DEA"/>
    <w:rsid w:val="003A669F"/>
    <w:rsid w:val="003A66B8"/>
    <w:rsid w:val="003A6981"/>
    <w:rsid w:val="003A7055"/>
    <w:rsid w:val="003A765A"/>
    <w:rsid w:val="003A7FE0"/>
    <w:rsid w:val="003B095E"/>
    <w:rsid w:val="003B0D5C"/>
    <w:rsid w:val="003B19E5"/>
    <w:rsid w:val="003B1EE8"/>
    <w:rsid w:val="003B30F6"/>
    <w:rsid w:val="003B3195"/>
    <w:rsid w:val="003B31FA"/>
    <w:rsid w:val="003B37AE"/>
    <w:rsid w:val="003B3D8A"/>
    <w:rsid w:val="003B509E"/>
    <w:rsid w:val="003B50C2"/>
    <w:rsid w:val="003B5253"/>
    <w:rsid w:val="003B5A77"/>
    <w:rsid w:val="003B5CE0"/>
    <w:rsid w:val="003B694F"/>
    <w:rsid w:val="003B731A"/>
    <w:rsid w:val="003B7397"/>
    <w:rsid w:val="003B77C3"/>
    <w:rsid w:val="003C228B"/>
    <w:rsid w:val="003C2C01"/>
    <w:rsid w:val="003C38AE"/>
    <w:rsid w:val="003C461F"/>
    <w:rsid w:val="003C5897"/>
    <w:rsid w:val="003C5944"/>
    <w:rsid w:val="003C59B4"/>
    <w:rsid w:val="003C5CFA"/>
    <w:rsid w:val="003C631C"/>
    <w:rsid w:val="003C6A61"/>
    <w:rsid w:val="003C6EA8"/>
    <w:rsid w:val="003C7C8B"/>
    <w:rsid w:val="003C7E3D"/>
    <w:rsid w:val="003D0253"/>
    <w:rsid w:val="003D1A38"/>
    <w:rsid w:val="003D2066"/>
    <w:rsid w:val="003D26FD"/>
    <w:rsid w:val="003D2CC6"/>
    <w:rsid w:val="003D389F"/>
    <w:rsid w:val="003D3A86"/>
    <w:rsid w:val="003D3FB6"/>
    <w:rsid w:val="003D46C6"/>
    <w:rsid w:val="003D540C"/>
    <w:rsid w:val="003D5E3D"/>
    <w:rsid w:val="003D6172"/>
    <w:rsid w:val="003D6B56"/>
    <w:rsid w:val="003D721B"/>
    <w:rsid w:val="003E030B"/>
    <w:rsid w:val="003E1C06"/>
    <w:rsid w:val="003E26E0"/>
    <w:rsid w:val="003E27FC"/>
    <w:rsid w:val="003E361E"/>
    <w:rsid w:val="003E39EE"/>
    <w:rsid w:val="003E4470"/>
    <w:rsid w:val="003E5819"/>
    <w:rsid w:val="003E66C0"/>
    <w:rsid w:val="003E6999"/>
    <w:rsid w:val="003E6DFD"/>
    <w:rsid w:val="003E7178"/>
    <w:rsid w:val="003E730B"/>
    <w:rsid w:val="003E75FB"/>
    <w:rsid w:val="003E7826"/>
    <w:rsid w:val="003E7829"/>
    <w:rsid w:val="003E7A6C"/>
    <w:rsid w:val="003F11D9"/>
    <w:rsid w:val="003F13DC"/>
    <w:rsid w:val="003F16A6"/>
    <w:rsid w:val="003F1C8D"/>
    <w:rsid w:val="003F1D77"/>
    <w:rsid w:val="003F1E4C"/>
    <w:rsid w:val="003F2D46"/>
    <w:rsid w:val="003F2DBC"/>
    <w:rsid w:val="003F3E13"/>
    <w:rsid w:val="003F41E1"/>
    <w:rsid w:val="003F49DA"/>
    <w:rsid w:val="003F63AF"/>
    <w:rsid w:val="003F67FB"/>
    <w:rsid w:val="003F6ACE"/>
    <w:rsid w:val="003F71DE"/>
    <w:rsid w:val="003F73CF"/>
    <w:rsid w:val="003F7809"/>
    <w:rsid w:val="003F7978"/>
    <w:rsid w:val="004004EA"/>
    <w:rsid w:val="0040079D"/>
    <w:rsid w:val="0040117D"/>
    <w:rsid w:val="00401310"/>
    <w:rsid w:val="004014FE"/>
    <w:rsid w:val="004015AF"/>
    <w:rsid w:val="004027C0"/>
    <w:rsid w:val="0040333B"/>
    <w:rsid w:val="004052CD"/>
    <w:rsid w:val="00405A23"/>
    <w:rsid w:val="00405EA6"/>
    <w:rsid w:val="00405EEE"/>
    <w:rsid w:val="00406127"/>
    <w:rsid w:val="004063EC"/>
    <w:rsid w:val="00406824"/>
    <w:rsid w:val="00406985"/>
    <w:rsid w:val="00410521"/>
    <w:rsid w:val="00413D71"/>
    <w:rsid w:val="004140D3"/>
    <w:rsid w:val="0041448E"/>
    <w:rsid w:val="004146F5"/>
    <w:rsid w:val="00414F41"/>
    <w:rsid w:val="0041590C"/>
    <w:rsid w:val="00417CD6"/>
    <w:rsid w:val="00417ED5"/>
    <w:rsid w:val="0042179D"/>
    <w:rsid w:val="00421C3F"/>
    <w:rsid w:val="004227F0"/>
    <w:rsid w:val="00424D19"/>
    <w:rsid w:val="00424FDD"/>
    <w:rsid w:val="004257E5"/>
    <w:rsid w:val="00426220"/>
    <w:rsid w:val="004267F6"/>
    <w:rsid w:val="004278AB"/>
    <w:rsid w:val="00427B68"/>
    <w:rsid w:val="004303FD"/>
    <w:rsid w:val="0043064E"/>
    <w:rsid w:val="0043067D"/>
    <w:rsid w:val="00430715"/>
    <w:rsid w:val="0043137A"/>
    <w:rsid w:val="00431B5D"/>
    <w:rsid w:val="004329C5"/>
    <w:rsid w:val="0043489C"/>
    <w:rsid w:val="004352CD"/>
    <w:rsid w:val="004371F9"/>
    <w:rsid w:val="0043724E"/>
    <w:rsid w:val="00437B95"/>
    <w:rsid w:val="00437CC0"/>
    <w:rsid w:val="00440412"/>
    <w:rsid w:val="00440547"/>
    <w:rsid w:val="004405D1"/>
    <w:rsid w:val="004407D4"/>
    <w:rsid w:val="004407F9"/>
    <w:rsid w:val="0044088A"/>
    <w:rsid w:val="00440B92"/>
    <w:rsid w:val="00440FFC"/>
    <w:rsid w:val="00441390"/>
    <w:rsid w:val="00441CB9"/>
    <w:rsid w:val="00443346"/>
    <w:rsid w:val="00443904"/>
    <w:rsid w:val="00443974"/>
    <w:rsid w:val="0044428D"/>
    <w:rsid w:val="00444552"/>
    <w:rsid w:val="00444D59"/>
    <w:rsid w:val="004458F7"/>
    <w:rsid w:val="00445CEF"/>
    <w:rsid w:val="004463E6"/>
    <w:rsid w:val="004466ED"/>
    <w:rsid w:val="004467C2"/>
    <w:rsid w:val="00446858"/>
    <w:rsid w:val="00446E4E"/>
    <w:rsid w:val="004511D7"/>
    <w:rsid w:val="004512DC"/>
    <w:rsid w:val="004518F0"/>
    <w:rsid w:val="00452658"/>
    <w:rsid w:val="00452659"/>
    <w:rsid w:val="0045293B"/>
    <w:rsid w:val="00452B1E"/>
    <w:rsid w:val="00453AFD"/>
    <w:rsid w:val="00454A96"/>
    <w:rsid w:val="00454D71"/>
    <w:rsid w:val="004554A2"/>
    <w:rsid w:val="00456A45"/>
    <w:rsid w:val="00457A7F"/>
    <w:rsid w:val="00461374"/>
    <w:rsid w:val="00462122"/>
    <w:rsid w:val="0046244E"/>
    <w:rsid w:val="00463B4C"/>
    <w:rsid w:val="00464B97"/>
    <w:rsid w:val="0046516D"/>
    <w:rsid w:val="00465A57"/>
    <w:rsid w:val="00466146"/>
    <w:rsid w:val="0046651D"/>
    <w:rsid w:val="00466ADA"/>
    <w:rsid w:val="004679EC"/>
    <w:rsid w:val="00467D74"/>
    <w:rsid w:val="004705E2"/>
    <w:rsid w:val="004706A6"/>
    <w:rsid w:val="00470ABB"/>
    <w:rsid w:val="00470BD3"/>
    <w:rsid w:val="0047118E"/>
    <w:rsid w:val="004715B5"/>
    <w:rsid w:val="004723F0"/>
    <w:rsid w:val="004727F7"/>
    <w:rsid w:val="00473AF4"/>
    <w:rsid w:val="00473B97"/>
    <w:rsid w:val="004740B0"/>
    <w:rsid w:val="0047459A"/>
    <w:rsid w:val="00474898"/>
    <w:rsid w:val="00474DB9"/>
    <w:rsid w:val="00475DC6"/>
    <w:rsid w:val="0047627C"/>
    <w:rsid w:val="00476994"/>
    <w:rsid w:val="00476C54"/>
    <w:rsid w:val="0047700A"/>
    <w:rsid w:val="004775B5"/>
    <w:rsid w:val="00477643"/>
    <w:rsid w:val="00480614"/>
    <w:rsid w:val="00480972"/>
    <w:rsid w:val="004812DA"/>
    <w:rsid w:val="0048171F"/>
    <w:rsid w:val="004819FE"/>
    <w:rsid w:val="00481D57"/>
    <w:rsid w:val="00483718"/>
    <w:rsid w:val="004838CD"/>
    <w:rsid w:val="00483E5E"/>
    <w:rsid w:val="00484707"/>
    <w:rsid w:val="00484BA1"/>
    <w:rsid w:val="004878E1"/>
    <w:rsid w:val="00487B0F"/>
    <w:rsid w:val="00487FF0"/>
    <w:rsid w:val="004905C2"/>
    <w:rsid w:val="00492481"/>
    <w:rsid w:val="0049248B"/>
    <w:rsid w:val="0049265D"/>
    <w:rsid w:val="00492885"/>
    <w:rsid w:val="00492FC2"/>
    <w:rsid w:val="00493049"/>
    <w:rsid w:val="004936A2"/>
    <w:rsid w:val="00493ED0"/>
    <w:rsid w:val="00494327"/>
    <w:rsid w:val="0049461A"/>
    <w:rsid w:val="00494715"/>
    <w:rsid w:val="004965C2"/>
    <w:rsid w:val="004967C3"/>
    <w:rsid w:val="0049692A"/>
    <w:rsid w:val="004A0AAA"/>
    <w:rsid w:val="004A1266"/>
    <w:rsid w:val="004A1377"/>
    <w:rsid w:val="004A258B"/>
    <w:rsid w:val="004A25B9"/>
    <w:rsid w:val="004A2739"/>
    <w:rsid w:val="004A2AAF"/>
    <w:rsid w:val="004A2DB9"/>
    <w:rsid w:val="004A2DF4"/>
    <w:rsid w:val="004A3165"/>
    <w:rsid w:val="004A31F5"/>
    <w:rsid w:val="004A37B5"/>
    <w:rsid w:val="004A3F54"/>
    <w:rsid w:val="004A4969"/>
    <w:rsid w:val="004A4AD3"/>
    <w:rsid w:val="004A55EC"/>
    <w:rsid w:val="004A57C2"/>
    <w:rsid w:val="004A5F51"/>
    <w:rsid w:val="004A60CF"/>
    <w:rsid w:val="004A6556"/>
    <w:rsid w:val="004A6AD5"/>
    <w:rsid w:val="004A7766"/>
    <w:rsid w:val="004A7C52"/>
    <w:rsid w:val="004A7E4D"/>
    <w:rsid w:val="004B01A8"/>
    <w:rsid w:val="004B0230"/>
    <w:rsid w:val="004B07E7"/>
    <w:rsid w:val="004B1930"/>
    <w:rsid w:val="004B23D3"/>
    <w:rsid w:val="004B2634"/>
    <w:rsid w:val="004B291B"/>
    <w:rsid w:val="004B3029"/>
    <w:rsid w:val="004B31F2"/>
    <w:rsid w:val="004B37D3"/>
    <w:rsid w:val="004B4094"/>
    <w:rsid w:val="004B45EE"/>
    <w:rsid w:val="004B4993"/>
    <w:rsid w:val="004B4D18"/>
    <w:rsid w:val="004B51EE"/>
    <w:rsid w:val="004B5912"/>
    <w:rsid w:val="004B5A1E"/>
    <w:rsid w:val="004B5DE5"/>
    <w:rsid w:val="004B6196"/>
    <w:rsid w:val="004B69A0"/>
    <w:rsid w:val="004B72EB"/>
    <w:rsid w:val="004B7BEE"/>
    <w:rsid w:val="004C033D"/>
    <w:rsid w:val="004C04BB"/>
    <w:rsid w:val="004C0984"/>
    <w:rsid w:val="004C14CD"/>
    <w:rsid w:val="004C29AB"/>
    <w:rsid w:val="004C34BB"/>
    <w:rsid w:val="004C3853"/>
    <w:rsid w:val="004C39E5"/>
    <w:rsid w:val="004C3A67"/>
    <w:rsid w:val="004C4C34"/>
    <w:rsid w:val="004C5297"/>
    <w:rsid w:val="004C5325"/>
    <w:rsid w:val="004C5527"/>
    <w:rsid w:val="004C678D"/>
    <w:rsid w:val="004C78B8"/>
    <w:rsid w:val="004D1F54"/>
    <w:rsid w:val="004D2126"/>
    <w:rsid w:val="004D25DF"/>
    <w:rsid w:val="004D27E7"/>
    <w:rsid w:val="004D2D8A"/>
    <w:rsid w:val="004D2ED7"/>
    <w:rsid w:val="004D47FB"/>
    <w:rsid w:val="004D4A4C"/>
    <w:rsid w:val="004D4D1C"/>
    <w:rsid w:val="004D537D"/>
    <w:rsid w:val="004D5712"/>
    <w:rsid w:val="004D6206"/>
    <w:rsid w:val="004D6AAF"/>
    <w:rsid w:val="004D7952"/>
    <w:rsid w:val="004D7957"/>
    <w:rsid w:val="004D7C2E"/>
    <w:rsid w:val="004D7EC3"/>
    <w:rsid w:val="004E05F0"/>
    <w:rsid w:val="004E0DFD"/>
    <w:rsid w:val="004E0F07"/>
    <w:rsid w:val="004E0FE0"/>
    <w:rsid w:val="004E110E"/>
    <w:rsid w:val="004E14F7"/>
    <w:rsid w:val="004E1DB8"/>
    <w:rsid w:val="004E20E1"/>
    <w:rsid w:val="004E2294"/>
    <w:rsid w:val="004E31DE"/>
    <w:rsid w:val="004E4929"/>
    <w:rsid w:val="004E5741"/>
    <w:rsid w:val="004E57F2"/>
    <w:rsid w:val="004E68A5"/>
    <w:rsid w:val="004E6C89"/>
    <w:rsid w:val="004E71B3"/>
    <w:rsid w:val="004E746D"/>
    <w:rsid w:val="004E7B64"/>
    <w:rsid w:val="004F0AA8"/>
    <w:rsid w:val="004F0CFE"/>
    <w:rsid w:val="004F0E3C"/>
    <w:rsid w:val="004F1004"/>
    <w:rsid w:val="004F171A"/>
    <w:rsid w:val="004F20AD"/>
    <w:rsid w:val="004F264B"/>
    <w:rsid w:val="004F3AE3"/>
    <w:rsid w:val="004F3C9F"/>
    <w:rsid w:val="004F40B5"/>
    <w:rsid w:val="004F4F45"/>
    <w:rsid w:val="004F54B1"/>
    <w:rsid w:val="004F5512"/>
    <w:rsid w:val="004F55A5"/>
    <w:rsid w:val="004F6D11"/>
    <w:rsid w:val="00500D37"/>
    <w:rsid w:val="00500E81"/>
    <w:rsid w:val="00501482"/>
    <w:rsid w:val="00501C85"/>
    <w:rsid w:val="005023F9"/>
    <w:rsid w:val="005024F7"/>
    <w:rsid w:val="005029F4"/>
    <w:rsid w:val="00503F85"/>
    <w:rsid w:val="0050485E"/>
    <w:rsid w:val="00504AA3"/>
    <w:rsid w:val="00504AC9"/>
    <w:rsid w:val="00504B92"/>
    <w:rsid w:val="00504D3B"/>
    <w:rsid w:val="00504EB5"/>
    <w:rsid w:val="005065EB"/>
    <w:rsid w:val="005069D4"/>
    <w:rsid w:val="00506EE0"/>
    <w:rsid w:val="005078BF"/>
    <w:rsid w:val="005107B7"/>
    <w:rsid w:val="00510F40"/>
    <w:rsid w:val="0051133F"/>
    <w:rsid w:val="00511D82"/>
    <w:rsid w:val="0051241B"/>
    <w:rsid w:val="00513631"/>
    <w:rsid w:val="00513638"/>
    <w:rsid w:val="00514144"/>
    <w:rsid w:val="00514162"/>
    <w:rsid w:val="00514CBD"/>
    <w:rsid w:val="005158E7"/>
    <w:rsid w:val="0051598F"/>
    <w:rsid w:val="00516346"/>
    <w:rsid w:val="005163D2"/>
    <w:rsid w:val="005164B2"/>
    <w:rsid w:val="00516824"/>
    <w:rsid w:val="00516FBE"/>
    <w:rsid w:val="005174A9"/>
    <w:rsid w:val="005175E5"/>
    <w:rsid w:val="00517BAA"/>
    <w:rsid w:val="00517F59"/>
    <w:rsid w:val="0052005B"/>
    <w:rsid w:val="005201D4"/>
    <w:rsid w:val="00520A8E"/>
    <w:rsid w:val="0052108B"/>
    <w:rsid w:val="005227D0"/>
    <w:rsid w:val="005231E9"/>
    <w:rsid w:val="005232E8"/>
    <w:rsid w:val="00523976"/>
    <w:rsid w:val="00523B94"/>
    <w:rsid w:val="0052453B"/>
    <w:rsid w:val="00524E23"/>
    <w:rsid w:val="00525BF3"/>
    <w:rsid w:val="00526044"/>
    <w:rsid w:val="00526114"/>
    <w:rsid w:val="00526410"/>
    <w:rsid w:val="00526C56"/>
    <w:rsid w:val="005270A7"/>
    <w:rsid w:val="005273B1"/>
    <w:rsid w:val="005273CC"/>
    <w:rsid w:val="0052756C"/>
    <w:rsid w:val="00527C4E"/>
    <w:rsid w:val="005313DF"/>
    <w:rsid w:val="0053180B"/>
    <w:rsid w:val="00531877"/>
    <w:rsid w:val="00531DF7"/>
    <w:rsid w:val="005320A2"/>
    <w:rsid w:val="00532628"/>
    <w:rsid w:val="005329F8"/>
    <w:rsid w:val="00533326"/>
    <w:rsid w:val="005336C4"/>
    <w:rsid w:val="00533AA6"/>
    <w:rsid w:val="00534069"/>
    <w:rsid w:val="00534A85"/>
    <w:rsid w:val="00534BBB"/>
    <w:rsid w:val="00535586"/>
    <w:rsid w:val="005355CB"/>
    <w:rsid w:val="00537060"/>
    <w:rsid w:val="0053730B"/>
    <w:rsid w:val="00537C50"/>
    <w:rsid w:val="00537D54"/>
    <w:rsid w:val="0054104F"/>
    <w:rsid w:val="00541839"/>
    <w:rsid w:val="00541CAF"/>
    <w:rsid w:val="00542069"/>
    <w:rsid w:val="0054206C"/>
    <w:rsid w:val="00542222"/>
    <w:rsid w:val="00542FA3"/>
    <w:rsid w:val="00543186"/>
    <w:rsid w:val="00543769"/>
    <w:rsid w:val="0054393E"/>
    <w:rsid w:val="00543ABB"/>
    <w:rsid w:val="00544A8C"/>
    <w:rsid w:val="00544ABB"/>
    <w:rsid w:val="00545B45"/>
    <w:rsid w:val="00546019"/>
    <w:rsid w:val="00546145"/>
    <w:rsid w:val="005476B7"/>
    <w:rsid w:val="0055159A"/>
    <w:rsid w:val="005515FA"/>
    <w:rsid w:val="00551666"/>
    <w:rsid w:val="005517AB"/>
    <w:rsid w:val="00551847"/>
    <w:rsid w:val="00551A39"/>
    <w:rsid w:val="0055203C"/>
    <w:rsid w:val="0055226E"/>
    <w:rsid w:val="005524AF"/>
    <w:rsid w:val="0055303D"/>
    <w:rsid w:val="005531C8"/>
    <w:rsid w:val="00553B7C"/>
    <w:rsid w:val="00554188"/>
    <w:rsid w:val="0055485C"/>
    <w:rsid w:val="005548E4"/>
    <w:rsid w:val="00554B30"/>
    <w:rsid w:val="00554C12"/>
    <w:rsid w:val="005552F7"/>
    <w:rsid w:val="00556A92"/>
    <w:rsid w:val="005571C3"/>
    <w:rsid w:val="00557224"/>
    <w:rsid w:val="005605D6"/>
    <w:rsid w:val="005605ED"/>
    <w:rsid w:val="00560BAF"/>
    <w:rsid w:val="005612B0"/>
    <w:rsid w:val="005614EC"/>
    <w:rsid w:val="00561A3F"/>
    <w:rsid w:val="005626D1"/>
    <w:rsid w:val="005628CA"/>
    <w:rsid w:val="00562E3E"/>
    <w:rsid w:val="00563E72"/>
    <w:rsid w:val="005644ED"/>
    <w:rsid w:val="0056465A"/>
    <w:rsid w:val="00566687"/>
    <w:rsid w:val="005671A1"/>
    <w:rsid w:val="00567205"/>
    <w:rsid w:val="0056786E"/>
    <w:rsid w:val="005678A4"/>
    <w:rsid w:val="005724F0"/>
    <w:rsid w:val="0057329F"/>
    <w:rsid w:val="005737DB"/>
    <w:rsid w:val="00573F44"/>
    <w:rsid w:val="00574197"/>
    <w:rsid w:val="005745ED"/>
    <w:rsid w:val="005754FA"/>
    <w:rsid w:val="00575726"/>
    <w:rsid w:val="00576A6B"/>
    <w:rsid w:val="00576BE8"/>
    <w:rsid w:val="00577A8B"/>
    <w:rsid w:val="00577B45"/>
    <w:rsid w:val="00577C4F"/>
    <w:rsid w:val="005804C2"/>
    <w:rsid w:val="00580ACE"/>
    <w:rsid w:val="00580DE4"/>
    <w:rsid w:val="00580EA8"/>
    <w:rsid w:val="00582A1D"/>
    <w:rsid w:val="005831FB"/>
    <w:rsid w:val="00583697"/>
    <w:rsid w:val="005838FA"/>
    <w:rsid w:val="00583E19"/>
    <w:rsid w:val="005845AA"/>
    <w:rsid w:val="00584795"/>
    <w:rsid w:val="0058576B"/>
    <w:rsid w:val="00586173"/>
    <w:rsid w:val="00586970"/>
    <w:rsid w:val="00586B2A"/>
    <w:rsid w:val="0058780B"/>
    <w:rsid w:val="005878F5"/>
    <w:rsid w:val="00590BA5"/>
    <w:rsid w:val="00591634"/>
    <w:rsid w:val="00591845"/>
    <w:rsid w:val="00591AA7"/>
    <w:rsid w:val="00591BDC"/>
    <w:rsid w:val="005922D9"/>
    <w:rsid w:val="00592911"/>
    <w:rsid w:val="00592FD2"/>
    <w:rsid w:val="005931A6"/>
    <w:rsid w:val="005939B7"/>
    <w:rsid w:val="00593A54"/>
    <w:rsid w:val="00593EB3"/>
    <w:rsid w:val="00594447"/>
    <w:rsid w:val="005961C1"/>
    <w:rsid w:val="005963C7"/>
    <w:rsid w:val="005969E8"/>
    <w:rsid w:val="00596C36"/>
    <w:rsid w:val="00597AAC"/>
    <w:rsid w:val="005A0CD2"/>
    <w:rsid w:val="005A1186"/>
    <w:rsid w:val="005A3168"/>
    <w:rsid w:val="005A4735"/>
    <w:rsid w:val="005A4AAC"/>
    <w:rsid w:val="005A52B3"/>
    <w:rsid w:val="005A605A"/>
    <w:rsid w:val="005A6C99"/>
    <w:rsid w:val="005A7043"/>
    <w:rsid w:val="005A746E"/>
    <w:rsid w:val="005A7895"/>
    <w:rsid w:val="005B02D9"/>
    <w:rsid w:val="005B0315"/>
    <w:rsid w:val="005B05AC"/>
    <w:rsid w:val="005B0930"/>
    <w:rsid w:val="005B138E"/>
    <w:rsid w:val="005B14BD"/>
    <w:rsid w:val="005B275D"/>
    <w:rsid w:val="005B278B"/>
    <w:rsid w:val="005B423B"/>
    <w:rsid w:val="005B42D7"/>
    <w:rsid w:val="005B4712"/>
    <w:rsid w:val="005B4D12"/>
    <w:rsid w:val="005B56F4"/>
    <w:rsid w:val="005B68CA"/>
    <w:rsid w:val="005B6C16"/>
    <w:rsid w:val="005B7595"/>
    <w:rsid w:val="005B769B"/>
    <w:rsid w:val="005C0330"/>
    <w:rsid w:val="005C0470"/>
    <w:rsid w:val="005C24B9"/>
    <w:rsid w:val="005C26B6"/>
    <w:rsid w:val="005C279D"/>
    <w:rsid w:val="005C2989"/>
    <w:rsid w:val="005C2A8E"/>
    <w:rsid w:val="005C2D53"/>
    <w:rsid w:val="005C2E08"/>
    <w:rsid w:val="005C349A"/>
    <w:rsid w:val="005C3FDA"/>
    <w:rsid w:val="005C4725"/>
    <w:rsid w:val="005C5293"/>
    <w:rsid w:val="005C69B4"/>
    <w:rsid w:val="005C71BA"/>
    <w:rsid w:val="005D05E5"/>
    <w:rsid w:val="005D1D97"/>
    <w:rsid w:val="005D250B"/>
    <w:rsid w:val="005D26F1"/>
    <w:rsid w:val="005D3C1A"/>
    <w:rsid w:val="005D45A7"/>
    <w:rsid w:val="005D4E65"/>
    <w:rsid w:val="005D6AD0"/>
    <w:rsid w:val="005E042E"/>
    <w:rsid w:val="005E056D"/>
    <w:rsid w:val="005E079D"/>
    <w:rsid w:val="005E102B"/>
    <w:rsid w:val="005E11F2"/>
    <w:rsid w:val="005E1E84"/>
    <w:rsid w:val="005E23CD"/>
    <w:rsid w:val="005E2504"/>
    <w:rsid w:val="005E4E14"/>
    <w:rsid w:val="005E500F"/>
    <w:rsid w:val="005E66CC"/>
    <w:rsid w:val="005E6C00"/>
    <w:rsid w:val="005F01FE"/>
    <w:rsid w:val="005F19EB"/>
    <w:rsid w:val="005F1A2F"/>
    <w:rsid w:val="005F1D9C"/>
    <w:rsid w:val="005F1E8F"/>
    <w:rsid w:val="005F1FAE"/>
    <w:rsid w:val="005F2064"/>
    <w:rsid w:val="005F22EF"/>
    <w:rsid w:val="005F247C"/>
    <w:rsid w:val="005F437A"/>
    <w:rsid w:val="005F45C0"/>
    <w:rsid w:val="005F5121"/>
    <w:rsid w:val="005F569D"/>
    <w:rsid w:val="005F5EBC"/>
    <w:rsid w:val="005F5F74"/>
    <w:rsid w:val="005F61EA"/>
    <w:rsid w:val="005F6F41"/>
    <w:rsid w:val="005F6F6C"/>
    <w:rsid w:val="005F7A88"/>
    <w:rsid w:val="005F7F61"/>
    <w:rsid w:val="0060089E"/>
    <w:rsid w:val="00600E1A"/>
    <w:rsid w:val="00600E31"/>
    <w:rsid w:val="00601061"/>
    <w:rsid w:val="00601179"/>
    <w:rsid w:val="00601BBF"/>
    <w:rsid w:val="0060367A"/>
    <w:rsid w:val="0060401F"/>
    <w:rsid w:val="00605B6E"/>
    <w:rsid w:val="006079E7"/>
    <w:rsid w:val="0061012E"/>
    <w:rsid w:val="006101A2"/>
    <w:rsid w:val="00610700"/>
    <w:rsid w:val="006113A6"/>
    <w:rsid w:val="00611527"/>
    <w:rsid w:val="006117A5"/>
    <w:rsid w:val="00612578"/>
    <w:rsid w:val="00612869"/>
    <w:rsid w:val="00612B12"/>
    <w:rsid w:val="00613444"/>
    <w:rsid w:val="00614490"/>
    <w:rsid w:val="00614777"/>
    <w:rsid w:val="00615112"/>
    <w:rsid w:val="00615476"/>
    <w:rsid w:val="00615EDB"/>
    <w:rsid w:val="00616266"/>
    <w:rsid w:val="006178E4"/>
    <w:rsid w:val="00617DAE"/>
    <w:rsid w:val="0062166F"/>
    <w:rsid w:val="00621D80"/>
    <w:rsid w:val="006220E1"/>
    <w:rsid w:val="0062322E"/>
    <w:rsid w:val="006241D7"/>
    <w:rsid w:val="006242EF"/>
    <w:rsid w:val="00624424"/>
    <w:rsid w:val="006248F6"/>
    <w:rsid w:val="006253EF"/>
    <w:rsid w:val="00625CA5"/>
    <w:rsid w:val="00626B75"/>
    <w:rsid w:val="00626CAB"/>
    <w:rsid w:val="00627BDA"/>
    <w:rsid w:val="00627C11"/>
    <w:rsid w:val="00630CED"/>
    <w:rsid w:val="00630D3B"/>
    <w:rsid w:val="00630FAC"/>
    <w:rsid w:val="00631084"/>
    <w:rsid w:val="00632A46"/>
    <w:rsid w:val="00633752"/>
    <w:rsid w:val="006342AE"/>
    <w:rsid w:val="00634C1F"/>
    <w:rsid w:val="00634C7F"/>
    <w:rsid w:val="00635257"/>
    <w:rsid w:val="00635DC1"/>
    <w:rsid w:val="00636A87"/>
    <w:rsid w:val="00636B0B"/>
    <w:rsid w:val="00636CB3"/>
    <w:rsid w:val="006371D8"/>
    <w:rsid w:val="00637355"/>
    <w:rsid w:val="00637375"/>
    <w:rsid w:val="00637E1A"/>
    <w:rsid w:val="0064146D"/>
    <w:rsid w:val="006419FE"/>
    <w:rsid w:val="00641E43"/>
    <w:rsid w:val="00641FC5"/>
    <w:rsid w:val="00642281"/>
    <w:rsid w:val="00642C89"/>
    <w:rsid w:val="006439B3"/>
    <w:rsid w:val="00645DAB"/>
    <w:rsid w:val="00646247"/>
    <w:rsid w:val="00646E4B"/>
    <w:rsid w:val="006470ED"/>
    <w:rsid w:val="006474C9"/>
    <w:rsid w:val="00647D84"/>
    <w:rsid w:val="00650469"/>
    <w:rsid w:val="00650E11"/>
    <w:rsid w:val="0065201F"/>
    <w:rsid w:val="00652259"/>
    <w:rsid w:val="006523BE"/>
    <w:rsid w:val="0065297D"/>
    <w:rsid w:val="00652A79"/>
    <w:rsid w:val="00652EF0"/>
    <w:rsid w:val="00653BD4"/>
    <w:rsid w:val="00655999"/>
    <w:rsid w:val="00656371"/>
    <w:rsid w:val="006565CE"/>
    <w:rsid w:val="006568AE"/>
    <w:rsid w:val="00656BE8"/>
    <w:rsid w:val="00656E9E"/>
    <w:rsid w:val="0066031B"/>
    <w:rsid w:val="00660374"/>
    <w:rsid w:val="0066147E"/>
    <w:rsid w:val="00661640"/>
    <w:rsid w:val="00661BE8"/>
    <w:rsid w:val="00662538"/>
    <w:rsid w:val="006629F0"/>
    <w:rsid w:val="00662E91"/>
    <w:rsid w:val="00663494"/>
    <w:rsid w:val="00663B3B"/>
    <w:rsid w:val="006640E0"/>
    <w:rsid w:val="00665CFC"/>
    <w:rsid w:val="00666032"/>
    <w:rsid w:val="006664D3"/>
    <w:rsid w:val="00666BC8"/>
    <w:rsid w:val="00666BDB"/>
    <w:rsid w:val="0066740B"/>
    <w:rsid w:val="006676F6"/>
    <w:rsid w:val="006704E6"/>
    <w:rsid w:val="0067082A"/>
    <w:rsid w:val="00670FFE"/>
    <w:rsid w:val="00671358"/>
    <w:rsid w:val="00671F16"/>
    <w:rsid w:val="006720EC"/>
    <w:rsid w:val="0067242E"/>
    <w:rsid w:val="0067247E"/>
    <w:rsid w:val="0067276F"/>
    <w:rsid w:val="00672901"/>
    <w:rsid w:val="006729EE"/>
    <w:rsid w:val="0067347E"/>
    <w:rsid w:val="006736E5"/>
    <w:rsid w:val="00673F1D"/>
    <w:rsid w:val="00673FCC"/>
    <w:rsid w:val="006742A6"/>
    <w:rsid w:val="006760CE"/>
    <w:rsid w:val="006765E1"/>
    <w:rsid w:val="00676EF8"/>
    <w:rsid w:val="00676F6C"/>
    <w:rsid w:val="0067797D"/>
    <w:rsid w:val="0067797F"/>
    <w:rsid w:val="006824D5"/>
    <w:rsid w:val="00682DFA"/>
    <w:rsid w:val="00683768"/>
    <w:rsid w:val="00685016"/>
    <w:rsid w:val="0068504A"/>
    <w:rsid w:val="00686059"/>
    <w:rsid w:val="00686FBC"/>
    <w:rsid w:val="0068768A"/>
    <w:rsid w:val="00687BD2"/>
    <w:rsid w:val="00687E5E"/>
    <w:rsid w:val="0069051C"/>
    <w:rsid w:val="0069116A"/>
    <w:rsid w:val="0069169B"/>
    <w:rsid w:val="00692403"/>
    <w:rsid w:val="006927A8"/>
    <w:rsid w:val="00692EF9"/>
    <w:rsid w:val="00692F91"/>
    <w:rsid w:val="006932FE"/>
    <w:rsid w:val="006936DE"/>
    <w:rsid w:val="00693D31"/>
    <w:rsid w:val="006950F4"/>
    <w:rsid w:val="0069535E"/>
    <w:rsid w:val="00695902"/>
    <w:rsid w:val="00696146"/>
    <w:rsid w:val="0069628A"/>
    <w:rsid w:val="006964E1"/>
    <w:rsid w:val="006A00E2"/>
    <w:rsid w:val="006A0525"/>
    <w:rsid w:val="006A06E5"/>
    <w:rsid w:val="006A0B10"/>
    <w:rsid w:val="006A14F7"/>
    <w:rsid w:val="006A1C7F"/>
    <w:rsid w:val="006A1E3E"/>
    <w:rsid w:val="006A216D"/>
    <w:rsid w:val="006A2968"/>
    <w:rsid w:val="006A3934"/>
    <w:rsid w:val="006A3DC9"/>
    <w:rsid w:val="006A3E5C"/>
    <w:rsid w:val="006A4290"/>
    <w:rsid w:val="006A45BA"/>
    <w:rsid w:val="006A49B5"/>
    <w:rsid w:val="006A4C80"/>
    <w:rsid w:val="006A5287"/>
    <w:rsid w:val="006A5B09"/>
    <w:rsid w:val="006A5ED1"/>
    <w:rsid w:val="006A6F51"/>
    <w:rsid w:val="006A704C"/>
    <w:rsid w:val="006A7F7B"/>
    <w:rsid w:val="006B021B"/>
    <w:rsid w:val="006B07AC"/>
    <w:rsid w:val="006B0F68"/>
    <w:rsid w:val="006B1095"/>
    <w:rsid w:val="006B16FF"/>
    <w:rsid w:val="006B1AF3"/>
    <w:rsid w:val="006B36C4"/>
    <w:rsid w:val="006B4D20"/>
    <w:rsid w:val="006B4E98"/>
    <w:rsid w:val="006B4FEF"/>
    <w:rsid w:val="006B5378"/>
    <w:rsid w:val="006B53C9"/>
    <w:rsid w:val="006B58AF"/>
    <w:rsid w:val="006B5FFA"/>
    <w:rsid w:val="006B77A9"/>
    <w:rsid w:val="006B7CEA"/>
    <w:rsid w:val="006C0531"/>
    <w:rsid w:val="006C0E53"/>
    <w:rsid w:val="006C0E63"/>
    <w:rsid w:val="006C133A"/>
    <w:rsid w:val="006C24DC"/>
    <w:rsid w:val="006C2DFA"/>
    <w:rsid w:val="006C3435"/>
    <w:rsid w:val="006C3B6C"/>
    <w:rsid w:val="006C3D44"/>
    <w:rsid w:val="006C4B39"/>
    <w:rsid w:val="006C4B4A"/>
    <w:rsid w:val="006C536D"/>
    <w:rsid w:val="006C54ED"/>
    <w:rsid w:val="006C54FA"/>
    <w:rsid w:val="006C7A4D"/>
    <w:rsid w:val="006C7C15"/>
    <w:rsid w:val="006C7D34"/>
    <w:rsid w:val="006D1B03"/>
    <w:rsid w:val="006D2991"/>
    <w:rsid w:val="006D38A5"/>
    <w:rsid w:val="006D3B31"/>
    <w:rsid w:val="006D3DB9"/>
    <w:rsid w:val="006D42F3"/>
    <w:rsid w:val="006D4CA3"/>
    <w:rsid w:val="006D4CD4"/>
    <w:rsid w:val="006D530F"/>
    <w:rsid w:val="006D59D2"/>
    <w:rsid w:val="006D61A4"/>
    <w:rsid w:val="006D6855"/>
    <w:rsid w:val="006D692E"/>
    <w:rsid w:val="006D6AAD"/>
    <w:rsid w:val="006D7065"/>
    <w:rsid w:val="006D760F"/>
    <w:rsid w:val="006D7851"/>
    <w:rsid w:val="006D7ACF"/>
    <w:rsid w:val="006D7CF5"/>
    <w:rsid w:val="006D7D1E"/>
    <w:rsid w:val="006D7E1C"/>
    <w:rsid w:val="006E0400"/>
    <w:rsid w:val="006E17BE"/>
    <w:rsid w:val="006E1F27"/>
    <w:rsid w:val="006E2350"/>
    <w:rsid w:val="006E2425"/>
    <w:rsid w:val="006E25A1"/>
    <w:rsid w:val="006E3326"/>
    <w:rsid w:val="006E3972"/>
    <w:rsid w:val="006E4BE5"/>
    <w:rsid w:val="006E4CA7"/>
    <w:rsid w:val="006E5E17"/>
    <w:rsid w:val="006E60EA"/>
    <w:rsid w:val="006E6619"/>
    <w:rsid w:val="006E66EA"/>
    <w:rsid w:val="006E721A"/>
    <w:rsid w:val="006E72E5"/>
    <w:rsid w:val="006E7389"/>
    <w:rsid w:val="006F0CD9"/>
    <w:rsid w:val="006F18FD"/>
    <w:rsid w:val="006F1D44"/>
    <w:rsid w:val="006F1E5F"/>
    <w:rsid w:val="006F29A6"/>
    <w:rsid w:val="006F31DB"/>
    <w:rsid w:val="006F3BE1"/>
    <w:rsid w:val="006F49AD"/>
    <w:rsid w:val="006F52EA"/>
    <w:rsid w:val="006F7814"/>
    <w:rsid w:val="006F7DF8"/>
    <w:rsid w:val="006F7EA8"/>
    <w:rsid w:val="00700578"/>
    <w:rsid w:val="00700BE9"/>
    <w:rsid w:val="007014D6"/>
    <w:rsid w:val="00701CD1"/>
    <w:rsid w:val="0070225D"/>
    <w:rsid w:val="0070290C"/>
    <w:rsid w:val="007037A5"/>
    <w:rsid w:val="00703E2B"/>
    <w:rsid w:val="00703E75"/>
    <w:rsid w:val="00704388"/>
    <w:rsid w:val="00704DBE"/>
    <w:rsid w:val="00705024"/>
    <w:rsid w:val="00705430"/>
    <w:rsid w:val="00705B6B"/>
    <w:rsid w:val="007061BF"/>
    <w:rsid w:val="00706DF2"/>
    <w:rsid w:val="00707188"/>
    <w:rsid w:val="00707F5A"/>
    <w:rsid w:val="0071043D"/>
    <w:rsid w:val="007107A4"/>
    <w:rsid w:val="00710D29"/>
    <w:rsid w:val="00710D42"/>
    <w:rsid w:val="0071160A"/>
    <w:rsid w:val="00712309"/>
    <w:rsid w:val="00712F0A"/>
    <w:rsid w:val="007136EC"/>
    <w:rsid w:val="00713B55"/>
    <w:rsid w:val="007146E5"/>
    <w:rsid w:val="00714C32"/>
    <w:rsid w:val="00714F71"/>
    <w:rsid w:val="007150D1"/>
    <w:rsid w:val="00715476"/>
    <w:rsid w:val="007156C2"/>
    <w:rsid w:val="00715ABE"/>
    <w:rsid w:val="00715F6E"/>
    <w:rsid w:val="007163C3"/>
    <w:rsid w:val="00716581"/>
    <w:rsid w:val="0071704E"/>
    <w:rsid w:val="0072051F"/>
    <w:rsid w:val="00720999"/>
    <w:rsid w:val="00720C6A"/>
    <w:rsid w:val="00721459"/>
    <w:rsid w:val="00722912"/>
    <w:rsid w:val="007240FF"/>
    <w:rsid w:val="007252DE"/>
    <w:rsid w:val="00725536"/>
    <w:rsid w:val="00725609"/>
    <w:rsid w:val="00725A3A"/>
    <w:rsid w:val="00726243"/>
    <w:rsid w:val="00726F9E"/>
    <w:rsid w:val="00727498"/>
    <w:rsid w:val="0072759B"/>
    <w:rsid w:val="00730895"/>
    <w:rsid w:val="00731303"/>
    <w:rsid w:val="00731817"/>
    <w:rsid w:val="00731ED0"/>
    <w:rsid w:val="00732626"/>
    <w:rsid w:val="007338F0"/>
    <w:rsid w:val="0073406D"/>
    <w:rsid w:val="00734098"/>
    <w:rsid w:val="007340FA"/>
    <w:rsid w:val="00734216"/>
    <w:rsid w:val="0073440A"/>
    <w:rsid w:val="00735462"/>
    <w:rsid w:val="00736174"/>
    <w:rsid w:val="00736783"/>
    <w:rsid w:val="00736EF3"/>
    <w:rsid w:val="007371D8"/>
    <w:rsid w:val="007376C5"/>
    <w:rsid w:val="007402CA"/>
    <w:rsid w:val="007407BF"/>
    <w:rsid w:val="00740AE8"/>
    <w:rsid w:val="00740B24"/>
    <w:rsid w:val="0074139F"/>
    <w:rsid w:val="007415E5"/>
    <w:rsid w:val="0074176F"/>
    <w:rsid w:val="00742025"/>
    <w:rsid w:val="007422E5"/>
    <w:rsid w:val="00742753"/>
    <w:rsid w:val="00743298"/>
    <w:rsid w:val="00743CF6"/>
    <w:rsid w:val="0074444B"/>
    <w:rsid w:val="007444EC"/>
    <w:rsid w:val="00746924"/>
    <w:rsid w:val="00746DB7"/>
    <w:rsid w:val="00746FD4"/>
    <w:rsid w:val="0074714E"/>
    <w:rsid w:val="00750643"/>
    <w:rsid w:val="00750A24"/>
    <w:rsid w:val="00750B99"/>
    <w:rsid w:val="00750D38"/>
    <w:rsid w:val="00750F79"/>
    <w:rsid w:val="007523AA"/>
    <w:rsid w:val="00752AAC"/>
    <w:rsid w:val="00752D24"/>
    <w:rsid w:val="00752DC5"/>
    <w:rsid w:val="0075356D"/>
    <w:rsid w:val="007567AC"/>
    <w:rsid w:val="00756BF1"/>
    <w:rsid w:val="0075738D"/>
    <w:rsid w:val="00757631"/>
    <w:rsid w:val="007602B5"/>
    <w:rsid w:val="00760448"/>
    <w:rsid w:val="00760CA5"/>
    <w:rsid w:val="00760F46"/>
    <w:rsid w:val="00761D7D"/>
    <w:rsid w:val="0076236D"/>
    <w:rsid w:val="00762B9E"/>
    <w:rsid w:val="007635BA"/>
    <w:rsid w:val="00764137"/>
    <w:rsid w:val="0076427A"/>
    <w:rsid w:val="00764AF4"/>
    <w:rsid w:val="00766C75"/>
    <w:rsid w:val="00767B43"/>
    <w:rsid w:val="007714EE"/>
    <w:rsid w:val="00771A3F"/>
    <w:rsid w:val="007728C7"/>
    <w:rsid w:val="00772988"/>
    <w:rsid w:val="0077348C"/>
    <w:rsid w:val="00773BB7"/>
    <w:rsid w:val="00774532"/>
    <w:rsid w:val="00775369"/>
    <w:rsid w:val="0077601F"/>
    <w:rsid w:val="00776B22"/>
    <w:rsid w:val="007772A0"/>
    <w:rsid w:val="00777AB4"/>
    <w:rsid w:val="00777EEA"/>
    <w:rsid w:val="00777F6A"/>
    <w:rsid w:val="00777FB0"/>
    <w:rsid w:val="00777FFD"/>
    <w:rsid w:val="0078002D"/>
    <w:rsid w:val="00780075"/>
    <w:rsid w:val="00780300"/>
    <w:rsid w:val="00782824"/>
    <w:rsid w:val="00782A87"/>
    <w:rsid w:val="00782CF5"/>
    <w:rsid w:val="00783738"/>
    <w:rsid w:val="00783CF4"/>
    <w:rsid w:val="0078433A"/>
    <w:rsid w:val="00784682"/>
    <w:rsid w:val="00784746"/>
    <w:rsid w:val="00784973"/>
    <w:rsid w:val="007856F2"/>
    <w:rsid w:val="00785FA7"/>
    <w:rsid w:val="00787303"/>
    <w:rsid w:val="00787523"/>
    <w:rsid w:val="007877E9"/>
    <w:rsid w:val="00787E45"/>
    <w:rsid w:val="00787F0D"/>
    <w:rsid w:val="00787F29"/>
    <w:rsid w:val="007900CB"/>
    <w:rsid w:val="007932C2"/>
    <w:rsid w:val="0079333F"/>
    <w:rsid w:val="00793A17"/>
    <w:rsid w:val="00794816"/>
    <w:rsid w:val="0079493A"/>
    <w:rsid w:val="00794B06"/>
    <w:rsid w:val="0079543B"/>
    <w:rsid w:val="00795C86"/>
    <w:rsid w:val="00796BCA"/>
    <w:rsid w:val="00796CA6"/>
    <w:rsid w:val="00796D17"/>
    <w:rsid w:val="007973F2"/>
    <w:rsid w:val="00797CC4"/>
    <w:rsid w:val="007A0009"/>
    <w:rsid w:val="007A12F9"/>
    <w:rsid w:val="007A1886"/>
    <w:rsid w:val="007A1AAC"/>
    <w:rsid w:val="007A1DEC"/>
    <w:rsid w:val="007A1F1C"/>
    <w:rsid w:val="007A29D5"/>
    <w:rsid w:val="007A2AA9"/>
    <w:rsid w:val="007A2E28"/>
    <w:rsid w:val="007A326B"/>
    <w:rsid w:val="007A33A4"/>
    <w:rsid w:val="007A35F0"/>
    <w:rsid w:val="007A3902"/>
    <w:rsid w:val="007A4132"/>
    <w:rsid w:val="007A4487"/>
    <w:rsid w:val="007A56C9"/>
    <w:rsid w:val="007A5C68"/>
    <w:rsid w:val="007A7768"/>
    <w:rsid w:val="007A7FAC"/>
    <w:rsid w:val="007A7FBF"/>
    <w:rsid w:val="007B102C"/>
    <w:rsid w:val="007B1953"/>
    <w:rsid w:val="007B48D2"/>
    <w:rsid w:val="007B4E01"/>
    <w:rsid w:val="007B4F29"/>
    <w:rsid w:val="007B52BF"/>
    <w:rsid w:val="007B6655"/>
    <w:rsid w:val="007B6D87"/>
    <w:rsid w:val="007B6F8E"/>
    <w:rsid w:val="007B70D0"/>
    <w:rsid w:val="007B74B6"/>
    <w:rsid w:val="007B755B"/>
    <w:rsid w:val="007B775F"/>
    <w:rsid w:val="007C1631"/>
    <w:rsid w:val="007C25E3"/>
    <w:rsid w:val="007C28F5"/>
    <w:rsid w:val="007C2FA9"/>
    <w:rsid w:val="007C3A44"/>
    <w:rsid w:val="007C3A79"/>
    <w:rsid w:val="007C3EA2"/>
    <w:rsid w:val="007C405C"/>
    <w:rsid w:val="007C44EC"/>
    <w:rsid w:val="007C4701"/>
    <w:rsid w:val="007C4AF8"/>
    <w:rsid w:val="007C4FA1"/>
    <w:rsid w:val="007C50AB"/>
    <w:rsid w:val="007C5245"/>
    <w:rsid w:val="007C5474"/>
    <w:rsid w:val="007C5BE6"/>
    <w:rsid w:val="007C5E91"/>
    <w:rsid w:val="007C61C4"/>
    <w:rsid w:val="007C6354"/>
    <w:rsid w:val="007C6D33"/>
    <w:rsid w:val="007C7149"/>
    <w:rsid w:val="007C7BFA"/>
    <w:rsid w:val="007C7EB0"/>
    <w:rsid w:val="007C7F0A"/>
    <w:rsid w:val="007D0009"/>
    <w:rsid w:val="007D0970"/>
    <w:rsid w:val="007D0FC5"/>
    <w:rsid w:val="007D1898"/>
    <w:rsid w:val="007D2D65"/>
    <w:rsid w:val="007D3136"/>
    <w:rsid w:val="007D4BB3"/>
    <w:rsid w:val="007D54F9"/>
    <w:rsid w:val="007D5854"/>
    <w:rsid w:val="007D6181"/>
    <w:rsid w:val="007D6F3B"/>
    <w:rsid w:val="007D7028"/>
    <w:rsid w:val="007D781B"/>
    <w:rsid w:val="007D7B23"/>
    <w:rsid w:val="007D7CBC"/>
    <w:rsid w:val="007E144B"/>
    <w:rsid w:val="007E1551"/>
    <w:rsid w:val="007E3345"/>
    <w:rsid w:val="007E36A0"/>
    <w:rsid w:val="007E3CCE"/>
    <w:rsid w:val="007E516E"/>
    <w:rsid w:val="007E53A6"/>
    <w:rsid w:val="007E6F87"/>
    <w:rsid w:val="007E7028"/>
    <w:rsid w:val="007E74BE"/>
    <w:rsid w:val="007F0F28"/>
    <w:rsid w:val="007F1572"/>
    <w:rsid w:val="007F1C37"/>
    <w:rsid w:val="007F32C9"/>
    <w:rsid w:val="007F3B33"/>
    <w:rsid w:val="007F3C98"/>
    <w:rsid w:val="007F3FD8"/>
    <w:rsid w:val="007F42A1"/>
    <w:rsid w:val="007F48CC"/>
    <w:rsid w:val="007F5B0C"/>
    <w:rsid w:val="007F5C2F"/>
    <w:rsid w:val="007F6FB9"/>
    <w:rsid w:val="007F779B"/>
    <w:rsid w:val="007F77D5"/>
    <w:rsid w:val="0080058A"/>
    <w:rsid w:val="00802CED"/>
    <w:rsid w:val="00802E1A"/>
    <w:rsid w:val="00802E5B"/>
    <w:rsid w:val="008033CD"/>
    <w:rsid w:val="00803574"/>
    <w:rsid w:val="00803CD6"/>
    <w:rsid w:val="0080423B"/>
    <w:rsid w:val="008043E7"/>
    <w:rsid w:val="00805211"/>
    <w:rsid w:val="0080583D"/>
    <w:rsid w:val="00805AB0"/>
    <w:rsid w:val="00806163"/>
    <w:rsid w:val="00810AC6"/>
    <w:rsid w:val="00811C40"/>
    <w:rsid w:val="00812666"/>
    <w:rsid w:val="00812FC0"/>
    <w:rsid w:val="00813885"/>
    <w:rsid w:val="008138BC"/>
    <w:rsid w:val="008142C5"/>
    <w:rsid w:val="00814B8D"/>
    <w:rsid w:val="00814BCC"/>
    <w:rsid w:val="00814EBC"/>
    <w:rsid w:val="0081501E"/>
    <w:rsid w:val="00815B1D"/>
    <w:rsid w:val="008165AF"/>
    <w:rsid w:val="008173DA"/>
    <w:rsid w:val="0082099D"/>
    <w:rsid w:val="008210F4"/>
    <w:rsid w:val="00821475"/>
    <w:rsid w:val="00822189"/>
    <w:rsid w:val="008225CF"/>
    <w:rsid w:val="0082295B"/>
    <w:rsid w:val="00822D6A"/>
    <w:rsid w:val="008232CB"/>
    <w:rsid w:val="00823509"/>
    <w:rsid w:val="00823774"/>
    <w:rsid w:val="008239E4"/>
    <w:rsid w:val="00823A1B"/>
    <w:rsid w:val="00823DD6"/>
    <w:rsid w:val="00824270"/>
    <w:rsid w:val="00824E24"/>
    <w:rsid w:val="00825005"/>
    <w:rsid w:val="0082528B"/>
    <w:rsid w:val="00826343"/>
    <w:rsid w:val="00826C75"/>
    <w:rsid w:val="00827752"/>
    <w:rsid w:val="008308AA"/>
    <w:rsid w:val="008311CE"/>
    <w:rsid w:val="00833DFF"/>
    <w:rsid w:val="00834680"/>
    <w:rsid w:val="008350D2"/>
    <w:rsid w:val="00836028"/>
    <w:rsid w:val="008364C8"/>
    <w:rsid w:val="008365B5"/>
    <w:rsid w:val="0083754C"/>
    <w:rsid w:val="00837D59"/>
    <w:rsid w:val="00841907"/>
    <w:rsid w:val="00841910"/>
    <w:rsid w:val="00841B54"/>
    <w:rsid w:val="00841C31"/>
    <w:rsid w:val="008436A1"/>
    <w:rsid w:val="00843B45"/>
    <w:rsid w:val="008457A3"/>
    <w:rsid w:val="00845BF1"/>
    <w:rsid w:val="00846508"/>
    <w:rsid w:val="008468DA"/>
    <w:rsid w:val="00846B63"/>
    <w:rsid w:val="00847ABA"/>
    <w:rsid w:val="00847ACD"/>
    <w:rsid w:val="00847CCF"/>
    <w:rsid w:val="00850D5B"/>
    <w:rsid w:val="00851393"/>
    <w:rsid w:val="00852035"/>
    <w:rsid w:val="0085392E"/>
    <w:rsid w:val="00854123"/>
    <w:rsid w:val="008547BB"/>
    <w:rsid w:val="00854CE5"/>
    <w:rsid w:val="00854DC6"/>
    <w:rsid w:val="00854E1A"/>
    <w:rsid w:val="00855099"/>
    <w:rsid w:val="0085530D"/>
    <w:rsid w:val="00856164"/>
    <w:rsid w:val="008565ED"/>
    <w:rsid w:val="0085694F"/>
    <w:rsid w:val="00857545"/>
    <w:rsid w:val="00857715"/>
    <w:rsid w:val="0085775F"/>
    <w:rsid w:val="00857982"/>
    <w:rsid w:val="00861B02"/>
    <w:rsid w:val="00862177"/>
    <w:rsid w:val="0086258B"/>
    <w:rsid w:val="00862E6D"/>
    <w:rsid w:val="00862EA4"/>
    <w:rsid w:val="008631A7"/>
    <w:rsid w:val="0086329F"/>
    <w:rsid w:val="0086383F"/>
    <w:rsid w:val="00863C3E"/>
    <w:rsid w:val="008648DC"/>
    <w:rsid w:val="00864ED7"/>
    <w:rsid w:val="00866160"/>
    <w:rsid w:val="00866A3F"/>
    <w:rsid w:val="0086767F"/>
    <w:rsid w:val="00867AF5"/>
    <w:rsid w:val="0087085C"/>
    <w:rsid w:val="00870A19"/>
    <w:rsid w:val="00870B3A"/>
    <w:rsid w:val="00870D0D"/>
    <w:rsid w:val="00871BAE"/>
    <w:rsid w:val="00872F71"/>
    <w:rsid w:val="0087351F"/>
    <w:rsid w:val="00873543"/>
    <w:rsid w:val="008736A4"/>
    <w:rsid w:val="00873F56"/>
    <w:rsid w:val="00874454"/>
    <w:rsid w:val="00874808"/>
    <w:rsid w:val="00874F08"/>
    <w:rsid w:val="00876039"/>
    <w:rsid w:val="008765BC"/>
    <w:rsid w:val="008766D0"/>
    <w:rsid w:val="00877163"/>
    <w:rsid w:val="008778EA"/>
    <w:rsid w:val="00877E4D"/>
    <w:rsid w:val="008803D6"/>
    <w:rsid w:val="00880D43"/>
    <w:rsid w:val="00880DEB"/>
    <w:rsid w:val="008811FB"/>
    <w:rsid w:val="00882115"/>
    <w:rsid w:val="00882417"/>
    <w:rsid w:val="00885441"/>
    <w:rsid w:val="0088552C"/>
    <w:rsid w:val="00886357"/>
    <w:rsid w:val="00886808"/>
    <w:rsid w:val="008872BB"/>
    <w:rsid w:val="0088745D"/>
    <w:rsid w:val="00887A91"/>
    <w:rsid w:val="00887E83"/>
    <w:rsid w:val="00890350"/>
    <w:rsid w:val="008906F3"/>
    <w:rsid w:val="00890E8D"/>
    <w:rsid w:val="0089182A"/>
    <w:rsid w:val="00891953"/>
    <w:rsid w:val="00892038"/>
    <w:rsid w:val="00892CE2"/>
    <w:rsid w:val="0089320F"/>
    <w:rsid w:val="0089323D"/>
    <w:rsid w:val="0089465E"/>
    <w:rsid w:val="00894699"/>
    <w:rsid w:val="008948A2"/>
    <w:rsid w:val="00894D53"/>
    <w:rsid w:val="0089563E"/>
    <w:rsid w:val="00895818"/>
    <w:rsid w:val="00895B16"/>
    <w:rsid w:val="00896098"/>
    <w:rsid w:val="00896136"/>
    <w:rsid w:val="0089627D"/>
    <w:rsid w:val="0089691B"/>
    <w:rsid w:val="0089765C"/>
    <w:rsid w:val="008979E5"/>
    <w:rsid w:val="00897F86"/>
    <w:rsid w:val="008A00E5"/>
    <w:rsid w:val="008A050D"/>
    <w:rsid w:val="008A055B"/>
    <w:rsid w:val="008A0580"/>
    <w:rsid w:val="008A14EA"/>
    <w:rsid w:val="008A308A"/>
    <w:rsid w:val="008A32B9"/>
    <w:rsid w:val="008A39DD"/>
    <w:rsid w:val="008A3CA6"/>
    <w:rsid w:val="008A434E"/>
    <w:rsid w:val="008A4E28"/>
    <w:rsid w:val="008A5674"/>
    <w:rsid w:val="008A5C5B"/>
    <w:rsid w:val="008A5E4A"/>
    <w:rsid w:val="008A6BA4"/>
    <w:rsid w:val="008A7614"/>
    <w:rsid w:val="008B09B7"/>
    <w:rsid w:val="008B0A84"/>
    <w:rsid w:val="008B0F8C"/>
    <w:rsid w:val="008B2824"/>
    <w:rsid w:val="008B31F0"/>
    <w:rsid w:val="008B3502"/>
    <w:rsid w:val="008B527F"/>
    <w:rsid w:val="008B5B76"/>
    <w:rsid w:val="008B5D57"/>
    <w:rsid w:val="008B786B"/>
    <w:rsid w:val="008B7DBE"/>
    <w:rsid w:val="008B7DDC"/>
    <w:rsid w:val="008C0544"/>
    <w:rsid w:val="008C0E00"/>
    <w:rsid w:val="008C1190"/>
    <w:rsid w:val="008C266E"/>
    <w:rsid w:val="008C3192"/>
    <w:rsid w:val="008C3204"/>
    <w:rsid w:val="008C3731"/>
    <w:rsid w:val="008C44BB"/>
    <w:rsid w:val="008C4A22"/>
    <w:rsid w:val="008C4D03"/>
    <w:rsid w:val="008C5113"/>
    <w:rsid w:val="008C5222"/>
    <w:rsid w:val="008C577F"/>
    <w:rsid w:val="008C5C15"/>
    <w:rsid w:val="008C603D"/>
    <w:rsid w:val="008C626A"/>
    <w:rsid w:val="008C6764"/>
    <w:rsid w:val="008C67AB"/>
    <w:rsid w:val="008C692E"/>
    <w:rsid w:val="008C6EB5"/>
    <w:rsid w:val="008C7E67"/>
    <w:rsid w:val="008D015F"/>
    <w:rsid w:val="008D0CA1"/>
    <w:rsid w:val="008D1AA0"/>
    <w:rsid w:val="008D1C8F"/>
    <w:rsid w:val="008D211A"/>
    <w:rsid w:val="008D25E2"/>
    <w:rsid w:val="008D2610"/>
    <w:rsid w:val="008D2A5F"/>
    <w:rsid w:val="008D2EF0"/>
    <w:rsid w:val="008D3026"/>
    <w:rsid w:val="008D3430"/>
    <w:rsid w:val="008D3943"/>
    <w:rsid w:val="008D3D0B"/>
    <w:rsid w:val="008D4786"/>
    <w:rsid w:val="008D4A62"/>
    <w:rsid w:val="008D4F64"/>
    <w:rsid w:val="008D50CD"/>
    <w:rsid w:val="008D52EC"/>
    <w:rsid w:val="008D586F"/>
    <w:rsid w:val="008D5A2A"/>
    <w:rsid w:val="008D6314"/>
    <w:rsid w:val="008D6E9B"/>
    <w:rsid w:val="008E090D"/>
    <w:rsid w:val="008E1F9F"/>
    <w:rsid w:val="008E1FA8"/>
    <w:rsid w:val="008E22F2"/>
    <w:rsid w:val="008E3F41"/>
    <w:rsid w:val="008E4315"/>
    <w:rsid w:val="008E47E5"/>
    <w:rsid w:val="008E5634"/>
    <w:rsid w:val="008E5DC4"/>
    <w:rsid w:val="008E7A08"/>
    <w:rsid w:val="008F0A13"/>
    <w:rsid w:val="008F1B4C"/>
    <w:rsid w:val="008F1F75"/>
    <w:rsid w:val="008F202D"/>
    <w:rsid w:val="008F22DC"/>
    <w:rsid w:val="008F2913"/>
    <w:rsid w:val="008F2A66"/>
    <w:rsid w:val="008F3991"/>
    <w:rsid w:val="008F443B"/>
    <w:rsid w:val="008F4872"/>
    <w:rsid w:val="008F4A88"/>
    <w:rsid w:val="008F4D2A"/>
    <w:rsid w:val="008F6586"/>
    <w:rsid w:val="008F6F81"/>
    <w:rsid w:val="0090017C"/>
    <w:rsid w:val="009002F7"/>
    <w:rsid w:val="00900309"/>
    <w:rsid w:val="00900895"/>
    <w:rsid w:val="009012BA"/>
    <w:rsid w:val="0090137D"/>
    <w:rsid w:val="00902250"/>
    <w:rsid w:val="00902310"/>
    <w:rsid w:val="009027F8"/>
    <w:rsid w:val="00903C3C"/>
    <w:rsid w:val="00903D84"/>
    <w:rsid w:val="009040A8"/>
    <w:rsid w:val="00904473"/>
    <w:rsid w:val="00904A83"/>
    <w:rsid w:val="00904A8E"/>
    <w:rsid w:val="00905683"/>
    <w:rsid w:val="00905C4B"/>
    <w:rsid w:val="00905D1B"/>
    <w:rsid w:val="00906BA9"/>
    <w:rsid w:val="009070B1"/>
    <w:rsid w:val="00907840"/>
    <w:rsid w:val="00907A79"/>
    <w:rsid w:val="00907FA3"/>
    <w:rsid w:val="00910D4C"/>
    <w:rsid w:val="00910E2E"/>
    <w:rsid w:val="00911096"/>
    <w:rsid w:val="00911D18"/>
    <w:rsid w:val="00911EFF"/>
    <w:rsid w:val="00912143"/>
    <w:rsid w:val="00912E56"/>
    <w:rsid w:val="0091312B"/>
    <w:rsid w:val="009137FB"/>
    <w:rsid w:val="00915997"/>
    <w:rsid w:val="00915BB8"/>
    <w:rsid w:val="009168D6"/>
    <w:rsid w:val="00916CB8"/>
    <w:rsid w:val="009170D1"/>
    <w:rsid w:val="0091737E"/>
    <w:rsid w:val="00917589"/>
    <w:rsid w:val="009177B0"/>
    <w:rsid w:val="00917AC1"/>
    <w:rsid w:val="0092012F"/>
    <w:rsid w:val="009214CC"/>
    <w:rsid w:val="00921648"/>
    <w:rsid w:val="00921681"/>
    <w:rsid w:val="009217ED"/>
    <w:rsid w:val="00922210"/>
    <w:rsid w:val="0092328C"/>
    <w:rsid w:val="00923EA1"/>
    <w:rsid w:val="0092494D"/>
    <w:rsid w:val="00925072"/>
    <w:rsid w:val="0092648D"/>
    <w:rsid w:val="00926751"/>
    <w:rsid w:val="00927268"/>
    <w:rsid w:val="00927441"/>
    <w:rsid w:val="00927595"/>
    <w:rsid w:val="00927C9F"/>
    <w:rsid w:val="00930AA7"/>
    <w:rsid w:val="00931143"/>
    <w:rsid w:val="0093174E"/>
    <w:rsid w:val="00933094"/>
    <w:rsid w:val="00933891"/>
    <w:rsid w:val="00933ACE"/>
    <w:rsid w:val="0093430F"/>
    <w:rsid w:val="00934D4D"/>
    <w:rsid w:val="0093690D"/>
    <w:rsid w:val="009371F7"/>
    <w:rsid w:val="009374EE"/>
    <w:rsid w:val="00937D2F"/>
    <w:rsid w:val="00937D7C"/>
    <w:rsid w:val="00940270"/>
    <w:rsid w:val="00940705"/>
    <w:rsid w:val="009407F0"/>
    <w:rsid w:val="00940BB1"/>
    <w:rsid w:val="00942C1E"/>
    <w:rsid w:val="00943329"/>
    <w:rsid w:val="009443DB"/>
    <w:rsid w:val="009449CD"/>
    <w:rsid w:val="00944DCB"/>
    <w:rsid w:val="00944F8D"/>
    <w:rsid w:val="00945440"/>
    <w:rsid w:val="00945BCA"/>
    <w:rsid w:val="00950208"/>
    <w:rsid w:val="00950579"/>
    <w:rsid w:val="0095083E"/>
    <w:rsid w:val="0095167C"/>
    <w:rsid w:val="009519BB"/>
    <w:rsid w:val="00951B34"/>
    <w:rsid w:val="00951D06"/>
    <w:rsid w:val="00951E3D"/>
    <w:rsid w:val="00952C9D"/>
    <w:rsid w:val="00952E85"/>
    <w:rsid w:val="00953AC2"/>
    <w:rsid w:val="0095450B"/>
    <w:rsid w:val="00954DF4"/>
    <w:rsid w:val="00955EE0"/>
    <w:rsid w:val="009573A3"/>
    <w:rsid w:val="0096142A"/>
    <w:rsid w:val="00962B6A"/>
    <w:rsid w:val="00962B91"/>
    <w:rsid w:val="009636BC"/>
    <w:rsid w:val="009647AC"/>
    <w:rsid w:val="009647C9"/>
    <w:rsid w:val="00965902"/>
    <w:rsid w:val="00966BA3"/>
    <w:rsid w:val="0096786E"/>
    <w:rsid w:val="00967E19"/>
    <w:rsid w:val="0097034F"/>
    <w:rsid w:val="009703B8"/>
    <w:rsid w:val="009706D0"/>
    <w:rsid w:val="0097135A"/>
    <w:rsid w:val="0097205F"/>
    <w:rsid w:val="00972DF1"/>
    <w:rsid w:val="009733C0"/>
    <w:rsid w:val="0097379D"/>
    <w:rsid w:val="00973A65"/>
    <w:rsid w:val="00973C37"/>
    <w:rsid w:val="00974ED2"/>
    <w:rsid w:val="00975611"/>
    <w:rsid w:val="00976828"/>
    <w:rsid w:val="00977634"/>
    <w:rsid w:val="00977B85"/>
    <w:rsid w:val="00977E9C"/>
    <w:rsid w:val="00980228"/>
    <w:rsid w:val="00980240"/>
    <w:rsid w:val="0098078E"/>
    <w:rsid w:val="009811EA"/>
    <w:rsid w:val="00981995"/>
    <w:rsid w:val="00982BA4"/>
    <w:rsid w:val="00982F02"/>
    <w:rsid w:val="00982F43"/>
    <w:rsid w:val="009835B8"/>
    <w:rsid w:val="009836A4"/>
    <w:rsid w:val="00983759"/>
    <w:rsid w:val="00983D7D"/>
    <w:rsid w:val="0098473E"/>
    <w:rsid w:val="00987099"/>
    <w:rsid w:val="009876CB"/>
    <w:rsid w:val="00990298"/>
    <w:rsid w:val="00990E7E"/>
    <w:rsid w:val="00991CF9"/>
    <w:rsid w:val="00992D76"/>
    <w:rsid w:val="00992DD4"/>
    <w:rsid w:val="00992EDA"/>
    <w:rsid w:val="00993576"/>
    <w:rsid w:val="00993F6E"/>
    <w:rsid w:val="00995E0C"/>
    <w:rsid w:val="00996A1E"/>
    <w:rsid w:val="009A0AC0"/>
    <w:rsid w:val="009A10B0"/>
    <w:rsid w:val="009A14D5"/>
    <w:rsid w:val="009A206A"/>
    <w:rsid w:val="009A43D5"/>
    <w:rsid w:val="009A4E27"/>
    <w:rsid w:val="009A4F25"/>
    <w:rsid w:val="009A5C04"/>
    <w:rsid w:val="009A5F8A"/>
    <w:rsid w:val="009A6707"/>
    <w:rsid w:val="009A70C3"/>
    <w:rsid w:val="009B08B1"/>
    <w:rsid w:val="009B0C86"/>
    <w:rsid w:val="009B1BE6"/>
    <w:rsid w:val="009B2169"/>
    <w:rsid w:val="009B2799"/>
    <w:rsid w:val="009B34B9"/>
    <w:rsid w:val="009B3E65"/>
    <w:rsid w:val="009B4289"/>
    <w:rsid w:val="009B490C"/>
    <w:rsid w:val="009B4D47"/>
    <w:rsid w:val="009B505A"/>
    <w:rsid w:val="009B5AD0"/>
    <w:rsid w:val="009B628B"/>
    <w:rsid w:val="009B6D2A"/>
    <w:rsid w:val="009B7767"/>
    <w:rsid w:val="009C0043"/>
    <w:rsid w:val="009C059F"/>
    <w:rsid w:val="009C0601"/>
    <w:rsid w:val="009C12F7"/>
    <w:rsid w:val="009C131D"/>
    <w:rsid w:val="009C15EE"/>
    <w:rsid w:val="009C215F"/>
    <w:rsid w:val="009C288E"/>
    <w:rsid w:val="009C32B2"/>
    <w:rsid w:val="009C4E26"/>
    <w:rsid w:val="009C59C9"/>
    <w:rsid w:val="009C61C8"/>
    <w:rsid w:val="009C6703"/>
    <w:rsid w:val="009C6828"/>
    <w:rsid w:val="009C6BB8"/>
    <w:rsid w:val="009C6F19"/>
    <w:rsid w:val="009C736C"/>
    <w:rsid w:val="009D0A92"/>
    <w:rsid w:val="009D0AF9"/>
    <w:rsid w:val="009D0EB5"/>
    <w:rsid w:val="009D14D9"/>
    <w:rsid w:val="009D177C"/>
    <w:rsid w:val="009D1DC9"/>
    <w:rsid w:val="009D23A1"/>
    <w:rsid w:val="009D24F1"/>
    <w:rsid w:val="009D263F"/>
    <w:rsid w:val="009D3667"/>
    <w:rsid w:val="009D3CA3"/>
    <w:rsid w:val="009D4BFC"/>
    <w:rsid w:val="009D4C4C"/>
    <w:rsid w:val="009D5BCA"/>
    <w:rsid w:val="009D6A23"/>
    <w:rsid w:val="009D6BCE"/>
    <w:rsid w:val="009D6EB6"/>
    <w:rsid w:val="009D70A2"/>
    <w:rsid w:val="009D769F"/>
    <w:rsid w:val="009D7964"/>
    <w:rsid w:val="009D7996"/>
    <w:rsid w:val="009E0E21"/>
    <w:rsid w:val="009E10D8"/>
    <w:rsid w:val="009E1C64"/>
    <w:rsid w:val="009E2754"/>
    <w:rsid w:val="009E2A29"/>
    <w:rsid w:val="009E382F"/>
    <w:rsid w:val="009E4115"/>
    <w:rsid w:val="009E53DF"/>
    <w:rsid w:val="009E54DE"/>
    <w:rsid w:val="009E5581"/>
    <w:rsid w:val="009E561F"/>
    <w:rsid w:val="009E593B"/>
    <w:rsid w:val="009E77F2"/>
    <w:rsid w:val="009E7ADD"/>
    <w:rsid w:val="009F016F"/>
    <w:rsid w:val="009F0ADF"/>
    <w:rsid w:val="009F0C41"/>
    <w:rsid w:val="009F147A"/>
    <w:rsid w:val="009F1710"/>
    <w:rsid w:val="009F1B86"/>
    <w:rsid w:val="009F20B5"/>
    <w:rsid w:val="009F31CC"/>
    <w:rsid w:val="009F3751"/>
    <w:rsid w:val="009F3796"/>
    <w:rsid w:val="009F39B4"/>
    <w:rsid w:val="009F4C56"/>
    <w:rsid w:val="009F507B"/>
    <w:rsid w:val="009F54D0"/>
    <w:rsid w:val="009F684E"/>
    <w:rsid w:val="00A00106"/>
    <w:rsid w:val="00A00AF4"/>
    <w:rsid w:val="00A018E3"/>
    <w:rsid w:val="00A01A7E"/>
    <w:rsid w:val="00A01F2C"/>
    <w:rsid w:val="00A02262"/>
    <w:rsid w:val="00A024D9"/>
    <w:rsid w:val="00A03AEA"/>
    <w:rsid w:val="00A05DFB"/>
    <w:rsid w:val="00A071F3"/>
    <w:rsid w:val="00A07C7F"/>
    <w:rsid w:val="00A106F2"/>
    <w:rsid w:val="00A10E48"/>
    <w:rsid w:val="00A1115D"/>
    <w:rsid w:val="00A117F1"/>
    <w:rsid w:val="00A11FC4"/>
    <w:rsid w:val="00A1259A"/>
    <w:rsid w:val="00A12742"/>
    <w:rsid w:val="00A13D9F"/>
    <w:rsid w:val="00A149C9"/>
    <w:rsid w:val="00A14A0A"/>
    <w:rsid w:val="00A14FF0"/>
    <w:rsid w:val="00A15652"/>
    <w:rsid w:val="00A159E2"/>
    <w:rsid w:val="00A15A25"/>
    <w:rsid w:val="00A15D13"/>
    <w:rsid w:val="00A15F50"/>
    <w:rsid w:val="00A16A24"/>
    <w:rsid w:val="00A174DC"/>
    <w:rsid w:val="00A17ABC"/>
    <w:rsid w:val="00A207CB"/>
    <w:rsid w:val="00A20B03"/>
    <w:rsid w:val="00A227E4"/>
    <w:rsid w:val="00A22B76"/>
    <w:rsid w:val="00A230B6"/>
    <w:rsid w:val="00A23146"/>
    <w:rsid w:val="00A236ED"/>
    <w:rsid w:val="00A24E6F"/>
    <w:rsid w:val="00A25065"/>
    <w:rsid w:val="00A25B24"/>
    <w:rsid w:val="00A25C86"/>
    <w:rsid w:val="00A25CE1"/>
    <w:rsid w:val="00A2618A"/>
    <w:rsid w:val="00A2635D"/>
    <w:rsid w:val="00A27954"/>
    <w:rsid w:val="00A279DB"/>
    <w:rsid w:val="00A27E7C"/>
    <w:rsid w:val="00A30A3B"/>
    <w:rsid w:val="00A30DA1"/>
    <w:rsid w:val="00A30FAE"/>
    <w:rsid w:val="00A31923"/>
    <w:rsid w:val="00A31C66"/>
    <w:rsid w:val="00A3211E"/>
    <w:rsid w:val="00A3381D"/>
    <w:rsid w:val="00A3381E"/>
    <w:rsid w:val="00A33B7B"/>
    <w:rsid w:val="00A34E9C"/>
    <w:rsid w:val="00A353D2"/>
    <w:rsid w:val="00A353D6"/>
    <w:rsid w:val="00A35B71"/>
    <w:rsid w:val="00A379E0"/>
    <w:rsid w:val="00A40348"/>
    <w:rsid w:val="00A409F9"/>
    <w:rsid w:val="00A40C25"/>
    <w:rsid w:val="00A40D0A"/>
    <w:rsid w:val="00A40F42"/>
    <w:rsid w:val="00A4181F"/>
    <w:rsid w:val="00A41970"/>
    <w:rsid w:val="00A41DC4"/>
    <w:rsid w:val="00A41F5C"/>
    <w:rsid w:val="00A423A0"/>
    <w:rsid w:val="00A425BC"/>
    <w:rsid w:val="00A42887"/>
    <w:rsid w:val="00A42CE6"/>
    <w:rsid w:val="00A42F43"/>
    <w:rsid w:val="00A42F80"/>
    <w:rsid w:val="00A435A8"/>
    <w:rsid w:val="00A44030"/>
    <w:rsid w:val="00A4537B"/>
    <w:rsid w:val="00A4548E"/>
    <w:rsid w:val="00A46539"/>
    <w:rsid w:val="00A47443"/>
    <w:rsid w:val="00A50206"/>
    <w:rsid w:val="00A503F3"/>
    <w:rsid w:val="00A52886"/>
    <w:rsid w:val="00A52D14"/>
    <w:rsid w:val="00A5304B"/>
    <w:rsid w:val="00A531A1"/>
    <w:rsid w:val="00A5397A"/>
    <w:rsid w:val="00A541F9"/>
    <w:rsid w:val="00A54205"/>
    <w:rsid w:val="00A544CC"/>
    <w:rsid w:val="00A5526F"/>
    <w:rsid w:val="00A554C7"/>
    <w:rsid w:val="00A55896"/>
    <w:rsid w:val="00A568A6"/>
    <w:rsid w:val="00A56983"/>
    <w:rsid w:val="00A57121"/>
    <w:rsid w:val="00A572E7"/>
    <w:rsid w:val="00A576EA"/>
    <w:rsid w:val="00A578C7"/>
    <w:rsid w:val="00A6060B"/>
    <w:rsid w:val="00A60A17"/>
    <w:rsid w:val="00A625D8"/>
    <w:rsid w:val="00A6272E"/>
    <w:rsid w:val="00A63055"/>
    <w:rsid w:val="00A633AD"/>
    <w:rsid w:val="00A6371C"/>
    <w:rsid w:val="00A639AA"/>
    <w:rsid w:val="00A641C7"/>
    <w:rsid w:val="00A655AA"/>
    <w:rsid w:val="00A65ADC"/>
    <w:rsid w:val="00A66FCD"/>
    <w:rsid w:val="00A67405"/>
    <w:rsid w:val="00A674B4"/>
    <w:rsid w:val="00A67629"/>
    <w:rsid w:val="00A7114C"/>
    <w:rsid w:val="00A72E60"/>
    <w:rsid w:val="00A735CA"/>
    <w:rsid w:val="00A741EC"/>
    <w:rsid w:val="00A746DE"/>
    <w:rsid w:val="00A74936"/>
    <w:rsid w:val="00A74BCB"/>
    <w:rsid w:val="00A751F7"/>
    <w:rsid w:val="00A7587F"/>
    <w:rsid w:val="00A7595B"/>
    <w:rsid w:val="00A75FE7"/>
    <w:rsid w:val="00A764D7"/>
    <w:rsid w:val="00A77202"/>
    <w:rsid w:val="00A77963"/>
    <w:rsid w:val="00A77C94"/>
    <w:rsid w:val="00A77F37"/>
    <w:rsid w:val="00A814C4"/>
    <w:rsid w:val="00A820D0"/>
    <w:rsid w:val="00A83B54"/>
    <w:rsid w:val="00A848D3"/>
    <w:rsid w:val="00A85A0D"/>
    <w:rsid w:val="00A85D31"/>
    <w:rsid w:val="00A86C8E"/>
    <w:rsid w:val="00A87108"/>
    <w:rsid w:val="00A87D1F"/>
    <w:rsid w:val="00A87D9F"/>
    <w:rsid w:val="00A90147"/>
    <w:rsid w:val="00A901A5"/>
    <w:rsid w:val="00A90226"/>
    <w:rsid w:val="00A906EB"/>
    <w:rsid w:val="00A90CFA"/>
    <w:rsid w:val="00A91712"/>
    <w:rsid w:val="00A92E82"/>
    <w:rsid w:val="00A93286"/>
    <w:rsid w:val="00A937CB"/>
    <w:rsid w:val="00A94008"/>
    <w:rsid w:val="00A9489A"/>
    <w:rsid w:val="00A95290"/>
    <w:rsid w:val="00A96281"/>
    <w:rsid w:val="00A967A0"/>
    <w:rsid w:val="00A9683F"/>
    <w:rsid w:val="00A97946"/>
    <w:rsid w:val="00AA0009"/>
    <w:rsid w:val="00AA07DA"/>
    <w:rsid w:val="00AA1E74"/>
    <w:rsid w:val="00AA26D2"/>
    <w:rsid w:val="00AA32AC"/>
    <w:rsid w:val="00AA3467"/>
    <w:rsid w:val="00AA3AFB"/>
    <w:rsid w:val="00AA3C9D"/>
    <w:rsid w:val="00AA3DEB"/>
    <w:rsid w:val="00AA3E4E"/>
    <w:rsid w:val="00AA4817"/>
    <w:rsid w:val="00AA49F3"/>
    <w:rsid w:val="00AA4ECF"/>
    <w:rsid w:val="00AA666B"/>
    <w:rsid w:val="00AA6968"/>
    <w:rsid w:val="00AA6B9A"/>
    <w:rsid w:val="00AA760E"/>
    <w:rsid w:val="00AB0038"/>
    <w:rsid w:val="00AB01C5"/>
    <w:rsid w:val="00AB1714"/>
    <w:rsid w:val="00AB21BA"/>
    <w:rsid w:val="00AB299F"/>
    <w:rsid w:val="00AB2AC8"/>
    <w:rsid w:val="00AB35F3"/>
    <w:rsid w:val="00AB47E0"/>
    <w:rsid w:val="00AB4803"/>
    <w:rsid w:val="00AB4BA0"/>
    <w:rsid w:val="00AB4C7F"/>
    <w:rsid w:val="00AB5332"/>
    <w:rsid w:val="00AB5822"/>
    <w:rsid w:val="00AB585F"/>
    <w:rsid w:val="00AB6F9E"/>
    <w:rsid w:val="00AB727A"/>
    <w:rsid w:val="00AB76EC"/>
    <w:rsid w:val="00AB7BA4"/>
    <w:rsid w:val="00AB7EBA"/>
    <w:rsid w:val="00AC0B6B"/>
    <w:rsid w:val="00AC0BED"/>
    <w:rsid w:val="00AC0BEF"/>
    <w:rsid w:val="00AC16BB"/>
    <w:rsid w:val="00AC1E4A"/>
    <w:rsid w:val="00AC1FEC"/>
    <w:rsid w:val="00AC2052"/>
    <w:rsid w:val="00AC2109"/>
    <w:rsid w:val="00AC390E"/>
    <w:rsid w:val="00AC4705"/>
    <w:rsid w:val="00AC482C"/>
    <w:rsid w:val="00AC4CFB"/>
    <w:rsid w:val="00AC563A"/>
    <w:rsid w:val="00AC57BF"/>
    <w:rsid w:val="00AC5BF4"/>
    <w:rsid w:val="00AC6A29"/>
    <w:rsid w:val="00AC7203"/>
    <w:rsid w:val="00AD049C"/>
    <w:rsid w:val="00AD04D3"/>
    <w:rsid w:val="00AD08CE"/>
    <w:rsid w:val="00AD0B77"/>
    <w:rsid w:val="00AD0F2E"/>
    <w:rsid w:val="00AD1889"/>
    <w:rsid w:val="00AD1A46"/>
    <w:rsid w:val="00AD1C19"/>
    <w:rsid w:val="00AD20FD"/>
    <w:rsid w:val="00AD28DF"/>
    <w:rsid w:val="00AD3C4F"/>
    <w:rsid w:val="00AD3F63"/>
    <w:rsid w:val="00AD6FE4"/>
    <w:rsid w:val="00AD7608"/>
    <w:rsid w:val="00AD7BE9"/>
    <w:rsid w:val="00AE12B0"/>
    <w:rsid w:val="00AE14D0"/>
    <w:rsid w:val="00AE17C0"/>
    <w:rsid w:val="00AE25D5"/>
    <w:rsid w:val="00AE2A16"/>
    <w:rsid w:val="00AE2B58"/>
    <w:rsid w:val="00AE2C14"/>
    <w:rsid w:val="00AE307F"/>
    <w:rsid w:val="00AE32FC"/>
    <w:rsid w:val="00AE404E"/>
    <w:rsid w:val="00AE5026"/>
    <w:rsid w:val="00AE6633"/>
    <w:rsid w:val="00AE73E9"/>
    <w:rsid w:val="00AF0B7B"/>
    <w:rsid w:val="00AF0B7D"/>
    <w:rsid w:val="00AF0C7D"/>
    <w:rsid w:val="00AF0D88"/>
    <w:rsid w:val="00AF1839"/>
    <w:rsid w:val="00AF189A"/>
    <w:rsid w:val="00AF1966"/>
    <w:rsid w:val="00AF2121"/>
    <w:rsid w:val="00AF230D"/>
    <w:rsid w:val="00AF2CF7"/>
    <w:rsid w:val="00AF2F28"/>
    <w:rsid w:val="00AF3302"/>
    <w:rsid w:val="00AF3A89"/>
    <w:rsid w:val="00AF3AB2"/>
    <w:rsid w:val="00AF3E77"/>
    <w:rsid w:val="00AF4318"/>
    <w:rsid w:val="00AF4599"/>
    <w:rsid w:val="00AF528E"/>
    <w:rsid w:val="00AF5657"/>
    <w:rsid w:val="00AF5B41"/>
    <w:rsid w:val="00AF5DCF"/>
    <w:rsid w:val="00AF7A98"/>
    <w:rsid w:val="00B00408"/>
    <w:rsid w:val="00B0043F"/>
    <w:rsid w:val="00B00BC0"/>
    <w:rsid w:val="00B00C2C"/>
    <w:rsid w:val="00B01C8A"/>
    <w:rsid w:val="00B01DA4"/>
    <w:rsid w:val="00B023AD"/>
    <w:rsid w:val="00B02A13"/>
    <w:rsid w:val="00B0318B"/>
    <w:rsid w:val="00B04056"/>
    <w:rsid w:val="00B047BA"/>
    <w:rsid w:val="00B04A0F"/>
    <w:rsid w:val="00B04FB7"/>
    <w:rsid w:val="00B06CE0"/>
    <w:rsid w:val="00B076BC"/>
    <w:rsid w:val="00B07CCA"/>
    <w:rsid w:val="00B07CE6"/>
    <w:rsid w:val="00B10BEB"/>
    <w:rsid w:val="00B119A4"/>
    <w:rsid w:val="00B120F8"/>
    <w:rsid w:val="00B12264"/>
    <w:rsid w:val="00B12366"/>
    <w:rsid w:val="00B123BD"/>
    <w:rsid w:val="00B12559"/>
    <w:rsid w:val="00B12BAE"/>
    <w:rsid w:val="00B12F65"/>
    <w:rsid w:val="00B133FF"/>
    <w:rsid w:val="00B14FB7"/>
    <w:rsid w:val="00B157EC"/>
    <w:rsid w:val="00B16914"/>
    <w:rsid w:val="00B16B6A"/>
    <w:rsid w:val="00B170A7"/>
    <w:rsid w:val="00B2041E"/>
    <w:rsid w:val="00B2063C"/>
    <w:rsid w:val="00B2170A"/>
    <w:rsid w:val="00B21A5F"/>
    <w:rsid w:val="00B21B3F"/>
    <w:rsid w:val="00B22A06"/>
    <w:rsid w:val="00B22B49"/>
    <w:rsid w:val="00B23BF3"/>
    <w:rsid w:val="00B23EDE"/>
    <w:rsid w:val="00B243DF"/>
    <w:rsid w:val="00B24F19"/>
    <w:rsid w:val="00B24F23"/>
    <w:rsid w:val="00B25A57"/>
    <w:rsid w:val="00B2633E"/>
    <w:rsid w:val="00B27575"/>
    <w:rsid w:val="00B27E20"/>
    <w:rsid w:val="00B30DFA"/>
    <w:rsid w:val="00B31A7E"/>
    <w:rsid w:val="00B31DB4"/>
    <w:rsid w:val="00B3294F"/>
    <w:rsid w:val="00B3314E"/>
    <w:rsid w:val="00B331BA"/>
    <w:rsid w:val="00B332C6"/>
    <w:rsid w:val="00B33816"/>
    <w:rsid w:val="00B3471D"/>
    <w:rsid w:val="00B34C43"/>
    <w:rsid w:val="00B35615"/>
    <w:rsid w:val="00B35E36"/>
    <w:rsid w:val="00B36696"/>
    <w:rsid w:val="00B36A42"/>
    <w:rsid w:val="00B36AB0"/>
    <w:rsid w:val="00B36C2D"/>
    <w:rsid w:val="00B374A9"/>
    <w:rsid w:val="00B403EC"/>
    <w:rsid w:val="00B40BCF"/>
    <w:rsid w:val="00B40FA3"/>
    <w:rsid w:val="00B41891"/>
    <w:rsid w:val="00B41923"/>
    <w:rsid w:val="00B42A3B"/>
    <w:rsid w:val="00B43903"/>
    <w:rsid w:val="00B43A2D"/>
    <w:rsid w:val="00B44038"/>
    <w:rsid w:val="00B440E1"/>
    <w:rsid w:val="00B44317"/>
    <w:rsid w:val="00B445D6"/>
    <w:rsid w:val="00B455D7"/>
    <w:rsid w:val="00B4582D"/>
    <w:rsid w:val="00B45F45"/>
    <w:rsid w:val="00B463D6"/>
    <w:rsid w:val="00B46E9A"/>
    <w:rsid w:val="00B51189"/>
    <w:rsid w:val="00B512D8"/>
    <w:rsid w:val="00B51E89"/>
    <w:rsid w:val="00B5299B"/>
    <w:rsid w:val="00B53377"/>
    <w:rsid w:val="00B53F14"/>
    <w:rsid w:val="00B54E0F"/>
    <w:rsid w:val="00B55037"/>
    <w:rsid w:val="00B55044"/>
    <w:rsid w:val="00B5524A"/>
    <w:rsid w:val="00B55A7D"/>
    <w:rsid w:val="00B565BD"/>
    <w:rsid w:val="00B56921"/>
    <w:rsid w:val="00B56DF6"/>
    <w:rsid w:val="00B57245"/>
    <w:rsid w:val="00B57809"/>
    <w:rsid w:val="00B5786E"/>
    <w:rsid w:val="00B57FEF"/>
    <w:rsid w:val="00B60892"/>
    <w:rsid w:val="00B60AF9"/>
    <w:rsid w:val="00B632B9"/>
    <w:rsid w:val="00B632DE"/>
    <w:rsid w:val="00B63AA4"/>
    <w:rsid w:val="00B643FE"/>
    <w:rsid w:val="00B646A4"/>
    <w:rsid w:val="00B64D69"/>
    <w:rsid w:val="00B6509E"/>
    <w:rsid w:val="00B655B1"/>
    <w:rsid w:val="00B65A2F"/>
    <w:rsid w:val="00B65E7F"/>
    <w:rsid w:val="00B65EB0"/>
    <w:rsid w:val="00B65F9E"/>
    <w:rsid w:val="00B66A31"/>
    <w:rsid w:val="00B66C4E"/>
    <w:rsid w:val="00B66E35"/>
    <w:rsid w:val="00B670E1"/>
    <w:rsid w:val="00B6713C"/>
    <w:rsid w:val="00B672A5"/>
    <w:rsid w:val="00B672BC"/>
    <w:rsid w:val="00B673B4"/>
    <w:rsid w:val="00B673BB"/>
    <w:rsid w:val="00B7065A"/>
    <w:rsid w:val="00B729EA"/>
    <w:rsid w:val="00B73584"/>
    <w:rsid w:val="00B73F4F"/>
    <w:rsid w:val="00B747CA"/>
    <w:rsid w:val="00B74B9B"/>
    <w:rsid w:val="00B7607A"/>
    <w:rsid w:val="00B80E6B"/>
    <w:rsid w:val="00B8224D"/>
    <w:rsid w:val="00B82DAD"/>
    <w:rsid w:val="00B83062"/>
    <w:rsid w:val="00B831AF"/>
    <w:rsid w:val="00B83394"/>
    <w:rsid w:val="00B83D90"/>
    <w:rsid w:val="00B84216"/>
    <w:rsid w:val="00B84A8F"/>
    <w:rsid w:val="00B84AC4"/>
    <w:rsid w:val="00B84B6A"/>
    <w:rsid w:val="00B84D05"/>
    <w:rsid w:val="00B85A91"/>
    <w:rsid w:val="00B868B4"/>
    <w:rsid w:val="00B86D69"/>
    <w:rsid w:val="00B874EF"/>
    <w:rsid w:val="00B875EE"/>
    <w:rsid w:val="00B87C9C"/>
    <w:rsid w:val="00B90305"/>
    <w:rsid w:val="00B90924"/>
    <w:rsid w:val="00B90E7D"/>
    <w:rsid w:val="00B90F82"/>
    <w:rsid w:val="00B9164A"/>
    <w:rsid w:val="00B91839"/>
    <w:rsid w:val="00B918CE"/>
    <w:rsid w:val="00B91CB9"/>
    <w:rsid w:val="00B927E2"/>
    <w:rsid w:val="00B93258"/>
    <w:rsid w:val="00B9357E"/>
    <w:rsid w:val="00B936AC"/>
    <w:rsid w:val="00B93EEB"/>
    <w:rsid w:val="00B93F3C"/>
    <w:rsid w:val="00B93FB6"/>
    <w:rsid w:val="00B94280"/>
    <w:rsid w:val="00B943AB"/>
    <w:rsid w:val="00B94670"/>
    <w:rsid w:val="00B94AEA"/>
    <w:rsid w:val="00B95185"/>
    <w:rsid w:val="00B9648A"/>
    <w:rsid w:val="00B96665"/>
    <w:rsid w:val="00B96771"/>
    <w:rsid w:val="00B968BD"/>
    <w:rsid w:val="00B97DF1"/>
    <w:rsid w:val="00BA077B"/>
    <w:rsid w:val="00BA3605"/>
    <w:rsid w:val="00BA3F49"/>
    <w:rsid w:val="00BA47FA"/>
    <w:rsid w:val="00BA4B17"/>
    <w:rsid w:val="00BA4CBB"/>
    <w:rsid w:val="00BA6981"/>
    <w:rsid w:val="00BA797D"/>
    <w:rsid w:val="00BB04D6"/>
    <w:rsid w:val="00BB04E2"/>
    <w:rsid w:val="00BB0F59"/>
    <w:rsid w:val="00BB0FB8"/>
    <w:rsid w:val="00BB26B1"/>
    <w:rsid w:val="00BB26D1"/>
    <w:rsid w:val="00BB47C5"/>
    <w:rsid w:val="00BB4FA6"/>
    <w:rsid w:val="00BB6AF7"/>
    <w:rsid w:val="00BB7E3F"/>
    <w:rsid w:val="00BC06E9"/>
    <w:rsid w:val="00BC1F99"/>
    <w:rsid w:val="00BC216D"/>
    <w:rsid w:val="00BC2916"/>
    <w:rsid w:val="00BC3098"/>
    <w:rsid w:val="00BC41BB"/>
    <w:rsid w:val="00BC45EA"/>
    <w:rsid w:val="00BC4E05"/>
    <w:rsid w:val="00BC5487"/>
    <w:rsid w:val="00BC5650"/>
    <w:rsid w:val="00BC58D5"/>
    <w:rsid w:val="00BC5C32"/>
    <w:rsid w:val="00BC640F"/>
    <w:rsid w:val="00BC7406"/>
    <w:rsid w:val="00BC747B"/>
    <w:rsid w:val="00BD0309"/>
    <w:rsid w:val="00BD0820"/>
    <w:rsid w:val="00BD19AA"/>
    <w:rsid w:val="00BD23B0"/>
    <w:rsid w:val="00BD250C"/>
    <w:rsid w:val="00BD2970"/>
    <w:rsid w:val="00BD29C5"/>
    <w:rsid w:val="00BD2A90"/>
    <w:rsid w:val="00BD3407"/>
    <w:rsid w:val="00BD3C1B"/>
    <w:rsid w:val="00BD3E4B"/>
    <w:rsid w:val="00BD57B0"/>
    <w:rsid w:val="00BD697B"/>
    <w:rsid w:val="00BD69B4"/>
    <w:rsid w:val="00BD6A77"/>
    <w:rsid w:val="00BD6B04"/>
    <w:rsid w:val="00BD713C"/>
    <w:rsid w:val="00BE105F"/>
    <w:rsid w:val="00BE13D6"/>
    <w:rsid w:val="00BE13E5"/>
    <w:rsid w:val="00BE24CB"/>
    <w:rsid w:val="00BE3124"/>
    <w:rsid w:val="00BE31D7"/>
    <w:rsid w:val="00BE3351"/>
    <w:rsid w:val="00BE4250"/>
    <w:rsid w:val="00BE4504"/>
    <w:rsid w:val="00BE4FEC"/>
    <w:rsid w:val="00BE551A"/>
    <w:rsid w:val="00BE5A6B"/>
    <w:rsid w:val="00BE5C8F"/>
    <w:rsid w:val="00BE6653"/>
    <w:rsid w:val="00BE6BA2"/>
    <w:rsid w:val="00BE71EE"/>
    <w:rsid w:val="00BE7384"/>
    <w:rsid w:val="00BE73C1"/>
    <w:rsid w:val="00BE77DE"/>
    <w:rsid w:val="00BE7D68"/>
    <w:rsid w:val="00BF06D8"/>
    <w:rsid w:val="00BF075C"/>
    <w:rsid w:val="00BF1F6F"/>
    <w:rsid w:val="00BF2543"/>
    <w:rsid w:val="00BF308E"/>
    <w:rsid w:val="00BF38C8"/>
    <w:rsid w:val="00BF4BBF"/>
    <w:rsid w:val="00BF5BA4"/>
    <w:rsid w:val="00BF6C6E"/>
    <w:rsid w:val="00BF7E11"/>
    <w:rsid w:val="00C00CC2"/>
    <w:rsid w:val="00C01993"/>
    <w:rsid w:val="00C01E94"/>
    <w:rsid w:val="00C02F59"/>
    <w:rsid w:val="00C03A5D"/>
    <w:rsid w:val="00C03FFF"/>
    <w:rsid w:val="00C04358"/>
    <w:rsid w:val="00C04855"/>
    <w:rsid w:val="00C059B2"/>
    <w:rsid w:val="00C05AB5"/>
    <w:rsid w:val="00C05AED"/>
    <w:rsid w:val="00C05F65"/>
    <w:rsid w:val="00C0658E"/>
    <w:rsid w:val="00C06C49"/>
    <w:rsid w:val="00C072BD"/>
    <w:rsid w:val="00C07E0C"/>
    <w:rsid w:val="00C116C7"/>
    <w:rsid w:val="00C11FE2"/>
    <w:rsid w:val="00C12EA1"/>
    <w:rsid w:val="00C13524"/>
    <w:rsid w:val="00C13EDA"/>
    <w:rsid w:val="00C143D3"/>
    <w:rsid w:val="00C14B6C"/>
    <w:rsid w:val="00C154DD"/>
    <w:rsid w:val="00C15761"/>
    <w:rsid w:val="00C15AE8"/>
    <w:rsid w:val="00C15FC0"/>
    <w:rsid w:val="00C1618A"/>
    <w:rsid w:val="00C165C1"/>
    <w:rsid w:val="00C16F4C"/>
    <w:rsid w:val="00C177BA"/>
    <w:rsid w:val="00C1783F"/>
    <w:rsid w:val="00C20834"/>
    <w:rsid w:val="00C20C6C"/>
    <w:rsid w:val="00C20EFE"/>
    <w:rsid w:val="00C21ECD"/>
    <w:rsid w:val="00C21F4D"/>
    <w:rsid w:val="00C22124"/>
    <w:rsid w:val="00C226EB"/>
    <w:rsid w:val="00C22FF0"/>
    <w:rsid w:val="00C24776"/>
    <w:rsid w:val="00C25626"/>
    <w:rsid w:val="00C26254"/>
    <w:rsid w:val="00C262A1"/>
    <w:rsid w:val="00C26572"/>
    <w:rsid w:val="00C2682E"/>
    <w:rsid w:val="00C26F81"/>
    <w:rsid w:val="00C27060"/>
    <w:rsid w:val="00C3011B"/>
    <w:rsid w:val="00C310BB"/>
    <w:rsid w:val="00C317DA"/>
    <w:rsid w:val="00C31DE3"/>
    <w:rsid w:val="00C320C0"/>
    <w:rsid w:val="00C32E1A"/>
    <w:rsid w:val="00C32F41"/>
    <w:rsid w:val="00C331AA"/>
    <w:rsid w:val="00C3386B"/>
    <w:rsid w:val="00C33D2E"/>
    <w:rsid w:val="00C3403C"/>
    <w:rsid w:val="00C34BED"/>
    <w:rsid w:val="00C34D26"/>
    <w:rsid w:val="00C35663"/>
    <w:rsid w:val="00C35AC2"/>
    <w:rsid w:val="00C36071"/>
    <w:rsid w:val="00C36F09"/>
    <w:rsid w:val="00C3709B"/>
    <w:rsid w:val="00C37200"/>
    <w:rsid w:val="00C37513"/>
    <w:rsid w:val="00C37910"/>
    <w:rsid w:val="00C37B98"/>
    <w:rsid w:val="00C40426"/>
    <w:rsid w:val="00C40688"/>
    <w:rsid w:val="00C41034"/>
    <w:rsid w:val="00C410B4"/>
    <w:rsid w:val="00C418E1"/>
    <w:rsid w:val="00C41DA1"/>
    <w:rsid w:val="00C42198"/>
    <w:rsid w:val="00C4234B"/>
    <w:rsid w:val="00C423AD"/>
    <w:rsid w:val="00C42568"/>
    <w:rsid w:val="00C4289E"/>
    <w:rsid w:val="00C42C0F"/>
    <w:rsid w:val="00C42D17"/>
    <w:rsid w:val="00C43823"/>
    <w:rsid w:val="00C43D2E"/>
    <w:rsid w:val="00C44764"/>
    <w:rsid w:val="00C45DB5"/>
    <w:rsid w:val="00C46C1E"/>
    <w:rsid w:val="00C47D30"/>
    <w:rsid w:val="00C506BC"/>
    <w:rsid w:val="00C508CE"/>
    <w:rsid w:val="00C50C75"/>
    <w:rsid w:val="00C514AA"/>
    <w:rsid w:val="00C52FAE"/>
    <w:rsid w:val="00C547E7"/>
    <w:rsid w:val="00C549B2"/>
    <w:rsid w:val="00C55007"/>
    <w:rsid w:val="00C556BB"/>
    <w:rsid w:val="00C55DE7"/>
    <w:rsid w:val="00C56070"/>
    <w:rsid w:val="00C562D8"/>
    <w:rsid w:val="00C575CC"/>
    <w:rsid w:val="00C57C04"/>
    <w:rsid w:val="00C60147"/>
    <w:rsid w:val="00C60F32"/>
    <w:rsid w:val="00C6159A"/>
    <w:rsid w:val="00C61BF3"/>
    <w:rsid w:val="00C6226F"/>
    <w:rsid w:val="00C62446"/>
    <w:rsid w:val="00C62717"/>
    <w:rsid w:val="00C63A41"/>
    <w:rsid w:val="00C63DF4"/>
    <w:rsid w:val="00C63FAE"/>
    <w:rsid w:val="00C65748"/>
    <w:rsid w:val="00C657DB"/>
    <w:rsid w:val="00C66C51"/>
    <w:rsid w:val="00C66CFB"/>
    <w:rsid w:val="00C66EFE"/>
    <w:rsid w:val="00C67FEC"/>
    <w:rsid w:val="00C71D94"/>
    <w:rsid w:val="00C73DFC"/>
    <w:rsid w:val="00C7401D"/>
    <w:rsid w:val="00C74148"/>
    <w:rsid w:val="00C74CA5"/>
    <w:rsid w:val="00C74DBE"/>
    <w:rsid w:val="00C7526D"/>
    <w:rsid w:val="00C7590B"/>
    <w:rsid w:val="00C76977"/>
    <w:rsid w:val="00C76F7A"/>
    <w:rsid w:val="00C77197"/>
    <w:rsid w:val="00C774A0"/>
    <w:rsid w:val="00C77702"/>
    <w:rsid w:val="00C8019A"/>
    <w:rsid w:val="00C809C7"/>
    <w:rsid w:val="00C81A25"/>
    <w:rsid w:val="00C8251E"/>
    <w:rsid w:val="00C82F59"/>
    <w:rsid w:val="00C83076"/>
    <w:rsid w:val="00C831AC"/>
    <w:rsid w:val="00C83DEB"/>
    <w:rsid w:val="00C842F2"/>
    <w:rsid w:val="00C84D45"/>
    <w:rsid w:val="00C86561"/>
    <w:rsid w:val="00C86799"/>
    <w:rsid w:val="00C86E7E"/>
    <w:rsid w:val="00C870B4"/>
    <w:rsid w:val="00C8729D"/>
    <w:rsid w:val="00C87427"/>
    <w:rsid w:val="00C876F3"/>
    <w:rsid w:val="00C87890"/>
    <w:rsid w:val="00C90C16"/>
    <w:rsid w:val="00C90FAA"/>
    <w:rsid w:val="00C910EE"/>
    <w:rsid w:val="00C9118B"/>
    <w:rsid w:val="00C91736"/>
    <w:rsid w:val="00C94250"/>
    <w:rsid w:val="00C94510"/>
    <w:rsid w:val="00C94552"/>
    <w:rsid w:val="00C953A9"/>
    <w:rsid w:val="00C95494"/>
    <w:rsid w:val="00C95656"/>
    <w:rsid w:val="00C95973"/>
    <w:rsid w:val="00C95BBE"/>
    <w:rsid w:val="00C95D3E"/>
    <w:rsid w:val="00C975F3"/>
    <w:rsid w:val="00CA0560"/>
    <w:rsid w:val="00CA0C8D"/>
    <w:rsid w:val="00CA0DA2"/>
    <w:rsid w:val="00CA0E4C"/>
    <w:rsid w:val="00CA14AA"/>
    <w:rsid w:val="00CA3A17"/>
    <w:rsid w:val="00CA4B79"/>
    <w:rsid w:val="00CA4E38"/>
    <w:rsid w:val="00CA5532"/>
    <w:rsid w:val="00CA581F"/>
    <w:rsid w:val="00CA64CB"/>
    <w:rsid w:val="00CA6892"/>
    <w:rsid w:val="00CA6C60"/>
    <w:rsid w:val="00CA786D"/>
    <w:rsid w:val="00CA7E66"/>
    <w:rsid w:val="00CB068B"/>
    <w:rsid w:val="00CB08A9"/>
    <w:rsid w:val="00CB0C69"/>
    <w:rsid w:val="00CB0E0A"/>
    <w:rsid w:val="00CB198E"/>
    <w:rsid w:val="00CB310D"/>
    <w:rsid w:val="00CB352F"/>
    <w:rsid w:val="00CB3EA8"/>
    <w:rsid w:val="00CB4CA5"/>
    <w:rsid w:val="00CB78DD"/>
    <w:rsid w:val="00CB7DDF"/>
    <w:rsid w:val="00CC158B"/>
    <w:rsid w:val="00CC29E9"/>
    <w:rsid w:val="00CC2F11"/>
    <w:rsid w:val="00CC41DF"/>
    <w:rsid w:val="00CC46BB"/>
    <w:rsid w:val="00CC524E"/>
    <w:rsid w:val="00CC55B7"/>
    <w:rsid w:val="00CC5914"/>
    <w:rsid w:val="00CC6D80"/>
    <w:rsid w:val="00CC754A"/>
    <w:rsid w:val="00CC7C42"/>
    <w:rsid w:val="00CD11F7"/>
    <w:rsid w:val="00CD132C"/>
    <w:rsid w:val="00CD23E9"/>
    <w:rsid w:val="00CD2874"/>
    <w:rsid w:val="00CD2958"/>
    <w:rsid w:val="00CD2B21"/>
    <w:rsid w:val="00CD33C7"/>
    <w:rsid w:val="00CD36DE"/>
    <w:rsid w:val="00CD3BCD"/>
    <w:rsid w:val="00CD3F4F"/>
    <w:rsid w:val="00CD454F"/>
    <w:rsid w:val="00CD4BDA"/>
    <w:rsid w:val="00CD5409"/>
    <w:rsid w:val="00CD5449"/>
    <w:rsid w:val="00CD58ED"/>
    <w:rsid w:val="00CD69F9"/>
    <w:rsid w:val="00CD6AF1"/>
    <w:rsid w:val="00CD7595"/>
    <w:rsid w:val="00CE0569"/>
    <w:rsid w:val="00CE086E"/>
    <w:rsid w:val="00CE0F5B"/>
    <w:rsid w:val="00CE2E6A"/>
    <w:rsid w:val="00CE2E8A"/>
    <w:rsid w:val="00CE39FA"/>
    <w:rsid w:val="00CE6036"/>
    <w:rsid w:val="00CE6272"/>
    <w:rsid w:val="00CE6DE4"/>
    <w:rsid w:val="00CE7244"/>
    <w:rsid w:val="00CF03C5"/>
    <w:rsid w:val="00CF0EAB"/>
    <w:rsid w:val="00CF1126"/>
    <w:rsid w:val="00CF3F0A"/>
    <w:rsid w:val="00CF40EC"/>
    <w:rsid w:val="00CF4AF4"/>
    <w:rsid w:val="00CF5177"/>
    <w:rsid w:val="00CF5B54"/>
    <w:rsid w:val="00CF5B5D"/>
    <w:rsid w:val="00CF5C2E"/>
    <w:rsid w:val="00CF6427"/>
    <w:rsid w:val="00CF6A4C"/>
    <w:rsid w:val="00CF738B"/>
    <w:rsid w:val="00D00B5C"/>
    <w:rsid w:val="00D01594"/>
    <w:rsid w:val="00D01B80"/>
    <w:rsid w:val="00D01C33"/>
    <w:rsid w:val="00D01EAF"/>
    <w:rsid w:val="00D021B8"/>
    <w:rsid w:val="00D023C3"/>
    <w:rsid w:val="00D025DB"/>
    <w:rsid w:val="00D02C30"/>
    <w:rsid w:val="00D03749"/>
    <w:rsid w:val="00D03A72"/>
    <w:rsid w:val="00D0464A"/>
    <w:rsid w:val="00D04B88"/>
    <w:rsid w:val="00D04D00"/>
    <w:rsid w:val="00D04E97"/>
    <w:rsid w:val="00D0546C"/>
    <w:rsid w:val="00D06351"/>
    <w:rsid w:val="00D065FC"/>
    <w:rsid w:val="00D06795"/>
    <w:rsid w:val="00D0683B"/>
    <w:rsid w:val="00D072EC"/>
    <w:rsid w:val="00D073BB"/>
    <w:rsid w:val="00D07B45"/>
    <w:rsid w:val="00D07C97"/>
    <w:rsid w:val="00D10571"/>
    <w:rsid w:val="00D11311"/>
    <w:rsid w:val="00D11397"/>
    <w:rsid w:val="00D1228F"/>
    <w:rsid w:val="00D122B3"/>
    <w:rsid w:val="00D12AA9"/>
    <w:rsid w:val="00D136AF"/>
    <w:rsid w:val="00D13C3E"/>
    <w:rsid w:val="00D14133"/>
    <w:rsid w:val="00D149CC"/>
    <w:rsid w:val="00D152E4"/>
    <w:rsid w:val="00D156B4"/>
    <w:rsid w:val="00D16FCF"/>
    <w:rsid w:val="00D1778F"/>
    <w:rsid w:val="00D178B9"/>
    <w:rsid w:val="00D20764"/>
    <w:rsid w:val="00D20C09"/>
    <w:rsid w:val="00D20EF2"/>
    <w:rsid w:val="00D20F31"/>
    <w:rsid w:val="00D214C3"/>
    <w:rsid w:val="00D21CBB"/>
    <w:rsid w:val="00D22F52"/>
    <w:rsid w:val="00D23079"/>
    <w:rsid w:val="00D23D00"/>
    <w:rsid w:val="00D245F1"/>
    <w:rsid w:val="00D254B5"/>
    <w:rsid w:val="00D2576D"/>
    <w:rsid w:val="00D25BFB"/>
    <w:rsid w:val="00D267E0"/>
    <w:rsid w:val="00D26B20"/>
    <w:rsid w:val="00D26DB0"/>
    <w:rsid w:val="00D26DB7"/>
    <w:rsid w:val="00D30048"/>
    <w:rsid w:val="00D313A7"/>
    <w:rsid w:val="00D32B8E"/>
    <w:rsid w:val="00D32E5F"/>
    <w:rsid w:val="00D33AA2"/>
    <w:rsid w:val="00D33E41"/>
    <w:rsid w:val="00D34467"/>
    <w:rsid w:val="00D346BC"/>
    <w:rsid w:val="00D34715"/>
    <w:rsid w:val="00D349AE"/>
    <w:rsid w:val="00D34FFD"/>
    <w:rsid w:val="00D3561B"/>
    <w:rsid w:val="00D35780"/>
    <w:rsid w:val="00D358E6"/>
    <w:rsid w:val="00D360FB"/>
    <w:rsid w:val="00D36832"/>
    <w:rsid w:val="00D36E18"/>
    <w:rsid w:val="00D376B6"/>
    <w:rsid w:val="00D37748"/>
    <w:rsid w:val="00D37A26"/>
    <w:rsid w:val="00D4082F"/>
    <w:rsid w:val="00D42417"/>
    <w:rsid w:val="00D426A0"/>
    <w:rsid w:val="00D46596"/>
    <w:rsid w:val="00D465A1"/>
    <w:rsid w:val="00D474A2"/>
    <w:rsid w:val="00D47E24"/>
    <w:rsid w:val="00D47E26"/>
    <w:rsid w:val="00D50969"/>
    <w:rsid w:val="00D50C67"/>
    <w:rsid w:val="00D51015"/>
    <w:rsid w:val="00D51798"/>
    <w:rsid w:val="00D52362"/>
    <w:rsid w:val="00D52430"/>
    <w:rsid w:val="00D5259A"/>
    <w:rsid w:val="00D52DD1"/>
    <w:rsid w:val="00D52ED2"/>
    <w:rsid w:val="00D5417A"/>
    <w:rsid w:val="00D55E3F"/>
    <w:rsid w:val="00D55F79"/>
    <w:rsid w:val="00D56453"/>
    <w:rsid w:val="00D5675E"/>
    <w:rsid w:val="00D56816"/>
    <w:rsid w:val="00D56DF7"/>
    <w:rsid w:val="00D57EEE"/>
    <w:rsid w:val="00D60D83"/>
    <w:rsid w:val="00D618BE"/>
    <w:rsid w:val="00D61C28"/>
    <w:rsid w:val="00D6251F"/>
    <w:rsid w:val="00D62E8E"/>
    <w:rsid w:val="00D63387"/>
    <w:rsid w:val="00D63D75"/>
    <w:rsid w:val="00D63EA2"/>
    <w:rsid w:val="00D6453F"/>
    <w:rsid w:val="00D64E69"/>
    <w:rsid w:val="00D65446"/>
    <w:rsid w:val="00D67E3E"/>
    <w:rsid w:val="00D67FA8"/>
    <w:rsid w:val="00D70391"/>
    <w:rsid w:val="00D71C81"/>
    <w:rsid w:val="00D71F3C"/>
    <w:rsid w:val="00D72647"/>
    <w:rsid w:val="00D7286B"/>
    <w:rsid w:val="00D728D6"/>
    <w:rsid w:val="00D73493"/>
    <w:rsid w:val="00D736A5"/>
    <w:rsid w:val="00D741B0"/>
    <w:rsid w:val="00D75399"/>
    <w:rsid w:val="00D75CEA"/>
    <w:rsid w:val="00D75DB8"/>
    <w:rsid w:val="00D763CC"/>
    <w:rsid w:val="00D7670D"/>
    <w:rsid w:val="00D76BA8"/>
    <w:rsid w:val="00D77441"/>
    <w:rsid w:val="00D77792"/>
    <w:rsid w:val="00D8041D"/>
    <w:rsid w:val="00D80480"/>
    <w:rsid w:val="00D81F7A"/>
    <w:rsid w:val="00D8217B"/>
    <w:rsid w:val="00D82E15"/>
    <w:rsid w:val="00D8309C"/>
    <w:rsid w:val="00D83264"/>
    <w:rsid w:val="00D83354"/>
    <w:rsid w:val="00D833EE"/>
    <w:rsid w:val="00D83B30"/>
    <w:rsid w:val="00D83D3B"/>
    <w:rsid w:val="00D84E96"/>
    <w:rsid w:val="00D8528E"/>
    <w:rsid w:val="00D86861"/>
    <w:rsid w:val="00D86951"/>
    <w:rsid w:val="00D86D06"/>
    <w:rsid w:val="00D8778A"/>
    <w:rsid w:val="00D9020A"/>
    <w:rsid w:val="00D906D9"/>
    <w:rsid w:val="00D90958"/>
    <w:rsid w:val="00D90F3D"/>
    <w:rsid w:val="00D91642"/>
    <w:rsid w:val="00D93CB8"/>
    <w:rsid w:val="00D941E2"/>
    <w:rsid w:val="00D9594D"/>
    <w:rsid w:val="00D95A57"/>
    <w:rsid w:val="00D95E28"/>
    <w:rsid w:val="00D96046"/>
    <w:rsid w:val="00D96161"/>
    <w:rsid w:val="00D96C00"/>
    <w:rsid w:val="00D97CD4"/>
    <w:rsid w:val="00D97F66"/>
    <w:rsid w:val="00DA09A7"/>
    <w:rsid w:val="00DA0D79"/>
    <w:rsid w:val="00DA28FA"/>
    <w:rsid w:val="00DA2F2B"/>
    <w:rsid w:val="00DA2F8B"/>
    <w:rsid w:val="00DA31CD"/>
    <w:rsid w:val="00DA3583"/>
    <w:rsid w:val="00DA408C"/>
    <w:rsid w:val="00DA47A1"/>
    <w:rsid w:val="00DA52A9"/>
    <w:rsid w:val="00DA62AC"/>
    <w:rsid w:val="00DA7547"/>
    <w:rsid w:val="00DA79CD"/>
    <w:rsid w:val="00DB049D"/>
    <w:rsid w:val="00DB1281"/>
    <w:rsid w:val="00DB27CA"/>
    <w:rsid w:val="00DB4334"/>
    <w:rsid w:val="00DB4C23"/>
    <w:rsid w:val="00DB51CC"/>
    <w:rsid w:val="00DB5956"/>
    <w:rsid w:val="00DB59C9"/>
    <w:rsid w:val="00DB5CB5"/>
    <w:rsid w:val="00DB62A7"/>
    <w:rsid w:val="00DB6379"/>
    <w:rsid w:val="00DB67C1"/>
    <w:rsid w:val="00DB6BAB"/>
    <w:rsid w:val="00DB7543"/>
    <w:rsid w:val="00DB78AA"/>
    <w:rsid w:val="00DC061A"/>
    <w:rsid w:val="00DC30C2"/>
    <w:rsid w:val="00DC40FD"/>
    <w:rsid w:val="00DC4B17"/>
    <w:rsid w:val="00DC53D1"/>
    <w:rsid w:val="00DC549F"/>
    <w:rsid w:val="00DC59D7"/>
    <w:rsid w:val="00DC5EB4"/>
    <w:rsid w:val="00DC6398"/>
    <w:rsid w:val="00DC6ADE"/>
    <w:rsid w:val="00DD00B2"/>
    <w:rsid w:val="00DD066F"/>
    <w:rsid w:val="00DD0A3A"/>
    <w:rsid w:val="00DD0FE5"/>
    <w:rsid w:val="00DD11D6"/>
    <w:rsid w:val="00DD16DC"/>
    <w:rsid w:val="00DD192E"/>
    <w:rsid w:val="00DD1A72"/>
    <w:rsid w:val="00DD1CC9"/>
    <w:rsid w:val="00DD244B"/>
    <w:rsid w:val="00DD24F0"/>
    <w:rsid w:val="00DD26EA"/>
    <w:rsid w:val="00DD273F"/>
    <w:rsid w:val="00DD2E0D"/>
    <w:rsid w:val="00DD2EDA"/>
    <w:rsid w:val="00DD3A47"/>
    <w:rsid w:val="00DD3B8C"/>
    <w:rsid w:val="00DD4029"/>
    <w:rsid w:val="00DD495E"/>
    <w:rsid w:val="00DD4AF4"/>
    <w:rsid w:val="00DD55F7"/>
    <w:rsid w:val="00DD63CA"/>
    <w:rsid w:val="00DD785F"/>
    <w:rsid w:val="00DE08B3"/>
    <w:rsid w:val="00DE09F1"/>
    <w:rsid w:val="00DE0DBB"/>
    <w:rsid w:val="00DE128F"/>
    <w:rsid w:val="00DE12BF"/>
    <w:rsid w:val="00DE1917"/>
    <w:rsid w:val="00DE1DB7"/>
    <w:rsid w:val="00DE1F3E"/>
    <w:rsid w:val="00DE2CF0"/>
    <w:rsid w:val="00DE32F6"/>
    <w:rsid w:val="00DE3470"/>
    <w:rsid w:val="00DE3919"/>
    <w:rsid w:val="00DE3B10"/>
    <w:rsid w:val="00DE4B8E"/>
    <w:rsid w:val="00DE5990"/>
    <w:rsid w:val="00DE5A61"/>
    <w:rsid w:val="00DE5C88"/>
    <w:rsid w:val="00DE5E0B"/>
    <w:rsid w:val="00DE65AC"/>
    <w:rsid w:val="00DE6FA5"/>
    <w:rsid w:val="00DF00A0"/>
    <w:rsid w:val="00DF0400"/>
    <w:rsid w:val="00DF0B67"/>
    <w:rsid w:val="00DF21E4"/>
    <w:rsid w:val="00DF289E"/>
    <w:rsid w:val="00DF2984"/>
    <w:rsid w:val="00DF2C88"/>
    <w:rsid w:val="00DF37F6"/>
    <w:rsid w:val="00DF38D2"/>
    <w:rsid w:val="00DF3B69"/>
    <w:rsid w:val="00DF48AF"/>
    <w:rsid w:val="00DF4959"/>
    <w:rsid w:val="00DF514D"/>
    <w:rsid w:val="00DF5800"/>
    <w:rsid w:val="00DF5F59"/>
    <w:rsid w:val="00DF638E"/>
    <w:rsid w:val="00DF6C1B"/>
    <w:rsid w:val="00DF7781"/>
    <w:rsid w:val="00DF7B76"/>
    <w:rsid w:val="00E0080B"/>
    <w:rsid w:val="00E00AD7"/>
    <w:rsid w:val="00E012B9"/>
    <w:rsid w:val="00E014D6"/>
    <w:rsid w:val="00E01A55"/>
    <w:rsid w:val="00E01F4A"/>
    <w:rsid w:val="00E0206D"/>
    <w:rsid w:val="00E036ED"/>
    <w:rsid w:val="00E03851"/>
    <w:rsid w:val="00E03F2E"/>
    <w:rsid w:val="00E03FB9"/>
    <w:rsid w:val="00E040A3"/>
    <w:rsid w:val="00E050D4"/>
    <w:rsid w:val="00E051F7"/>
    <w:rsid w:val="00E05815"/>
    <w:rsid w:val="00E06566"/>
    <w:rsid w:val="00E067BB"/>
    <w:rsid w:val="00E06D96"/>
    <w:rsid w:val="00E07BA0"/>
    <w:rsid w:val="00E10596"/>
    <w:rsid w:val="00E10903"/>
    <w:rsid w:val="00E10DC8"/>
    <w:rsid w:val="00E113E7"/>
    <w:rsid w:val="00E123D3"/>
    <w:rsid w:val="00E12879"/>
    <w:rsid w:val="00E12E5F"/>
    <w:rsid w:val="00E13F2D"/>
    <w:rsid w:val="00E14816"/>
    <w:rsid w:val="00E15985"/>
    <w:rsid w:val="00E15C48"/>
    <w:rsid w:val="00E16A35"/>
    <w:rsid w:val="00E16E99"/>
    <w:rsid w:val="00E17123"/>
    <w:rsid w:val="00E179EA"/>
    <w:rsid w:val="00E20169"/>
    <w:rsid w:val="00E209D6"/>
    <w:rsid w:val="00E20EE3"/>
    <w:rsid w:val="00E212A3"/>
    <w:rsid w:val="00E216BF"/>
    <w:rsid w:val="00E221B6"/>
    <w:rsid w:val="00E2404F"/>
    <w:rsid w:val="00E24BFD"/>
    <w:rsid w:val="00E2551F"/>
    <w:rsid w:val="00E25633"/>
    <w:rsid w:val="00E25640"/>
    <w:rsid w:val="00E25BDA"/>
    <w:rsid w:val="00E25D9C"/>
    <w:rsid w:val="00E27117"/>
    <w:rsid w:val="00E30812"/>
    <w:rsid w:val="00E314F4"/>
    <w:rsid w:val="00E315E2"/>
    <w:rsid w:val="00E31F54"/>
    <w:rsid w:val="00E32599"/>
    <w:rsid w:val="00E327E9"/>
    <w:rsid w:val="00E32874"/>
    <w:rsid w:val="00E338B3"/>
    <w:rsid w:val="00E33A25"/>
    <w:rsid w:val="00E33A28"/>
    <w:rsid w:val="00E33AEE"/>
    <w:rsid w:val="00E33F47"/>
    <w:rsid w:val="00E34925"/>
    <w:rsid w:val="00E35152"/>
    <w:rsid w:val="00E3637B"/>
    <w:rsid w:val="00E3675D"/>
    <w:rsid w:val="00E401DF"/>
    <w:rsid w:val="00E406CC"/>
    <w:rsid w:val="00E4075F"/>
    <w:rsid w:val="00E40DFF"/>
    <w:rsid w:val="00E4125E"/>
    <w:rsid w:val="00E415CF"/>
    <w:rsid w:val="00E41784"/>
    <w:rsid w:val="00E41F65"/>
    <w:rsid w:val="00E4240A"/>
    <w:rsid w:val="00E42E95"/>
    <w:rsid w:val="00E42FBE"/>
    <w:rsid w:val="00E438CA"/>
    <w:rsid w:val="00E43A4C"/>
    <w:rsid w:val="00E44296"/>
    <w:rsid w:val="00E44AD7"/>
    <w:rsid w:val="00E45ED7"/>
    <w:rsid w:val="00E46521"/>
    <w:rsid w:val="00E466D8"/>
    <w:rsid w:val="00E472CE"/>
    <w:rsid w:val="00E472F7"/>
    <w:rsid w:val="00E474B9"/>
    <w:rsid w:val="00E47E53"/>
    <w:rsid w:val="00E500AA"/>
    <w:rsid w:val="00E500D4"/>
    <w:rsid w:val="00E50B5C"/>
    <w:rsid w:val="00E514EF"/>
    <w:rsid w:val="00E51AC9"/>
    <w:rsid w:val="00E52226"/>
    <w:rsid w:val="00E538BF"/>
    <w:rsid w:val="00E53AC2"/>
    <w:rsid w:val="00E54448"/>
    <w:rsid w:val="00E549DE"/>
    <w:rsid w:val="00E54A79"/>
    <w:rsid w:val="00E54A90"/>
    <w:rsid w:val="00E54EBA"/>
    <w:rsid w:val="00E56583"/>
    <w:rsid w:val="00E57C17"/>
    <w:rsid w:val="00E601D8"/>
    <w:rsid w:val="00E601FC"/>
    <w:rsid w:val="00E60427"/>
    <w:rsid w:val="00E608E1"/>
    <w:rsid w:val="00E613A1"/>
    <w:rsid w:val="00E6163B"/>
    <w:rsid w:val="00E633C2"/>
    <w:rsid w:val="00E6346A"/>
    <w:rsid w:val="00E64006"/>
    <w:rsid w:val="00E64028"/>
    <w:rsid w:val="00E642A8"/>
    <w:rsid w:val="00E65506"/>
    <w:rsid w:val="00E67108"/>
    <w:rsid w:val="00E67487"/>
    <w:rsid w:val="00E701D3"/>
    <w:rsid w:val="00E7067D"/>
    <w:rsid w:val="00E709AA"/>
    <w:rsid w:val="00E70F09"/>
    <w:rsid w:val="00E7145A"/>
    <w:rsid w:val="00E716F5"/>
    <w:rsid w:val="00E73494"/>
    <w:rsid w:val="00E73B69"/>
    <w:rsid w:val="00E74123"/>
    <w:rsid w:val="00E75E19"/>
    <w:rsid w:val="00E77258"/>
    <w:rsid w:val="00E776D3"/>
    <w:rsid w:val="00E77BC1"/>
    <w:rsid w:val="00E809F2"/>
    <w:rsid w:val="00E80A95"/>
    <w:rsid w:val="00E814FA"/>
    <w:rsid w:val="00E81730"/>
    <w:rsid w:val="00E81B66"/>
    <w:rsid w:val="00E81CF2"/>
    <w:rsid w:val="00E81D13"/>
    <w:rsid w:val="00E81E91"/>
    <w:rsid w:val="00E83C9C"/>
    <w:rsid w:val="00E845AC"/>
    <w:rsid w:val="00E8460E"/>
    <w:rsid w:val="00E84B30"/>
    <w:rsid w:val="00E84F0D"/>
    <w:rsid w:val="00E84FA7"/>
    <w:rsid w:val="00E8505E"/>
    <w:rsid w:val="00E8511D"/>
    <w:rsid w:val="00E851D6"/>
    <w:rsid w:val="00E85CC8"/>
    <w:rsid w:val="00E85EC0"/>
    <w:rsid w:val="00E85FFA"/>
    <w:rsid w:val="00E86C4A"/>
    <w:rsid w:val="00E86E2A"/>
    <w:rsid w:val="00E907F7"/>
    <w:rsid w:val="00E909EE"/>
    <w:rsid w:val="00E91E46"/>
    <w:rsid w:val="00E9265D"/>
    <w:rsid w:val="00E926C3"/>
    <w:rsid w:val="00E9282A"/>
    <w:rsid w:val="00E93695"/>
    <w:rsid w:val="00E93701"/>
    <w:rsid w:val="00E93E5B"/>
    <w:rsid w:val="00E93E9C"/>
    <w:rsid w:val="00E947C3"/>
    <w:rsid w:val="00E95748"/>
    <w:rsid w:val="00E96288"/>
    <w:rsid w:val="00E96EAD"/>
    <w:rsid w:val="00E96ECF"/>
    <w:rsid w:val="00E97656"/>
    <w:rsid w:val="00E97AF7"/>
    <w:rsid w:val="00EA03DF"/>
    <w:rsid w:val="00EA047B"/>
    <w:rsid w:val="00EA1A67"/>
    <w:rsid w:val="00EA2088"/>
    <w:rsid w:val="00EA2107"/>
    <w:rsid w:val="00EA38D3"/>
    <w:rsid w:val="00EA4ADA"/>
    <w:rsid w:val="00EA6577"/>
    <w:rsid w:val="00EA67F8"/>
    <w:rsid w:val="00EA6A26"/>
    <w:rsid w:val="00EA73C6"/>
    <w:rsid w:val="00EA7446"/>
    <w:rsid w:val="00EA7A17"/>
    <w:rsid w:val="00EA7EB3"/>
    <w:rsid w:val="00EB020F"/>
    <w:rsid w:val="00EB0C1A"/>
    <w:rsid w:val="00EB0D47"/>
    <w:rsid w:val="00EB2C76"/>
    <w:rsid w:val="00EB3285"/>
    <w:rsid w:val="00EB33DE"/>
    <w:rsid w:val="00EB44CF"/>
    <w:rsid w:val="00EB4A7A"/>
    <w:rsid w:val="00EB4BAF"/>
    <w:rsid w:val="00EB4DAF"/>
    <w:rsid w:val="00EB523E"/>
    <w:rsid w:val="00EB55F4"/>
    <w:rsid w:val="00EB59B4"/>
    <w:rsid w:val="00EB6010"/>
    <w:rsid w:val="00EB601C"/>
    <w:rsid w:val="00EB626B"/>
    <w:rsid w:val="00EB7ACE"/>
    <w:rsid w:val="00EB7E09"/>
    <w:rsid w:val="00EC0963"/>
    <w:rsid w:val="00EC0E32"/>
    <w:rsid w:val="00EC17AB"/>
    <w:rsid w:val="00EC1DDF"/>
    <w:rsid w:val="00EC257E"/>
    <w:rsid w:val="00EC2897"/>
    <w:rsid w:val="00EC3B47"/>
    <w:rsid w:val="00EC3D7D"/>
    <w:rsid w:val="00EC54A3"/>
    <w:rsid w:val="00EC5895"/>
    <w:rsid w:val="00EC76EE"/>
    <w:rsid w:val="00ED0A7E"/>
    <w:rsid w:val="00ED109C"/>
    <w:rsid w:val="00ED2411"/>
    <w:rsid w:val="00ED26FC"/>
    <w:rsid w:val="00ED2C14"/>
    <w:rsid w:val="00ED3839"/>
    <w:rsid w:val="00ED399B"/>
    <w:rsid w:val="00ED422E"/>
    <w:rsid w:val="00ED45B8"/>
    <w:rsid w:val="00ED4881"/>
    <w:rsid w:val="00ED4E7F"/>
    <w:rsid w:val="00ED52A3"/>
    <w:rsid w:val="00ED5820"/>
    <w:rsid w:val="00ED66B8"/>
    <w:rsid w:val="00ED6B82"/>
    <w:rsid w:val="00ED7A30"/>
    <w:rsid w:val="00EE0592"/>
    <w:rsid w:val="00EE0D47"/>
    <w:rsid w:val="00EE0EEF"/>
    <w:rsid w:val="00EE10C5"/>
    <w:rsid w:val="00EE20A3"/>
    <w:rsid w:val="00EE291B"/>
    <w:rsid w:val="00EE40EA"/>
    <w:rsid w:val="00EE4F4B"/>
    <w:rsid w:val="00EE5856"/>
    <w:rsid w:val="00EE591B"/>
    <w:rsid w:val="00EE6463"/>
    <w:rsid w:val="00EE6CAE"/>
    <w:rsid w:val="00EE7E7A"/>
    <w:rsid w:val="00EF0278"/>
    <w:rsid w:val="00EF13C6"/>
    <w:rsid w:val="00EF1C3D"/>
    <w:rsid w:val="00EF361E"/>
    <w:rsid w:val="00EF3775"/>
    <w:rsid w:val="00EF398B"/>
    <w:rsid w:val="00EF3BF7"/>
    <w:rsid w:val="00EF3F12"/>
    <w:rsid w:val="00EF4AEC"/>
    <w:rsid w:val="00EF4F9C"/>
    <w:rsid w:val="00EF5895"/>
    <w:rsid w:val="00EF604F"/>
    <w:rsid w:val="00EF6EEE"/>
    <w:rsid w:val="00EF7C26"/>
    <w:rsid w:val="00F00121"/>
    <w:rsid w:val="00F003D9"/>
    <w:rsid w:val="00F0079D"/>
    <w:rsid w:val="00F00DB9"/>
    <w:rsid w:val="00F0197F"/>
    <w:rsid w:val="00F0344B"/>
    <w:rsid w:val="00F03CB0"/>
    <w:rsid w:val="00F05296"/>
    <w:rsid w:val="00F05335"/>
    <w:rsid w:val="00F055E9"/>
    <w:rsid w:val="00F0595D"/>
    <w:rsid w:val="00F06068"/>
    <w:rsid w:val="00F062D5"/>
    <w:rsid w:val="00F06BAE"/>
    <w:rsid w:val="00F10A36"/>
    <w:rsid w:val="00F10ECB"/>
    <w:rsid w:val="00F11162"/>
    <w:rsid w:val="00F1137E"/>
    <w:rsid w:val="00F11535"/>
    <w:rsid w:val="00F11654"/>
    <w:rsid w:val="00F11B4D"/>
    <w:rsid w:val="00F11C39"/>
    <w:rsid w:val="00F12019"/>
    <w:rsid w:val="00F12606"/>
    <w:rsid w:val="00F12FEA"/>
    <w:rsid w:val="00F131B0"/>
    <w:rsid w:val="00F1448F"/>
    <w:rsid w:val="00F148F3"/>
    <w:rsid w:val="00F14A13"/>
    <w:rsid w:val="00F14AD3"/>
    <w:rsid w:val="00F14AE4"/>
    <w:rsid w:val="00F150ED"/>
    <w:rsid w:val="00F153F7"/>
    <w:rsid w:val="00F156F2"/>
    <w:rsid w:val="00F15E1B"/>
    <w:rsid w:val="00F15E27"/>
    <w:rsid w:val="00F16BBE"/>
    <w:rsid w:val="00F16C6E"/>
    <w:rsid w:val="00F1752E"/>
    <w:rsid w:val="00F179A0"/>
    <w:rsid w:val="00F20187"/>
    <w:rsid w:val="00F2036A"/>
    <w:rsid w:val="00F208F2"/>
    <w:rsid w:val="00F20ECF"/>
    <w:rsid w:val="00F21A63"/>
    <w:rsid w:val="00F21E4D"/>
    <w:rsid w:val="00F21E6D"/>
    <w:rsid w:val="00F2223B"/>
    <w:rsid w:val="00F2246A"/>
    <w:rsid w:val="00F231F6"/>
    <w:rsid w:val="00F23380"/>
    <w:rsid w:val="00F234A7"/>
    <w:rsid w:val="00F2393C"/>
    <w:rsid w:val="00F24025"/>
    <w:rsid w:val="00F243D2"/>
    <w:rsid w:val="00F24508"/>
    <w:rsid w:val="00F24A21"/>
    <w:rsid w:val="00F24E39"/>
    <w:rsid w:val="00F25AD5"/>
    <w:rsid w:val="00F2647A"/>
    <w:rsid w:val="00F26858"/>
    <w:rsid w:val="00F26D22"/>
    <w:rsid w:val="00F27350"/>
    <w:rsid w:val="00F27920"/>
    <w:rsid w:val="00F30986"/>
    <w:rsid w:val="00F3102B"/>
    <w:rsid w:val="00F32001"/>
    <w:rsid w:val="00F324BB"/>
    <w:rsid w:val="00F3263F"/>
    <w:rsid w:val="00F328FC"/>
    <w:rsid w:val="00F329D4"/>
    <w:rsid w:val="00F3309F"/>
    <w:rsid w:val="00F35660"/>
    <w:rsid w:val="00F35901"/>
    <w:rsid w:val="00F35922"/>
    <w:rsid w:val="00F366A3"/>
    <w:rsid w:val="00F366B8"/>
    <w:rsid w:val="00F36B5C"/>
    <w:rsid w:val="00F370A2"/>
    <w:rsid w:val="00F37AFB"/>
    <w:rsid w:val="00F37F11"/>
    <w:rsid w:val="00F400E5"/>
    <w:rsid w:val="00F402B2"/>
    <w:rsid w:val="00F41E63"/>
    <w:rsid w:val="00F4448B"/>
    <w:rsid w:val="00F44B09"/>
    <w:rsid w:val="00F45AD7"/>
    <w:rsid w:val="00F470E1"/>
    <w:rsid w:val="00F47114"/>
    <w:rsid w:val="00F4726E"/>
    <w:rsid w:val="00F474CE"/>
    <w:rsid w:val="00F4761D"/>
    <w:rsid w:val="00F47789"/>
    <w:rsid w:val="00F47BB8"/>
    <w:rsid w:val="00F47CCE"/>
    <w:rsid w:val="00F50BEF"/>
    <w:rsid w:val="00F51A30"/>
    <w:rsid w:val="00F51D2D"/>
    <w:rsid w:val="00F51E33"/>
    <w:rsid w:val="00F529E3"/>
    <w:rsid w:val="00F534B9"/>
    <w:rsid w:val="00F53566"/>
    <w:rsid w:val="00F549C0"/>
    <w:rsid w:val="00F54EF2"/>
    <w:rsid w:val="00F556B2"/>
    <w:rsid w:val="00F556DC"/>
    <w:rsid w:val="00F564E9"/>
    <w:rsid w:val="00F56AEF"/>
    <w:rsid w:val="00F608CF"/>
    <w:rsid w:val="00F618E3"/>
    <w:rsid w:val="00F632C9"/>
    <w:rsid w:val="00F63AE3"/>
    <w:rsid w:val="00F63DFA"/>
    <w:rsid w:val="00F63E2B"/>
    <w:rsid w:val="00F646E4"/>
    <w:rsid w:val="00F652BD"/>
    <w:rsid w:val="00F65700"/>
    <w:rsid w:val="00F65A99"/>
    <w:rsid w:val="00F65AF9"/>
    <w:rsid w:val="00F65F58"/>
    <w:rsid w:val="00F66842"/>
    <w:rsid w:val="00F66C1B"/>
    <w:rsid w:val="00F66F3F"/>
    <w:rsid w:val="00F67096"/>
    <w:rsid w:val="00F671E3"/>
    <w:rsid w:val="00F67661"/>
    <w:rsid w:val="00F676A7"/>
    <w:rsid w:val="00F6781D"/>
    <w:rsid w:val="00F6787B"/>
    <w:rsid w:val="00F70159"/>
    <w:rsid w:val="00F70581"/>
    <w:rsid w:val="00F707B0"/>
    <w:rsid w:val="00F710A2"/>
    <w:rsid w:val="00F71C78"/>
    <w:rsid w:val="00F728C4"/>
    <w:rsid w:val="00F729AD"/>
    <w:rsid w:val="00F72AEF"/>
    <w:rsid w:val="00F72F49"/>
    <w:rsid w:val="00F72FAF"/>
    <w:rsid w:val="00F72FFD"/>
    <w:rsid w:val="00F749AC"/>
    <w:rsid w:val="00F74AF4"/>
    <w:rsid w:val="00F74B35"/>
    <w:rsid w:val="00F750AC"/>
    <w:rsid w:val="00F75E96"/>
    <w:rsid w:val="00F76847"/>
    <w:rsid w:val="00F77EFF"/>
    <w:rsid w:val="00F80EEE"/>
    <w:rsid w:val="00F810FC"/>
    <w:rsid w:val="00F8135C"/>
    <w:rsid w:val="00F825C8"/>
    <w:rsid w:val="00F82B54"/>
    <w:rsid w:val="00F83297"/>
    <w:rsid w:val="00F83EC7"/>
    <w:rsid w:val="00F840C4"/>
    <w:rsid w:val="00F8422C"/>
    <w:rsid w:val="00F84A2A"/>
    <w:rsid w:val="00F84BDA"/>
    <w:rsid w:val="00F864CA"/>
    <w:rsid w:val="00F86668"/>
    <w:rsid w:val="00F866EF"/>
    <w:rsid w:val="00F878BC"/>
    <w:rsid w:val="00F90F2E"/>
    <w:rsid w:val="00F912A6"/>
    <w:rsid w:val="00F912BD"/>
    <w:rsid w:val="00F91AA1"/>
    <w:rsid w:val="00F921EF"/>
    <w:rsid w:val="00F92CA9"/>
    <w:rsid w:val="00F95655"/>
    <w:rsid w:val="00F96643"/>
    <w:rsid w:val="00F96E43"/>
    <w:rsid w:val="00F96F26"/>
    <w:rsid w:val="00F97EF9"/>
    <w:rsid w:val="00FA0074"/>
    <w:rsid w:val="00FA0317"/>
    <w:rsid w:val="00FA0BA3"/>
    <w:rsid w:val="00FA0D1A"/>
    <w:rsid w:val="00FA1031"/>
    <w:rsid w:val="00FA128F"/>
    <w:rsid w:val="00FA1934"/>
    <w:rsid w:val="00FA2156"/>
    <w:rsid w:val="00FA259C"/>
    <w:rsid w:val="00FA268B"/>
    <w:rsid w:val="00FA292E"/>
    <w:rsid w:val="00FA2AA0"/>
    <w:rsid w:val="00FA363E"/>
    <w:rsid w:val="00FA38CB"/>
    <w:rsid w:val="00FA3DC5"/>
    <w:rsid w:val="00FA3E75"/>
    <w:rsid w:val="00FA7441"/>
    <w:rsid w:val="00FA7FD0"/>
    <w:rsid w:val="00FB0644"/>
    <w:rsid w:val="00FB1B4D"/>
    <w:rsid w:val="00FB3CF6"/>
    <w:rsid w:val="00FB40AC"/>
    <w:rsid w:val="00FB4530"/>
    <w:rsid w:val="00FB4780"/>
    <w:rsid w:val="00FB60A7"/>
    <w:rsid w:val="00FB6849"/>
    <w:rsid w:val="00FC0214"/>
    <w:rsid w:val="00FC1307"/>
    <w:rsid w:val="00FC1478"/>
    <w:rsid w:val="00FC1577"/>
    <w:rsid w:val="00FC16A1"/>
    <w:rsid w:val="00FC1736"/>
    <w:rsid w:val="00FC205D"/>
    <w:rsid w:val="00FC22CF"/>
    <w:rsid w:val="00FC2B91"/>
    <w:rsid w:val="00FC2C43"/>
    <w:rsid w:val="00FC2D39"/>
    <w:rsid w:val="00FC3384"/>
    <w:rsid w:val="00FC34BF"/>
    <w:rsid w:val="00FC3B61"/>
    <w:rsid w:val="00FC41AB"/>
    <w:rsid w:val="00FC5730"/>
    <w:rsid w:val="00FC5A22"/>
    <w:rsid w:val="00FC6A94"/>
    <w:rsid w:val="00FD0498"/>
    <w:rsid w:val="00FD0694"/>
    <w:rsid w:val="00FD1378"/>
    <w:rsid w:val="00FD13AF"/>
    <w:rsid w:val="00FD1995"/>
    <w:rsid w:val="00FD1BB1"/>
    <w:rsid w:val="00FD2179"/>
    <w:rsid w:val="00FD24A3"/>
    <w:rsid w:val="00FD2F39"/>
    <w:rsid w:val="00FD38FC"/>
    <w:rsid w:val="00FD3EBD"/>
    <w:rsid w:val="00FD4B73"/>
    <w:rsid w:val="00FD4ED5"/>
    <w:rsid w:val="00FD5BEA"/>
    <w:rsid w:val="00FD6468"/>
    <w:rsid w:val="00FD6EC3"/>
    <w:rsid w:val="00FD7F78"/>
    <w:rsid w:val="00FE084F"/>
    <w:rsid w:val="00FE0B9D"/>
    <w:rsid w:val="00FE0CF5"/>
    <w:rsid w:val="00FE111A"/>
    <w:rsid w:val="00FE1299"/>
    <w:rsid w:val="00FE1724"/>
    <w:rsid w:val="00FE2524"/>
    <w:rsid w:val="00FE2536"/>
    <w:rsid w:val="00FE2C6B"/>
    <w:rsid w:val="00FE32E4"/>
    <w:rsid w:val="00FE3C38"/>
    <w:rsid w:val="00FE4B36"/>
    <w:rsid w:val="00FE514C"/>
    <w:rsid w:val="00FE5250"/>
    <w:rsid w:val="00FE5406"/>
    <w:rsid w:val="00FE552C"/>
    <w:rsid w:val="00FE6012"/>
    <w:rsid w:val="00FE6BE4"/>
    <w:rsid w:val="00FE7059"/>
    <w:rsid w:val="00FE79AC"/>
    <w:rsid w:val="00FF0075"/>
    <w:rsid w:val="00FF1761"/>
    <w:rsid w:val="00FF2176"/>
    <w:rsid w:val="00FF2B84"/>
    <w:rsid w:val="00FF3893"/>
    <w:rsid w:val="00FF3CA8"/>
    <w:rsid w:val="00FF4AFF"/>
    <w:rsid w:val="00FF6707"/>
    <w:rsid w:val="00FF7B19"/>
    <w:rsid w:val="00FF7FBE"/>
    <w:rsid w:val="01DF099F"/>
    <w:rsid w:val="02435D8A"/>
    <w:rsid w:val="02C70ACF"/>
    <w:rsid w:val="03E1093E"/>
    <w:rsid w:val="043C7210"/>
    <w:rsid w:val="069D7EE6"/>
    <w:rsid w:val="0804236D"/>
    <w:rsid w:val="0ADE5D02"/>
    <w:rsid w:val="0B410F04"/>
    <w:rsid w:val="0D085663"/>
    <w:rsid w:val="0E6453EA"/>
    <w:rsid w:val="0F0E31B8"/>
    <w:rsid w:val="11993C35"/>
    <w:rsid w:val="11C447F2"/>
    <w:rsid w:val="11FE23B1"/>
    <w:rsid w:val="12D62C19"/>
    <w:rsid w:val="166370BC"/>
    <w:rsid w:val="1AAF508A"/>
    <w:rsid w:val="1AE32442"/>
    <w:rsid w:val="1C1C26B5"/>
    <w:rsid w:val="1DF702CD"/>
    <w:rsid w:val="1E327588"/>
    <w:rsid w:val="1FBE3DA4"/>
    <w:rsid w:val="1FF9640B"/>
    <w:rsid w:val="215D7D7E"/>
    <w:rsid w:val="221339FC"/>
    <w:rsid w:val="223F6032"/>
    <w:rsid w:val="225348EC"/>
    <w:rsid w:val="255C66B7"/>
    <w:rsid w:val="26022CC8"/>
    <w:rsid w:val="28AC6EBF"/>
    <w:rsid w:val="2A9B0200"/>
    <w:rsid w:val="2B9A7015"/>
    <w:rsid w:val="30133FEC"/>
    <w:rsid w:val="30140DFE"/>
    <w:rsid w:val="316C18BC"/>
    <w:rsid w:val="32B6460F"/>
    <w:rsid w:val="32B932A0"/>
    <w:rsid w:val="333448B8"/>
    <w:rsid w:val="377809C6"/>
    <w:rsid w:val="37E15CA8"/>
    <w:rsid w:val="387F2D73"/>
    <w:rsid w:val="3A0A6764"/>
    <w:rsid w:val="3BA536F6"/>
    <w:rsid w:val="3D296FDE"/>
    <w:rsid w:val="3DF16BF1"/>
    <w:rsid w:val="3F417E8E"/>
    <w:rsid w:val="3FAD1A48"/>
    <w:rsid w:val="3FB14FD4"/>
    <w:rsid w:val="403E1D29"/>
    <w:rsid w:val="41724DEC"/>
    <w:rsid w:val="449F2F41"/>
    <w:rsid w:val="471B5600"/>
    <w:rsid w:val="4C7F776A"/>
    <w:rsid w:val="4D893612"/>
    <w:rsid w:val="4E53380B"/>
    <w:rsid w:val="4F085579"/>
    <w:rsid w:val="51092EFC"/>
    <w:rsid w:val="521C6850"/>
    <w:rsid w:val="5363570F"/>
    <w:rsid w:val="53767712"/>
    <w:rsid w:val="563D3194"/>
    <w:rsid w:val="57223BD4"/>
    <w:rsid w:val="57327921"/>
    <w:rsid w:val="5A425322"/>
    <w:rsid w:val="5BBA03F3"/>
    <w:rsid w:val="5C786DC1"/>
    <w:rsid w:val="5E074206"/>
    <w:rsid w:val="5E19688D"/>
    <w:rsid w:val="5EC60A56"/>
    <w:rsid w:val="5F1477F9"/>
    <w:rsid w:val="63C06B21"/>
    <w:rsid w:val="664B7B7A"/>
    <w:rsid w:val="672C69D8"/>
    <w:rsid w:val="67CA3270"/>
    <w:rsid w:val="691161E3"/>
    <w:rsid w:val="697143D2"/>
    <w:rsid w:val="6BDE042B"/>
    <w:rsid w:val="6C3412A7"/>
    <w:rsid w:val="6ECD0AC4"/>
    <w:rsid w:val="6EDA527F"/>
    <w:rsid w:val="70D65B97"/>
    <w:rsid w:val="711B468C"/>
    <w:rsid w:val="71E75C27"/>
    <w:rsid w:val="726A2A2F"/>
    <w:rsid w:val="72BA7F4C"/>
    <w:rsid w:val="730425C9"/>
    <w:rsid w:val="73ED1B7A"/>
    <w:rsid w:val="749501AE"/>
    <w:rsid w:val="74954412"/>
    <w:rsid w:val="75FB4354"/>
    <w:rsid w:val="76421742"/>
    <w:rsid w:val="76DC0E77"/>
    <w:rsid w:val="76DF1D1D"/>
    <w:rsid w:val="789E56D3"/>
    <w:rsid w:val="79380624"/>
    <w:rsid w:val="79612765"/>
    <w:rsid w:val="79A65FA3"/>
    <w:rsid w:val="7A3E292A"/>
    <w:rsid w:val="7A6D4F03"/>
    <w:rsid w:val="7C8C5C17"/>
    <w:rsid w:val="7D434A56"/>
    <w:rsid w:val="7E8A1B2B"/>
    <w:rsid w:val="7EA51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keepLines/>
      <w:spacing w:before="260" w:after="260" w:line="416" w:lineRule="auto"/>
      <w:jc w:val="center"/>
      <w:outlineLvl w:val="1"/>
    </w:pPr>
    <w:rPr>
      <w:rFonts w:ascii="Arial" w:hAnsi="Arial" w:eastAsia="楷体"/>
      <w:sz w:val="32"/>
    </w:rPr>
  </w:style>
  <w:style w:type="paragraph" w:styleId="5">
    <w:name w:val="heading 3"/>
    <w:basedOn w:val="1"/>
    <w:next w:val="1"/>
    <w:link w:val="32"/>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6">
    <w:name w:val="annotation text"/>
    <w:basedOn w:val="1"/>
    <w:link w:val="39"/>
    <w:qFormat/>
    <w:uiPriority w:val="0"/>
    <w:pPr>
      <w:jc w:val="left"/>
    </w:pPr>
  </w:style>
  <w:style w:type="paragraph" w:styleId="7">
    <w:name w:val="Body Text 3"/>
    <w:basedOn w:val="1"/>
    <w:qFormat/>
    <w:uiPriority w:val="0"/>
    <w:rPr>
      <w:rFonts w:eastAsia="方正楷体简体"/>
      <w:sz w:val="24"/>
    </w:rPr>
  </w:style>
  <w:style w:type="paragraph" w:styleId="8">
    <w:name w:val="Body Text"/>
    <w:basedOn w:val="1"/>
    <w:qFormat/>
    <w:uiPriority w:val="0"/>
    <w:rPr>
      <w:sz w:val="28"/>
    </w:rPr>
  </w:style>
  <w:style w:type="paragraph" w:styleId="9">
    <w:name w:val="Body Text Indent"/>
    <w:basedOn w:val="1"/>
    <w:qFormat/>
    <w:uiPriority w:val="0"/>
    <w:pPr>
      <w:ind w:firstLine="645"/>
    </w:pPr>
    <w:rPr>
      <w:rFonts w:ascii="仿宋_GB2312" w:eastAsia="仿宋_GB2312"/>
      <w:sz w:val="32"/>
    </w:rPr>
  </w:style>
  <w:style w:type="paragraph" w:styleId="10">
    <w:name w:val="Plain Text"/>
    <w:basedOn w:val="1"/>
    <w:link w:val="35"/>
    <w:qFormat/>
    <w:uiPriority w:val="0"/>
    <w:rPr>
      <w:rFonts w:ascii="宋体" w:hAnsi="Courier New"/>
    </w:rPr>
  </w:style>
  <w:style w:type="paragraph" w:styleId="11">
    <w:name w:val="Date"/>
    <w:basedOn w:val="1"/>
    <w:next w:val="1"/>
    <w:qFormat/>
    <w:uiPriority w:val="0"/>
    <w:rPr>
      <w:sz w:val="28"/>
    </w:rPr>
  </w:style>
  <w:style w:type="paragraph" w:styleId="12">
    <w:name w:val="Body Text Indent 2"/>
    <w:basedOn w:val="1"/>
    <w:qFormat/>
    <w:uiPriority w:val="0"/>
    <w:pPr>
      <w:spacing w:line="600" w:lineRule="exact"/>
      <w:ind w:firstLine="646"/>
    </w:pPr>
    <w:rPr>
      <w:rFonts w:ascii="仿宋_GB2312" w:eastAsia="仿宋_GB2312"/>
      <w:sz w:val="32"/>
    </w:rPr>
  </w:style>
  <w:style w:type="paragraph" w:styleId="13">
    <w:name w:val="Balloon Text"/>
    <w:basedOn w:val="1"/>
    <w:link w:val="36"/>
    <w:semiHidden/>
    <w:qFormat/>
    <w:uiPriority w:val="99"/>
    <w:rPr>
      <w:sz w:val="18"/>
      <w:szCs w:val="18"/>
    </w:rPr>
  </w:style>
  <w:style w:type="paragraph" w:styleId="14">
    <w:name w:val="footer"/>
    <w:basedOn w:val="1"/>
    <w:link w:val="33"/>
    <w:qFormat/>
    <w:uiPriority w:val="99"/>
    <w:pPr>
      <w:tabs>
        <w:tab w:val="center" w:pos="4153"/>
        <w:tab w:val="right" w:pos="8306"/>
      </w:tabs>
      <w:snapToGrid w:val="0"/>
      <w:jc w:val="left"/>
    </w:pPr>
    <w:rPr>
      <w:sz w:val="18"/>
    </w:rPr>
  </w:style>
  <w:style w:type="paragraph" w:styleId="15">
    <w:name w:val="header"/>
    <w:basedOn w:val="1"/>
    <w:link w:val="34"/>
    <w:qFormat/>
    <w:uiPriority w:val="99"/>
    <w:pPr>
      <w:pBdr>
        <w:bottom w:val="single" w:color="auto" w:sz="6" w:space="1"/>
      </w:pBdr>
      <w:tabs>
        <w:tab w:val="center" w:pos="4153"/>
        <w:tab w:val="right" w:pos="8306"/>
      </w:tabs>
      <w:snapToGrid w:val="0"/>
      <w:jc w:val="center"/>
    </w:pPr>
    <w:rPr>
      <w:sz w:val="18"/>
    </w:rPr>
  </w:style>
  <w:style w:type="paragraph" w:styleId="16">
    <w:name w:val="toc 1"/>
    <w:basedOn w:val="1"/>
    <w:next w:val="1"/>
    <w:unhideWhenUsed/>
    <w:qFormat/>
    <w:uiPriority w:val="39"/>
  </w:style>
  <w:style w:type="paragraph" w:styleId="17">
    <w:name w:val="footnote text"/>
    <w:basedOn w:val="1"/>
    <w:link w:val="41"/>
    <w:unhideWhenUsed/>
    <w:qFormat/>
    <w:uiPriority w:val="99"/>
    <w:pPr>
      <w:snapToGrid w:val="0"/>
      <w:jc w:val="left"/>
    </w:pPr>
    <w:rPr>
      <w:rFonts w:ascii="Calibri" w:hAnsi="Calibri"/>
      <w:sz w:val="18"/>
      <w:szCs w:val="18"/>
    </w:rPr>
  </w:style>
  <w:style w:type="paragraph" w:styleId="18">
    <w:name w:val="Body Text Indent 3"/>
    <w:basedOn w:val="1"/>
    <w:qFormat/>
    <w:uiPriority w:val="0"/>
    <w:pPr>
      <w:spacing w:line="560" w:lineRule="exact"/>
      <w:ind w:firstLine="644"/>
    </w:pPr>
    <w:rPr>
      <w:rFonts w:ascii="方正仿宋简体" w:eastAsia="方正仿宋简体"/>
      <w:sz w:val="30"/>
    </w:rPr>
  </w:style>
  <w:style w:type="paragraph" w:styleId="19">
    <w:name w:val="toc 2"/>
    <w:basedOn w:val="1"/>
    <w:next w:val="1"/>
    <w:unhideWhenUsed/>
    <w:qFormat/>
    <w:uiPriority w:val="39"/>
    <w:pPr>
      <w:ind w:left="420" w:leftChars="200"/>
    </w:pPr>
  </w:style>
  <w:style w:type="paragraph" w:styleId="20">
    <w:name w:val="Body Text 2"/>
    <w:basedOn w:val="1"/>
    <w:qFormat/>
    <w:uiPriority w:val="0"/>
    <w:pPr>
      <w:spacing w:before="60" w:line="560" w:lineRule="exact"/>
      <w:jc w:val="center"/>
    </w:pPr>
    <w:rPr>
      <w:rFonts w:eastAsia="方正小标宋简体"/>
      <w:sz w:val="44"/>
    </w:r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49"/>
    <w:qFormat/>
    <w:uiPriority w:val="0"/>
    <w:pPr>
      <w:spacing w:before="240" w:after="60"/>
      <w:jc w:val="center"/>
      <w:outlineLvl w:val="0"/>
    </w:pPr>
    <w:rPr>
      <w:rFonts w:eastAsia="黑体" w:asciiTheme="majorHAnsi" w:hAnsiTheme="majorHAnsi" w:cstheme="majorBidi"/>
      <w:bCs/>
      <w:sz w:val="32"/>
      <w:szCs w:val="32"/>
    </w:rPr>
  </w:style>
  <w:style w:type="paragraph" w:styleId="23">
    <w:name w:val="annotation subject"/>
    <w:basedOn w:val="6"/>
    <w:next w:val="6"/>
    <w:link w:val="40"/>
    <w:unhideWhenUsed/>
    <w:qFormat/>
    <w:uiPriority w:val="99"/>
    <w:rPr>
      <w:b/>
      <w:bCs/>
    </w:rPr>
  </w:style>
  <w:style w:type="table" w:styleId="25">
    <w:name w:val="Table Grid"/>
    <w:basedOn w:val="24"/>
    <w:qFormat/>
    <w:uiPriority w:val="59"/>
    <w:rPr>
      <w:rFonts w:ascii="Calibri" w:hAnsi="Calibr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Hyperlink"/>
    <w:qFormat/>
    <w:uiPriority w:val="99"/>
    <w:rPr>
      <w:color w:val="0000FF"/>
      <w:u w:val="single"/>
    </w:rPr>
  </w:style>
  <w:style w:type="character" w:styleId="29">
    <w:name w:val="annotation reference"/>
    <w:unhideWhenUsed/>
    <w:qFormat/>
    <w:uiPriority w:val="99"/>
    <w:rPr>
      <w:sz w:val="21"/>
      <w:szCs w:val="21"/>
    </w:rPr>
  </w:style>
  <w:style w:type="character" w:styleId="30">
    <w:name w:val="footnote reference"/>
    <w:unhideWhenUsed/>
    <w:qFormat/>
    <w:uiPriority w:val="99"/>
    <w:rPr>
      <w:vertAlign w:val="superscript"/>
    </w:rPr>
  </w:style>
  <w:style w:type="character" w:customStyle="1" w:styleId="31">
    <w:name w:val="标题 1 Char"/>
    <w:link w:val="2"/>
    <w:qFormat/>
    <w:uiPriority w:val="9"/>
    <w:rPr>
      <w:b/>
      <w:bCs/>
      <w:kern w:val="44"/>
      <w:sz w:val="44"/>
      <w:szCs w:val="44"/>
    </w:rPr>
  </w:style>
  <w:style w:type="character" w:customStyle="1" w:styleId="32">
    <w:name w:val="标题 3 Char"/>
    <w:link w:val="5"/>
    <w:qFormat/>
    <w:uiPriority w:val="0"/>
    <w:rPr>
      <w:b/>
      <w:bCs/>
      <w:kern w:val="2"/>
      <w:sz w:val="32"/>
      <w:szCs w:val="32"/>
    </w:rPr>
  </w:style>
  <w:style w:type="character" w:customStyle="1" w:styleId="33">
    <w:name w:val="页脚 Char"/>
    <w:link w:val="14"/>
    <w:qFormat/>
    <w:uiPriority w:val="99"/>
    <w:rPr>
      <w:kern w:val="2"/>
      <w:sz w:val="18"/>
    </w:rPr>
  </w:style>
  <w:style w:type="character" w:customStyle="1" w:styleId="34">
    <w:name w:val="页眉 Char"/>
    <w:link w:val="15"/>
    <w:qFormat/>
    <w:uiPriority w:val="99"/>
    <w:rPr>
      <w:kern w:val="2"/>
      <w:sz w:val="18"/>
    </w:rPr>
  </w:style>
  <w:style w:type="character" w:customStyle="1" w:styleId="35">
    <w:name w:val="纯文本 Char"/>
    <w:link w:val="10"/>
    <w:qFormat/>
    <w:uiPriority w:val="0"/>
    <w:rPr>
      <w:rFonts w:ascii="宋体" w:hAnsi="Courier New"/>
      <w:kern w:val="2"/>
      <w:sz w:val="21"/>
    </w:rPr>
  </w:style>
  <w:style w:type="character" w:customStyle="1" w:styleId="36">
    <w:name w:val="批注框文本 Char"/>
    <w:link w:val="13"/>
    <w:semiHidden/>
    <w:qFormat/>
    <w:uiPriority w:val="99"/>
    <w:rPr>
      <w:kern w:val="2"/>
      <w:sz w:val="18"/>
      <w:szCs w:val="18"/>
    </w:r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8">
    <w:name w:val="修订1"/>
    <w:hidden/>
    <w:qFormat/>
    <w:uiPriority w:val="99"/>
    <w:rPr>
      <w:rFonts w:ascii="Times New Roman" w:hAnsi="Times New Roman" w:eastAsia="宋体" w:cs="Times New Roman"/>
      <w:kern w:val="2"/>
      <w:sz w:val="21"/>
      <w:lang w:val="en-US" w:eastAsia="zh-CN" w:bidi="ar-SA"/>
    </w:rPr>
  </w:style>
  <w:style w:type="character" w:customStyle="1" w:styleId="39">
    <w:name w:val="批注文字 Char"/>
    <w:link w:val="6"/>
    <w:qFormat/>
    <w:uiPriority w:val="0"/>
    <w:rPr>
      <w:kern w:val="2"/>
      <w:sz w:val="21"/>
    </w:rPr>
  </w:style>
  <w:style w:type="character" w:customStyle="1" w:styleId="40">
    <w:name w:val="批注主题 Char"/>
    <w:link w:val="23"/>
    <w:qFormat/>
    <w:uiPriority w:val="99"/>
    <w:rPr>
      <w:b/>
      <w:bCs/>
      <w:kern w:val="2"/>
      <w:sz w:val="21"/>
    </w:rPr>
  </w:style>
  <w:style w:type="character" w:customStyle="1" w:styleId="41">
    <w:name w:val="脚注文本 Char"/>
    <w:link w:val="17"/>
    <w:qFormat/>
    <w:uiPriority w:val="99"/>
    <w:rPr>
      <w:rFonts w:ascii="Calibri" w:hAnsi="Calibri"/>
      <w:kern w:val="2"/>
      <w:sz w:val="18"/>
      <w:szCs w:val="18"/>
    </w:rPr>
  </w:style>
  <w:style w:type="paragraph" w:styleId="42">
    <w:name w:val="List Paragraph"/>
    <w:basedOn w:val="1"/>
    <w:qFormat/>
    <w:uiPriority w:val="34"/>
    <w:pPr>
      <w:ind w:firstLine="420" w:firstLineChars="200"/>
    </w:pPr>
    <w:rPr>
      <w:rFonts w:ascii="Calibri" w:hAnsi="Calibri"/>
      <w:sz w:val="24"/>
      <w:szCs w:val="24"/>
    </w:rPr>
  </w:style>
  <w:style w:type="paragraph" w:customStyle="1" w:styleId="43">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4">
    <w:name w:val="15"/>
    <w:basedOn w:val="26"/>
    <w:qFormat/>
    <w:uiPriority w:val="0"/>
    <w:rPr>
      <w:rFonts w:hint="eastAsia" w:ascii="宋体" w:hAnsi="宋体" w:eastAsia="宋体"/>
      <w:color w:val="000000"/>
      <w:sz w:val="30"/>
      <w:szCs w:val="30"/>
    </w:rPr>
  </w:style>
  <w:style w:type="paragraph" w:customStyle="1" w:styleId="45">
    <w:name w:val="规则一级标题"/>
    <w:basedOn w:val="1"/>
    <w:qFormat/>
    <w:uiPriority w:val="0"/>
    <w:pPr>
      <w:spacing w:line="560" w:lineRule="exact"/>
      <w:jc w:val="center"/>
    </w:pPr>
    <w:rPr>
      <w:rFonts w:ascii="黑体" w:hAnsi="黑体" w:eastAsia="黑体" w:cs="宋体"/>
      <w:b/>
      <w:bCs/>
      <w:sz w:val="30"/>
      <w:szCs w:val="30"/>
    </w:rPr>
  </w:style>
  <w:style w:type="paragraph" w:customStyle="1" w:styleId="46">
    <w:name w:val="规则二级标题"/>
    <w:basedOn w:val="1"/>
    <w:qFormat/>
    <w:uiPriority w:val="0"/>
    <w:pPr>
      <w:spacing w:line="560" w:lineRule="exact"/>
      <w:jc w:val="center"/>
    </w:pPr>
    <w:rPr>
      <w:rFonts w:ascii="仿宋_GB2312" w:hAnsi="宋体" w:eastAsia="仿宋_GB2312" w:cs="宋体"/>
      <w:b/>
      <w:bCs/>
      <w:sz w:val="30"/>
      <w:szCs w:val="30"/>
    </w:rPr>
  </w:style>
  <w:style w:type="character" w:customStyle="1" w:styleId="47">
    <w:name w:val="16"/>
    <w:basedOn w:val="26"/>
    <w:qFormat/>
    <w:uiPriority w:val="0"/>
    <w:rPr>
      <w:rFonts w:hint="eastAsia" w:ascii="宋体" w:hAnsi="宋体" w:eastAsia="宋体"/>
      <w:color w:val="000000"/>
      <w:sz w:val="30"/>
      <w:szCs w:val="30"/>
    </w:rPr>
  </w:style>
  <w:style w:type="paragraph" w:customStyle="1" w:styleId="48">
    <w:name w:val="修订2"/>
    <w:hidden/>
    <w:unhideWhenUsed/>
    <w:qFormat/>
    <w:uiPriority w:val="99"/>
    <w:rPr>
      <w:rFonts w:ascii="Times New Roman" w:hAnsi="Times New Roman" w:eastAsia="宋体" w:cs="Times New Roman"/>
      <w:kern w:val="2"/>
      <w:sz w:val="21"/>
      <w:lang w:val="en-US" w:eastAsia="zh-CN" w:bidi="ar-SA"/>
    </w:rPr>
  </w:style>
  <w:style w:type="character" w:customStyle="1" w:styleId="49">
    <w:name w:val="标题 Char"/>
    <w:basedOn w:val="26"/>
    <w:link w:val="22"/>
    <w:qFormat/>
    <w:uiPriority w:val="0"/>
    <w:rPr>
      <w:rFonts w:eastAsia="黑体" w:asciiTheme="majorHAnsi" w:hAnsiTheme="majorHAnsi" w:cstheme="majorBidi"/>
      <w:bCs/>
      <w:kern w:val="2"/>
      <w:sz w:val="32"/>
      <w:szCs w:val="32"/>
    </w:rPr>
  </w:style>
  <w:style w:type="paragraph" w:customStyle="1" w:styleId="50">
    <w:name w:val="TOC 标题2"/>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1">
    <w:name w:val="fontstyle01"/>
    <w:basedOn w:val="26"/>
    <w:qFormat/>
    <w:uiPriority w:val="0"/>
    <w:rPr>
      <w:rFonts w:hint="eastAsia" w:ascii="宋体" w:hAnsi="宋体" w:eastAsia="宋体"/>
      <w:color w:val="000000"/>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F9672-3093-4879-B1BD-2D3EB1D58877}">
  <ds:schemaRefs/>
</ds:datastoreItem>
</file>

<file path=customXml/itemProps2.xml><?xml version="1.0" encoding="utf-8"?>
<ds:datastoreItem xmlns:ds="http://schemas.openxmlformats.org/officeDocument/2006/customXml" ds:itemID="{1DC28C5A-B59F-48EF-980C-6D1BB224F458}">
  <ds:schemaRefs/>
</ds:datastoreItem>
</file>

<file path=customXml/itemProps3.xml><?xml version="1.0" encoding="utf-8"?>
<ds:datastoreItem xmlns:ds="http://schemas.openxmlformats.org/officeDocument/2006/customXml" ds:itemID="{03D91EF3-37BD-4DA5-BFB8-B640130A57F7}">
  <ds:schemaRefs/>
</ds:datastoreItem>
</file>

<file path=customXml/itemProps4.xml><?xml version="1.0" encoding="utf-8"?>
<ds:datastoreItem xmlns:ds="http://schemas.openxmlformats.org/officeDocument/2006/customXml" ds:itemID="{0AE003D0-65C6-471F-9DA5-36E724415FD7}">
  <ds:schemaRefs/>
</ds:datastoreItem>
</file>

<file path=docProps/app.xml><?xml version="1.0" encoding="utf-8"?>
<Properties xmlns="http://schemas.openxmlformats.org/officeDocument/2006/extended-properties" xmlns:vt="http://schemas.openxmlformats.org/officeDocument/2006/docPropsVTypes">
  <Template>Normal</Template>
  <Company>sse</Company>
  <Pages>1</Pages>
  <Words>1958</Words>
  <Characters>11163</Characters>
  <Lines>93</Lines>
  <Paragraphs>26</Paragraphs>
  <TotalTime>95</TotalTime>
  <ScaleCrop>false</ScaleCrop>
  <LinksUpToDate>false</LinksUpToDate>
  <CharactersWithSpaces>13095</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2022-12-08T02:04:00Z</dcterms:created>
  <dc:creator>吴果芮[grwu01.oth]</dc:creator>
  <cp:lastModifiedBy>xxfb01</cp:lastModifiedBy>
  <cp:lastPrinted>2022-11-23T08:12:00Z</cp:lastPrinted>
  <dcterms:modified xsi:type="dcterms:W3CDTF">2024-03-29T09:00:41Z</dcterms:modified>
  <cp:revision>306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主题">
    <vt:lpwstr>深证上[2012]25号-关于北京华录百纳影视股份有限公司人民币普通股股票在创业板上市的通知</vt:lpwstr>
  </property>
  <property fmtid="{D5CDD505-2E9C-101B-9397-08002B2CF9AE}" pid="3" name="SPSDescription">
    <vt:lpwstr/>
  </property>
  <property fmtid="{D5CDD505-2E9C-101B-9397-08002B2CF9AE}" pid="4" name="Owner">
    <vt:lpwstr/>
  </property>
  <property fmtid="{D5CDD505-2E9C-101B-9397-08002B2CF9AE}" pid="5" name="文档类型">
    <vt:lpwstr>业务</vt:lpwstr>
  </property>
  <property fmtid="{D5CDD505-2E9C-101B-9397-08002B2CF9AE}" pid="6" name="发文日期">
    <vt:lpwstr>2012-02-07T00:00:00Z</vt:lpwstr>
  </property>
  <property fmtid="{D5CDD505-2E9C-101B-9397-08002B2CF9AE}" pid="7" name="Status">
    <vt:lpwstr/>
  </property>
  <property fmtid="{D5CDD505-2E9C-101B-9397-08002B2CF9AE}" pid="8" name="Title">
    <vt:lpwstr/>
  </property>
  <property fmtid="{D5CDD505-2E9C-101B-9397-08002B2CF9AE}" pid="9" name="KSOProductBuildVer">
    <vt:lpwstr>2052-11.8.2.12094</vt:lpwstr>
  </property>
  <property fmtid="{D5CDD505-2E9C-101B-9397-08002B2CF9AE}" pid="10" name="ICV">
    <vt:lpwstr>7A982BD361704BD8BBF1EEAEA0497305</vt:lpwstr>
  </property>
</Properties>
</file>