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B8776" w14:textId="6E769F5F" w:rsidR="001431BD" w:rsidRDefault="000B13DB">
      <w:pPr>
        <w:spacing w:line="560" w:lineRule="exact"/>
        <w:rPr>
          <w:rFonts w:ascii="黑体" w:eastAsia="黑体" w:hAnsi="黑体"/>
          <w:color w:val="000000"/>
          <w:sz w:val="32"/>
          <w:szCs w:val="32"/>
        </w:rPr>
      </w:pPr>
      <w:r w:rsidRPr="000B13DB">
        <w:rPr>
          <w:rFonts w:ascii="黑体" w:eastAsia="黑体" w:hAnsi="黑体" w:hint="eastAsia"/>
          <w:color w:val="000000"/>
          <w:sz w:val="32"/>
          <w:szCs w:val="32"/>
        </w:rPr>
        <w:t>附件2</w:t>
      </w:r>
    </w:p>
    <w:p w14:paraId="57CCEBA2" w14:textId="77777777" w:rsidR="000B13DB" w:rsidRPr="000B13DB" w:rsidRDefault="000B13DB">
      <w:pPr>
        <w:spacing w:line="560" w:lineRule="exact"/>
        <w:rPr>
          <w:rFonts w:ascii="黑体" w:eastAsia="黑体" w:hAnsi="黑体"/>
          <w:color w:val="000000"/>
          <w:sz w:val="32"/>
          <w:szCs w:val="32"/>
        </w:rPr>
      </w:pPr>
    </w:p>
    <w:p w14:paraId="7A18A78F" w14:textId="77777777" w:rsidR="001431BD" w:rsidRPr="00540B74" w:rsidRDefault="001431BD">
      <w:pPr>
        <w:spacing w:line="560" w:lineRule="exact"/>
        <w:jc w:val="center"/>
        <w:outlineLvl w:val="0"/>
        <w:rPr>
          <w:rFonts w:ascii="黑体" w:eastAsia="黑体" w:hAnsi="黑体"/>
          <w:b/>
          <w:color w:val="000000"/>
          <w:sz w:val="44"/>
          <w:szCs w:val="44"/>
        </w:rPr>
      </w:pPr>
      <w:r w:rsidRPr="00540B74">
        <w:rPr>
          <w:rFonts w:ascii="黑体" w:eastAsia="黑体" w:hAnsi="黑体" w:hint="eastAsia"/>
          <w:b/>
          <w:color w:val="000000"/>
          <w:sz w:val="44"/>
          <w:szCs w:val="44"/>
        </w:rPr>
        <w:t>《上海证券交易所上市公司自律监管指引第1号——规范运作（2023年</w:t>
      </w:r>
      <w:r w:rsidR="00462FC5">
        <w:rPr>
          <w:rFonts w:ascii="黑体" w:eastAsia="黑体" w:hAnsi="黑体" w:hint="eastAsia"/>
          <w:b/>
          <w:color w:val="000000"/>
          <w:sz w:val="44"/>
          <w:szCs w:val="44"/>
        </w:rPr>
        <w:t>8</w:t>
      </w:r>
      <w:r w:rsidRPr="00540B74">
        <w:rPr>
          <w:rFonts w:ascii="黑体" w:eastAsia="黑体" w:hAnsi="黑体" w:hint="eastAsia"/>
          <w:b/>
          <w:color w:val="000000"/>
          <w:sz w:val="44"/>
          <w:szCs w:val="44"/>
        </w:rPr>
        <w:t>月修订）》修订说明</w:t>
      </w:r>
    </w:p>
    <w:p w14:paraId="1EE11628" w14:textId="77777777" w:rsidR="001431BD" w:rsidRPr="00540B74" w:rsidRDefault="001431BD">
      <w:pPr>
        <w:spacing w:line="560" w:lineRule="exact"/>
        <w:ind w:firstLineChars="200" w:firstLine="600"/>
        <w:rPr>
          <w:rFonts w:ascii="楷体_GB2312" w:eastAsia="楷体_GB2312"/>
          <w:color w:val="000000"/>
          <w:sz w:val="30"/>
          <w:szCs w:val="30"/>
        </w:rPr>
      </w:pPr>
    </w:p>
    <w:p w14:paraId="3C1BC417" w14:textId="77777777" w:rsidR="001431BD" w:rsidRPr="000B13DB" w:rsidRDefault="001431BD">
      <w:pPr>
        <w:spacing w:line="560" w:lineRule="exact"/>
        <w:ind w:firstLineChars="200" w:firstLine="640"/>
        <w:rPr>
          <w:rFonts w:ascii="仿宋_GB2312" w:eastAsia="仿宋_GB2312"/>
          <w:color w:val="000000"/>
          <w:sz w:val="32"/>
          <w:szCs w:val="32"/>
        </w:rPr>
      </w:pPr>
      <w:bookmarkStart w:id="0" w:name="_GoBack"/>
      <w:r w:rsidRPr="000B13DB">
        <w:rPr>
          <w:rFonts w:ascii="仿宋_GB2312" w:eastAsia="仿宋_GB2312" w:hint="eastAsia"/>
          <w:color w:val="000000"/>
          <w:sz w:val="32"/>
          <w:szCs w:val="32"/>
        </w:rPr>
        <w:t>为了深入落实《关于上市公司独立董事制度改革的意见》（以下简称《指导意见》）《上市公司独立董事管理办法》（以下简称《管理办法》）精神，</w:t>
      </w:r>
      <w:r w:rsidR="00B93FAC" w:rsidRPr="000B13DB">
        <w:rPr>
          <w:rFonts w:ascii="仿宋_GB2312" w:eastAsia="仿宋_GB2312" w:hint="eastAsia"/>
          <w:color w:val="000000"/>
          <w:sz w:val="32"/>
          <w:szCs w:val="32"/>
        </w:rPr>
        <w:t>推动形成更加科学的独立董事制度体系，</w:t>
      </w:r>
      <w:r w:rsidRPr="000B13DB">
        <w:rPr>
          <w:rFonts w:ascii="仿宋_GB2312" w:eastAsia="仿宋_GB2312" w:hint="eastAsia"/>
          <w:color w:val="000000"/>
          <w:sz w:val="32"/>
          <w:szCs w:val="32"/>
        </w:rPr>
        <w:t>提高上市公司质量，上海证券交易所（以下简称本所）起草了《上海证券交易所上市公司自律监管指引第1号——规范运作（2023年</w:t>
      </w:r>
      <w:r w:rsidR="00462FC5" w:rsidRPr="000B13DB">
        <w:rPr>
          <w:rFonts w:ascii="仿宋_GB2312" w:eastAsia="仿宋_GB2312" w:hint="eastAsia"/>
          <w:color w:val="000000"/>
          <w:sz w:val="32"/>
          <w:szCs w:val="32"/>
        </w:rPr>
        <w:t>8</w:t>
      </w:r>
      <w:r w:rsidRPr="000B13DB">
        <w:rPr>
          <w:rFonts w:ascii="仿宋_GB2312" w:eastAsia="仿宋_GB2312" w:hint="eastAsia"/>
          <w:color w:val="000000"/>
          <w:sz w:val="32"/>
          <w:szCs w:val="32"/>
        </w:rPr>
        <w:t>月修订）》（以下简称《规范运作指引》），现将有关情况说明如下。</w:t>
      </w:r>
    </w:p>
    <w:p w14:paraId="103E6BBE" w14:textId="77777777" w:rsidR="001431BD" w:rsidRPr="000B13DB" w:rsidRDefault="001431BD">
      <w:pPr>
        <w:spacing w:line="560" w:lineRule="exact"/>
        <w:ind w:firstLineChars="200" w:firstLine="640"/>
        <w:outlineLvl w:val="0"/>
        <w:rPr>
          <w:rFonts w:ascii="黑体" w:eastAsia="黑体" w:hAnsi="黑体"/>
          <w:color w:val="000000"/>
          <w:sz w:val="32"/>
          <w:szCs w:val="32"/>
        </w:rPr>
      </w:pPr>
      <w:r w:rsidRPr="000B13DB">
        <w:rPr>
          <w:rFonts w:ascii="黑体" w:eastAsia="黑体" w:hAnsi="黑体" w:hint="eastAsia"/>
          <w:color w:val="000000"/>
          <w:sz w:val="32"/>
          <w:szCs w:val="32"/>
        </w:rPr>
        <w:t>一、修订思路</w:t>
      </w:r>
    </w:p>
    <w:p w14:paraId="45B81324" w14:textId="77777777" w:rsidR="001431BD" w:rsidRPr="000B13DB" w:rsidRDefault="001431BD">
      <w:pPr>
        <w:spacing w:line="560" w:lineRule="exact"/>
        <w:ind w:firstLineChars="200" w:firstLine="640"/>
        <w:rPr>
          <w:rFonts w:ascii="仿宋_GB2312" w:eastAsia="仿宋_GB2312"/>
          <w:color w:val="000000"/>
          <w:sz w:val="32"/>
          <w:szCs w:val="32"/>
        </w:rPr>
      </w:pPr>
      <w:r w:rsidRPr="000B13DB">
        <w:rPr>
          <w:rFonts w:ascii="仿宋_GB2312" w:eastAsia="仿宋_GB2312" w:hint="eastAsia"/>
          <w:color w:val="000000"/>
          <w:sz w:val="32"/>
          <w:szCs w:val="32"/>
        </w:rPr>
        <w:t>本次《指导意见》从职责定位、履职方式、任职管理、选任制度、履职保障、履职监督、责任约束、内外部监督等八方面，提出了上市公司独立董事制度运行全流程的改革要求，以促进公司规范运作、保护中小投资者合法权益、维护资本市场健康稳定发展。《管理办法》首次从证监会部门规章层面，从独立董事定义定位、任职资格与任免、职责与履职方式、履职保障、监督管理与法律责任等方面，建立了落实《指导意见》的基本制度体系。</w:t>
      </w:r>
    </w:p>
    <w:p w14:paraId="41C331FB" w14:textId="77777777" w:rsidR="001431BD" w:rsidRPr="000B13DB" w:rsidRDefault="001431BD">
      <w:pPr>
        <w:spacing w:line="560" w:lineRule="exact"/>
        <w:ind w:firstLineChars="200" w:firstLine="640"/>
        <w:rPr>
          <w:rFonts w:ascii="仿宋_GB2312" w:eastAsia="仿宋_GB2312"/>
          <w:color w:val="000000"/>
          <w:sz w:val="32"/>
          <w:szCs w:val="32"/>
        </w:rPr>
      </w:pPr>
      <w:r w:rsidRPr="000B13DB">
        <w:rPr>
          <w:rFonts w:ascii="仿宋_GB2312" w:eastAsia="仿宋_GB2312" w:hint="eastAsia"/>
          <w:color w:val="000000"/>
          <w:sz w:val="32"/>
          <w:szCs w:val="32"/>
        </w:rPr>
        <w:t>《股票上市规则》作为交易所履行信息披露自律监管的基础性规则，对《指导意见》的关键性改革要求以及《管理</w:t>
      </w:r>
      <w:r w:rsidRPr="000B13DB">
        <w:rPr>
          <w:rFonts w:ascii="仿宋_GB2312" w:eastAsia="仿宋_GB2312" w:hint="eastAsia"/>
          <w:color w:val="000000"/>
          <w:sz w:val="32"/>
          <w:szCs w:val="32"/>
        </w:rPr>
        <w:lastRenderedPageBreak/>
        <w:t>办法》的重大制度安排，进行了回应落实，以体现改革的系统性、集成性。《规范运作指引》作为下位操作性规定，需要对上位规则中独立董事的规定进行了细化，重点从职责定位、任职履职、机制保障、监督管理等方面，完善独立董事的任职管理及行为规范相关规定，确保独立董事制度改革切实落地。</w:t>
      </w:r>
    </w:p>
    <w:p w14:paraId="78614538" w14:textId="77777777" w:rsidR="001431BD" w:rsidRPr="000B13DB" w:rsidRDefault="001431BD">
      <w:pPr>
        <w:spacing w:line="560" w:lineRule="exact"/>
        <w:ind w:firstLineChars="200" w:firstLine="640"/>
        <w:outlineLvl w:val="0"/>
        <w:rPr>
          <w:rFonts w:ascii="黑体" w:eastAsia="黑体" w:hAnsi="黑体"/>
          <w:color w:val="000000"/>
          <w:sz w:val="32"/>
          <w:szCs w:val="32"/>
        </w:rPr>
      </w:pPr>
      <w:r w:rsidRPr="000B13DB">
        <w:rPr>
          <w:rFonts w:ascii="黑体" w:eastAsia="黑体" w:hAnsi="黑体" w:hint="eastAsia"/>
          <w:color w:val="000000"/>
          <w:sz w:val="32"/>
          <w:szCs w:val="32"/>
        </w:rPr>
        <w:t>二、主要修订内容</w:t>
      </w:r>
    </w:p>
    <w:p w14:paraId="46A969C8" w14:textId="77777777" w:rsidR="001431BD" w:rsidRPr="000B13DB" w:rsidRDefault="001431BD">
      <w:pPr>
        <w:spacing w:line="560" w:lineRule="exact"/>
        <w:ind w:firstLineChars="200" w:firstLine="643"/>
        <w:rPr>
          <w:rFonts w:ascii="仿宋_GB2312" w:eastAsia="仿宋_GB2312"/>
          <w:color w:val="000000"/>
          <w:sz w:val="32"/>
          <w:szCs w:val="32"/>
        </w:rPr>
      </w:pPr>
      <w:r w:rsidRPr="000B13DB">
        <w:rPr>
          <w:rFonts w:ascii="仿宋_GB2312" w:eastAsia="仿宋_GB2312" w:hint="eastAsia"/>
          <w:b/>
          <w:color w:val="000000"/>
          <w:sz w:val="32"/>
          <w:szCs w:val="32"/>
        </w:rPr>
        <w:t>一是多维度保障独立董事独立性。其一，</w:t>
      </w:r>
      <w:r w:rsidRPr="000B13DB">
        <w:rPr>
          <w:rFonts w:ascii="仿宋_GB2312" w:eastAsia="仿宋_GB2312" w:hint="eastAsia"/>
          <w:color w:val="000000"/>
          <w:sz w:val="32"/>
          <w:szCs w:val="32"/>
        </w:rPr>
        <w:t>强化选任的独立性。从提名人角度，强调不得提名与其存在利害关系或者其他可能影响独立履职情形的关系密切人员，并要求就符合相关规定做出承诺（第3.5.8条）。</w:t>
      </w:r>
      <w:r w:rsidRPr="000B13DB">
        <w:rPr>
          <w:rFonts w:ascii="仿宋_GB2312" w:eastAsia="仿宋_GB2312" w:hint="eastAsia"/>
          <w:b/>
          <w:bCs/>
          <w:color w:val="000000"/>
          <w:sz w:val="32"/>
          <w:szCs w:val="32"/>
        </w:rPr>
        <w:t>其二，</w:t>
      </w:r>
      <w:r w:rsidRPr="000B13DB">
        <w:rPr>
          <w:rFonts w:ascii="仿宋_GB2312" w:eastAsia="仿宋_GB2312" w:hint="eastAsia"/>
          <w:color w:val="000000"/>
          <w:sz w:val="32"/>
          <w:szCs w:val="32"/>
        </w:rPr>
        <w:t>完善独立性的认定标准。新增独立董事候选人不得</w:t>
      </w:r>
      <w:r w:rsidRPr="000B13DB">
        <w:rPr>
          <w:rFonts w:ascii="仿宋_GB2312" w:eastAsia="仿宋_GB2312" w:hAnsi="Times New Roman" w:hint="eastAsia"/>
          <w:color w:val="000000"/>
          <w:kern w:val="0"/>
          <w:sz w:val="32"/>
          <w:szCs w:val="32"/>
        </w:rPr>
        <w:t>为上市公司及其控股股东或者其各自的附属企业提供保荐服务作为独立性要求，将上市公司或其附属企业任职人员的“主要社会关系”扩展</w:t>
      </w:r>
      <w:r w:rsidR="00EF73B2" w:rsidRPr="000B13DB">
        <w:rPr>
          <w:rFonts w:ascii="仿宋_GB2312" w:eastAsia="仿宋_GB2312" w:hAnsi="Times New Roman" w:hint="eastAsia"/>
          <w:color w:val="000000"/>
          <w:kern w:val="0"/>
          <w:sz w:val="32"/>
          <w:szCs w:val="32"/>
        </w:rPr>
        <w:t>新增</w:t>
      </w:r>
      <w:r w:rsidRPr="000B13DB">
        <w:rPr>
          <w:rFonts w:ascii="仿宋_GB2312" w:eastAsia="仿宋_GB2312" w:hAnsi="Times New Roman" w:hint="eastAsia"/>
          <w:color w:val="000000"/>
          <w:kern w:val="0"/>
          <w:sz w:val="32"/>
          <w:szCs w:val="32"/>
        </w:rPr>
        <w:t>“子女配偶的父母”。同时，要求独立董事每年对独立性情况自查，要求董事会每年相应进行评估并出具专项意见（</w:t>
      </w:r>
      <w:r w:rsidRPr="000B13DB">
        <w:rPr>
          <w:rFonts w:ascii="仿宋_GB2312" w:eastAsia="仿宋_GB2312" w:hint="eastAsia"/>
          <w:color w:val="000000"/>
          <w:sz w:val="32"/>
          <w:szCs w:val="32"/>
        </w:rPr>
        <w:t>第3.5.4条</w:t>
      </w:r>
      <w:r w:rsidRPr="000B13DB">
        <w:rPr>
          <w:rFonts w:ascii="仿宋_GB2312" w:eastAsia="仿宋_GB2312" w:hAnsi="Times New Roman" w:hint="eastAsia"/>
          <w:color w:val="000000"/>
          <w:kern w:val="0"/>
          <w:sz w:val="32"/>
          <w:szCs w:val="32"/>
        </w:rPr>
        <w:t>）。</w:t>
      </w:r>
      <w:r w:rsidRPr="000B13DB">
        <w:rPr>
          <w:rFonts w:ascii="仿宋_GB2312" w:eastAsia="仿宋_GB2312" w:hint="eastAsia"/>
          <w:b/>
          <w:color w:val="000000"/>
          <w:sz w:val="32"/>
          <w:szCs w:val="32"/>
        </w:rPr>
        <w:t>其三，</w:t>
      </w:r>
      <w:r w:rsidRPr="000B13DB">
        <w:rPr>
          <w:rFonts w:ascii="仿宋_GB2312" w:eastAsia="仿宋_GB2312" w:hint="eastAsia"/>
          <w:color w:val="000000"/>
          <w:sz w:val="32"/>
          <w:szCs w:val="32"/>
        </w:rPr>
        <w:t>保障履职独立性。要求独立董事履职</w:t>
      </w:r>
      <w:r w:rsidRPr="000B13DB">
        <w:rPr>
          <w:rFonts w:ascii="仿宋_GB2312" w:eastAsia="仿宋_GB2312" w:hAnsi="宋体" w:hint="eastAsia"/>
          <w:color w:val="000000"/>
          <w:sz w:val="32"/>
          <w:szCs w:val="32"/>
        </w:rPr>
        <w:t>不受上市公司及其主要股东、实际控制人等单位或者个人的影响</w:t>
      </w:r>
      <w:r w:rsidRPr="000B13DB">
        <w:rPr>
          <w:rFonts w:ascii="仿宋_GB2312" w:eastAsia="仿宋_GB2312" w:hint="eastAsia"/>
          <w:color w:val="000000"/>
          <w:sz w:val="32"/>
          <w:szCs w:val="32"/>
        </w:rPr>
        <w:t>（第3.5.15条）。</w:t>
      </w:r>
    </w:p>
    <w:p w14:paraId="6C4C01FC" w14:textId="77777777" w:rsidR="001431BD" w:rsidRPr="000B13DB" w:rsidRDefault="001431BD">
      <w:pPr>
        <w:spacing w:line="560" w:lineRule="exact"/>
        <w:ind w:firstLineChars="200" w:firstLine="643"/>
        <w:rPr>
          <w:rFonts w:ascii="仿宋_GB2312" w:eastAsia="仿宋_GB2312"/>
          <w:b/>
          <w:color w:val="000000"/>
          <w:sz w:val="32"/>
          <w:szCs w:val="32"/>
        </w:rPr>
      </w:pPr>
      <w:r w:rsidRPr="000B13DB">
        <w:rPr>
          <w:rFonts w:ascii="仿宋_GB2312" w:eastAsia="仿宋_GB2312" w:hint="eastAsia"/>
          <w:b/>
          <w:color w:val="000000"/>
          <w:sz w:val="32"/>
          <w:szCs w:val="32"/>
        </w:rPr>
        <w:t>二是精准明确独立董事履职范围。其一，</w:t>
      </w:r>
      <w:r w:rsidRPr="000B13DB">
        <w:rPr>
          <w:rFonts w:ascii="仿宋_GB2312" w:eastAsia="仿宋_GB2312" w:hint="eastAsia"/>
          <w:color w:val="000000"/>
          <w:sz w:val="32"/>
          <w:szCs w:val="32"/>
        </w:rPr>
        <w:t>按照“有加有减”的原则，突出独立董事在重大事项的审议职责。对照独立董事参与决策、监督制衡、专业咨询的功能，细化职责要求，明确独立董事可以行使特别职权（第3.5.15条、第3.5.17条）。从披露维度，落实独立董事对董事会议案投反对票或</w:t>
      </w:r>
      <w:r w:rsidRPr="000B13DB">
        <w:rPr>
          <w:rFonts w:ascii="仿宋_GB2312" w:eastAsia="仿宋_GB2312" w:hint="eastAsia"/>
          <w:color w:val="000000"/>
          <w:sz w:val="32"/>
          <w:szCs w:val="32"/>
        </w:rPr>
        <w:lastRenderedPageBreak/>
        <w:t>弃权票时的说明要求（第3.5.20条）、对董事会决议执行情况的持续跟踪要求（第3.5.21条）。其二，删除了对一般事项的审议职责。财务资助、募集资金使用事项、制定现金分红政策及方案、高送转方案、员工持股计划草案等不再强制要求独立董事发表意见。</w:t>
      </w:r>
    </w:p>
    <w:p w14:paraId="3AF502B4" w14:textId="77777777" w:rsidR="001431BD" w:rsidRPr="000B13DB" w:rsidRDefault="001431BD">
      <w:pPr>
        <w:spacing w:line="560" w:lineRule="exact"/>
        <w:ind w:firstLineChars="200" w:firstLine="643"/>
        <w:rPr>
          <w:rFonts w:ascii="仿宋_GB2312" w:eastAsia="仿宋_GB2312"/>
          <w:color w:val="000000"/>
          <w:sz w:val="32"/>
          <w:szCs w:val="32"/>
        </w:rPr>
      </w:pPr>
      <w:r w:rsidRPr="000B13DB">
        <w:rPr>
          <w:rFonts w:ascii="仿宋_GB2312" w:eastAsia="仿宋_GB2312" w:hint="eastAsia"/>
          <w:b/>
          <w:color w:val="000000"/>
          <w:sz w:val="32"/>
          <w:szCs w:val="32"/>
        </w:rPr>
        <w:t>三是优化独立董事履职方式。其一，</w:t>
      </w:r>
      <w:r w:rsidRPr="000B13DB">
        <w:rPr>
          <w:rFonts w:ascii="仿宋_GB2312" w:eastAsia="仿宋_GB2312" w:hint="eastAsia"/>
          <w:color w:val="000000"/>
          <w:sz w:val="32"/>
          <w:szCs w:val="32"/>
        </w:rPr>
        <w:t>更加重视由个人履职向整体履职转变。要求建立独立董事专门会议机制，并对会议职责、运行、履职保障和董事会事前审议事项做出细化规定（第3.5.16条、第3.5.17条、第3.5.23条）。</w:t>
      </w:r>
      <w:r w:rsidRPr="000B13DB">
        <w:rPr>
          <w:rFonts w:ascii="仿宋_GB2312" w:eastAsia="仿宋_GB2312" w:hint="eastAsia"/>
          <w:b/>
          <w:color w:val="000000"/>
          <w:sz w:val="32"/>
          <w:szCs w:val="32"/>
        </w:rPr>
        <w:t>其二，</w:t>
      </w:r>
      <w:r w:rsidRPr="000B13DB">
        <w:rPr>
          <w:rFonts w:ascii="仿宋_GB2312" w:eastAsia="仿宋_GB2312" w:hint="eastAsia"/>
          <w:color w:val="000000"/>
          <w:sz w:val="32"/>
          <w:szCs w:val="32"/>
        </w:rPr>
        <w:t>强化专门委员会履职。列举审计委员会职责以及提名委员会、</w:t>
      </w:r>
      <w:r w:rsidRPr="000B13DB">
        <w:rPr>
          <w:rFonts w:ascii="仿宋_GB2312" w:eastAsia="仿宋_GB2312" w:hAnsi="Times New Roman"/>
          <w:color w:val="000000"/>
          <w:kern w:val="0"/>
          <w:sz w:val="32"/>
          <w:szCs w:val="32"/>
        </w:rPr>
        <w:t>薪酬与考核委员会</w:t>
      </w:r>
      <w:r w:rsidRPr="000B13DB">
        <w:rPr>
          <w:rFonts w:ascii="仿宋_GB2312" w:eastAsia="仿宋_GB2312" w:hAnsi="Times New Roman" w:hint="eastAsia"/>
          <w:color w:val="000000"/>
          <w:kern w:val="0"/>
          <w:sz w:val="32"/>
          <w:szCs w:val="32"/>
        </w:rPr>
        <w:t>的职责，分别要求就相关事项进行事前审议或提出建议（</w:t>
      </w:r>
      <w:r w:rsidRPr="000B13DB">
        <w:rPr>
          <w:rFonts w:ascii="仿宋_GB2312" w:eastAsia="仿宋_GB2312" w:hint="eastAsia"/>
          <w:color w:val="000000"/>
          <w:sz w:val="32"/>
          <w:szCs w:val="32"/>
        </w:rPr>
        <w:t>第2.2.8条、</w:t>
      </w:r>
      <w:r w:rsidRPr="000B13DB">
        <w:rPr>
          <w:rFonts w:ascii="仿宋_GB2312" w:eastAsia="仿宋_GB2312" w:hAnsi="Times New Roman" w:hint="eastAsia"/>
          <w:color w:val="000000"/>
          <w:kern w:val="0"/>
          <w:sz w:val="32"/>
          <w:szCs w:val="32"/>
        </w:rPr>
        <w:t>第2.2.13条、第2.2.14条）</w:t>
      </w:r>
      <w:r w:rsidRPr="000B13DB">
        <w:rPr>
          <w:rFonts w:ascii="仿宋_GB2312" w:eastAsia="仿宋_GB2312" w:hint="eastAsia"/>
          <w:color w:val="000000"/>
          <w:sz w:val="32"/>
          <w:szCs w:val="32"/>
        </w:rPr>
        <w:t>。对董事会专门委员会相关职责事项的建议未予采纳或者未完全采纳的披露予以规定（第2.2.12条、</w:t>
      </w:r>
      <w:r w:rsidRPr="000B13DB">
        <w:rPr>
          <w:rFonts w:ascii="仿宋_GB2312" w:eastAsia="仿宋_GB2312" w:hAnsi="Times New Roman" w:hint="eastAsia"/>
          <w:color w:val="000000"/>
          <w:kern w:val="0"/>
          <w:sz w:val="32"/>
          <w:szCs w:val="32"/>
        </w:rPr>
        <w:t>第2.2.13条、第2.2.14条</w:t>
      </w:r>
      <w:r w:rsidRPr="000B13DB">
        <w:rPr>
          <w:rFonts w:ascii="仿宋_GB2312" w:eastAsia="仿宋_GB2312" w:hint="eastAsia"/>
          <w:color w:val="000000"/>
          <w:sz w:val="32"/>
          <w:szCs w:val="32"/>
        </w:rPr>
        <w:t>）。</w:t>
      </w:r>
    </w:p>
    <w:p w14:paraId="64758B6E" w14:textId="77777777" w:rsidR="001431BD" w:rsidRPr="000B13DB" w:rsidRDefault="001431BD">
      <w:pPr>
        <w:spacing w:line="560" w:lineRule="exact"/>
        <w:ind w:firstLineChars="200" w:firstLine="643"/>
        <w:rPr>
          <w:rFonts w:ascii="仿宋_GB2312" w:eastAsia="仿宋_GB2312"/>
          <w:color w:val="000000"/>
          <w:sz w:val="32"/>
          <w:szCs w:val="32"/>
        </w:rPr>
      </w:pPr>
      <w:r w:rsidRPr="000B13DB">
        <w:rPr>
          <w:rFonts w:ascii="仿宋_GB2312" w:eastAsia="仿宋_GB2312" w:hint="eastAsia"/>
          <w:b/>
          <w:bCs/>
          <w:color w:val="000000"/>
          <w:sz w:val="32"/>
          <w:szCs w:val="32"/>
        </w:rPr>
        <w:t>四是规范独立董事离任管理。其一，</w:t>
      </w:r>
      <w:r w:rsidRPr="000B13DB">
        <w:rPr>
          <w:rFonts w:ascii="仿宋_GB2312" w:eastAsia="仿宋_GB2312" w:hint="eastAsia"/>
          <w:color w:val="000000"/>
          <w:sz w:val="32"/>
          <w:szCs w:val="32"/>
        </w:rPr>
        <w:t>明确不符合相关条件的独立董事离职要求。独立董事在任职后出现不符合独立性条件或任职资格情形的，</w:t>
      </w:r>
      <w:r w:rsidRPr="000B13DB">
        <w:rPr>
          <w:rFonts w:ascii="仿宋_GB2312" w:eastAsia="仿宋_GB2312" w:hAnsi="Times New Roman" w:hint="eastAsia"/>
          <w:color w:val="000000"/>
          <w:kern w:val="0"/>
          <w:sz w:val="32"/>
          <w:szCs w:val="32"/>
        </w:rPr>
        <w:t>应当立即停止履职并辞去职务</w:t>
      </w:r>
      <w:r w:rsidRPr="000B13DB">
        <w:rPr>
          <w:rFonts w:ascii="仿宋_GB2312" w:eastAsia="仿宋_GB2312" w:hint="eastAsia"/>
          <w:color w:val="000000"/>
          <w:sz w:val="32"/>
          <w:szCs w:val="32"/>
        </w:rPr>
        <w:t>。独立董事未按期提出辞职的，上市公司董事会知悉或者应当知悉该事实发生后应立即按规定解除其职务（第3.5.13条）。</w:t>
      </w:r>
      <w:r w:rsidRPr="000B13DB">
        <w:rPr>
          <w:rFonts w:ascii="仿宋_GB2312" w:eastAsia="仿宋_GB2312"/>
          <w:color w:val="000000"/>
          <w:sz w:val="32"/>
          <w:szCs w:val="32"/>
        </w:rPr>
        <w:t>删除公司半数以上</w:t>
      </w:r>
      <w:r w:rsidRPr="000B13DB">
        <w:rPr>
          <w:rFonts w:ascii="仿宋_GB2312" w:eastAsia="仿宋_GB2312" w:hint="eastAsia"/>
          <w:color w:val="000000"/>
          <w:sz w:val="32"/>
          <w:szCs w:val="32"/>
        </w:rPr>
        <w:t>董事、监事和高级管理人员</w:t>
      </w:r>
      <w:r w:rsidRPr="000B13DB">
        <w:rPr>
          <w:rFonts w:ascii="仿宋_GB2312" w:eastAsia="仿宋_GB2312"/>
          <w:color w:val="000000"/>
          <w:sz w:val="32"/>
          <w:szCs w:val="32"/>
        </w:rPr>
        <w:t>出现应当离职情形时</w:t>
      </w:r>
      <w:r w:rsidRPr="000B13DB">
        <w:rPr>
          <w:rFonts w:ascii="仿宋_GB2312" w:eastAsia="仿宋_GB2312" w:hint="eastAsia"/>
          <w:color w:val="000000"/>
          <w:sz w:val="32"/>
          <w:szCs w:val="32"/>
        </w:rPr>
        <w:t>，</w:t>
      </w:r>
      <w:r w:rsidRPr="000B13DB">
        <w:rPr>
          <w:rFonts w:ascii="仿宋_GB2312" w:eastAsia="仿宋_GB2312"/>
          <w:color w:val="000000"/>
          <w:sz w:val="32"/>
          <w:szCs w:val="32"/>
        </w:rPr>
        <w:t>任职期限</w:t>
      </w:r>
      <w:r w:rsidRPr="000B13DB">
        <w:rPr>
          <w:rFonts w:ascii="仿宋_GB2312" w:eastAsia="仿宋_GB2312" w:hint="eastAsia"/>
          <w:color w:val="000000"/>
          <w:sz w:val="32"/>
          <w:szCs w:val="32"/>
        </w:rPr>
        <w:t>可适当</w:t>
      </w:r>
      <w:r w:rsidRPr="000B13DB">
        <w:rPr>
          <w:rFonts w:ascii="仿宋_GB2312" w:eastAsia="仿宋_GB2312"/>
          <w:color w:val="000000"/>
          <w:sz w:val="32"/>
          <w:szCs w:val="32"/>
        </w:rPr>
        <w:t>延长</w:t>
      </w:r>
      <w:r w:rsidRPr="000B13DB">
        <w:rPr>
          <w:rFonts w:ascii="仿宋_GB2312" w:eastAsia="仿宋_GB2312" w:hint="eastAsia"/>
          <w:color w:val="000000"/>
          <w:sz w:val="32"/>
          <w:szCs w:val="32"/>
        </w:rPr>
        <w:t>不超过3个月的</w:t>
      </w:r>
      <w:r w:rsidRPr="000B13DB">
        <w:rPr>
          <w:rFonts w:ascii="仿宋_GB2312" w:eastAsia="仿宋_GB2312"/>
          <w:color w:val="000000"/>
          <w:sz w:val="32"/>
          <w:szCs w:val="32"/>
        </w:rPr>
        <w:t>规定。</w:t>
      </w:r>
      <w:r w:rsidRPr="000B13DB">
        <w:rPr>
          <w:rFonts w:ascii="仿宋_GB2312" w:eastAsia="仿宋_GB2312" w:hint="eastAsia"/>
          <w:b/>
          <w:bCs/>
          <w:color w:val="000000"/>
          <w:sz w:val="32"/>
          <w:szCs w:val="32"/>
        </w:rPr>
        <w:t>其二，</w:t>
      </w:r>
      <w:r w:rsidRPr="000B13DB">
        <w:rPr>
          <w:rFonts w:ascii="仿宋_GB2312" w:eastAsia="仿宋_GB2312"/>
          <w:color w:val="000000"/>
          <w:sz w:val="32"/>
          <w:szCs w:val="32"/>
        </w:rPr>
        <w:t>强化离任的信息披露要求。独立董事主动辞职的，应在辞职报告中对任何与其辞职有关或其认为有必要引起公司股东</w:t>
      </w:r>
      <w:r w:rsidRPr="000B13DB">
        <w:rPr>
          <w:rFonts w:ascii="仿宋_GB2312" w:eastAsia="仿宋_GB2312"/>
          <w:color w:val="000000"/>
          <w:sz w:val="32"/>
          <w:szCs w:val="32"/>
        </w:rPr>
        <w:lastRenderedPageBreak/>
        <w:t>和债权人注意的情况进行说明，上市公司应当</w:t>
      </w:r>
      <w:r w:rsidRPr="000B13DB">
        <w:rPr>
          <w:rFonts w:ascii="仿宋_GB2312" w:eastAsia="仿宋_GB2312" w:hint="eastAsia"/>
          <w:color w:val="000000"/>
          <w:sz w:val="32"/>
          <w:szCs w:val="32"/>
        </w:rPr>
        <w:t>披露</w:t>
      </w:r>
      <w:r w:rsidRPr="000B13DB">
        <w:rPr>
          <w:rFonts w:ascii="仿宋_GB2312" w:eastAsia="仿宋_GB2312"/>
          <w:color w:val="000000"/>
          <w:sz w:val="32"/>
          <w:szCs w:val="32"/>
        </w:rPr>
        <w:t>独立董事辞职的原因及关注事项（第3.5.1</w:t>
      </w:r>
      <w:r w:rsidRPr="000B13DB">
        <w:rPr>
          <w:rFonts w:ascii="仿宋_GB2312" w:eastAsia="仿宋_GB2312" w:hint="eastAsia"/>
          <w:color w:val="000000"/>
          <w:sz w:val="32"/>
          <w:szCs w:val="32"/>
        </w:rPr>
        <w:t>4</w:t>
      </w:r>
      <w:r w:rsidRPr="000B13DB">
        <w:rPr>
          <w:rFonts w:ascii="仿宋_GB2312" w:eastAsia="仿宋_GB2312"/>
          <w:color w:val="000000"/>
          <w:sz w:val="32"/>
          <w:szCs w:val="32"/>
        </w:rPr>
        <w:t>条）。</w:t>
      </w:r>
      <w:r w:rsidRPr="000B13DB">
        <w:rPr>
          <w:rFonts w:ascii="仿宋_GB2312" w:eastAsia="仿宋_GB2312" w:hint="eastAsia"/>
          <w:b/>
          <w:bCs/>
          <w:color w:val="000000"/>
          <w:sz w:val="32"/>
          <w:szCs w:val="32"/>
        </w:rPr>
        <w:t>其三，</w:t>
      </w:r>
      <w:r w:rsidRPr="000B13DB">
        <w:rPr>
          <w:rFonts w:ascii="仿宋_GB2312" w:eastAsia="仿宋_GB2312" w:hint="eastAsia"/>
          <w:color w:val="000000"/>
          <w:sz w:val="32"/>
          <w:szCs w:val="32"/>
        </w:rPr>
        <w:t>明确上市公司补选时限。</w:t>
      </w:r>
      <w:r w:rsidRPr="000B13DB">
        <w:rPr>
          <w:rFonts w:ascii="仿宋_GB2312" w:eastAsia="仿宋_GB2312" w:hAnsi="Times New Roman" w:hint="eastAsia"/>
          <w:color w:val="000000"/>
          <w:kern w:val="0"/>
          <w:sz w:val="32"/>
          <w:szCs w:val="32"/>
        </w:rPr>
        <w:t>对于独立董事辞职或被解除职务导致董事会或者专门委员会中独立董事所占的比例不符合独立董事比例要求，或者欠缺会计专业人士的，公司应当在</w:t>
      </w:r>
      <w:r w:rsidRPr="000B13DB">
        <w:rPr>
          <w:rFonts w:ascii="仿宋_GB2312" w:eastAsia="仿宋_GB2312" w:hAnsi="Times New Roman"/>
          <w:color w:val="000000"/>
          <w:kern w:val="0"/>
          <w:sz w:val="32"/>
          <w:szCs w:val="32"/>
        </w:rPr>
        <w:t>60日内完成补选</w:t>
      </w:r>
      <w:r w:rsidRPr="000B13DB">
        <w:rPr>
          <w:rFonts w:ascii="仿宋_GB2312" w:eastAsia="仿宋_GB2312" w:hAnsi="Times New Roman" w:hint="eastAsia"/>
          <w:color w:val="000000"/>
          <w:kern w:val="0"/>
          <w:sz w:val="32"/>
          <w:szCs w:val="32"/>
        </w:rPr>
        <w:t>（第3.5.13条）</w:t>
      </w:r>
      <w:r w:rsidRPr="000B13DB">
        <w:rPr>
          <w:rFonts w:ascii="仿宋_GB2312" w:eastAsia="仿宋_GB2312" w:hAnsi="Times New Roman"/>
          <w:color w:val="000000"/>
          <w:kern w:val="0"/>
          <w:sz w:val="32"/>
          <w:szCs w:val="32"/>
        </w:rPr>
        <w:t>。</w:t>
      </w:r>
    </w:p>
    <w:p w14:paraId="0C72E536" w14:textId="77777777" w:rsidR="001431BD" w:rsidRPr="000B13DB" w:rsidRDefault="001431BD">
      <w:pPr>
        <w:spacing w:line="560" w:lineRule="exact"/>
        <w:ind w:firstLineChars="200" w:firstLine="640"/>
        <w:rPr>
          <w:rFonts w:ascii="仿宋_GB2312" w:eastAsia="仿宋_GB2312"/>
          <w:color w:val="000000"/>
          <w:sz w:val="32"/>
          <w:szCs w:val="32"/>
        </w:rPr>
      </w:pPr>
      <w:r w:rsidRPr="000B13DB">
        <w:rPr>
          <w:rFonts w:ascii="仿宋_GB2312" w:eastAsia="仿宋_GB2312" w:hint="eastAsia"/>
          <w:color w:val="000000"/>
          <w:sz w:val="32"/>
          <w:szCs w:val="32"/>
        </w:rPr>
        <w:t>特此说明。</w:t>
      </w:r>
      <w:bookmarkEnd w:id="0"/>
    </w:p>
    <w:sectPr w:rsidR="001431BD" w:rsidRPr="000B13DB">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22E4" w14:textId="77777777" w:rsidR="00BD385B" w:rsidRDefault="00BD385B">
      <w:r>
        <w:separator/>
      </w:r>
    </w:p>
  </w:endnote>
  <w:endnote w:type="continuationSeparator" w:id="0">
    <w:p w14:paraId="71FC93B5" w14:textId="77777777" w:rsidR="00BD385B" w:rsidRDefault="00BD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iberation Serif">
    <w:altName w:val="宋体"/>
    <w:charset w:val="01"/>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lbany">
    <w:altName w:val="Arial Unicode MS"/>
    <w:charset w:val="01"/>
    <w:family w:val="swiss"/>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23CB" w14:textId="4376A591" w:rsidR="001431BD" w:rsidRDefault="001431BD">
    <w:pPr>
      <w:pStyle w:val="aa"/>
      <w:jc w:val="center"/>
    </w:pPr>
    <w:r>
      <w:fldChar w:fldCharType="begin"/>
    </w:r>
    <w:r>
      <w:instrText xml:space="preserve"> PAGE   \* MERGEFORMAT </w:instrText>
    </w:r>
    <w:r>
      <w:fldChar w:fldCharType="separate"/>
    </w:r>
    <w:r w:rsidR="000B13DB" w:rsidRPr="000B13DB">
      <w:rPr>
        <w:noProof/>
        <w:lang w:val="zh-CN"/>
      </w:rPr>
      <w:t>1</w:t>
    </w:r>
    <w:r>
      <w:fldChar w:fldCharType="end"/>
    </w:r>
  </w:p>
  <w:p w14:paraId="60750E6B" w14:textId="77777777" w:rsidR="001431BD" w:rsidRDefault="001431B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01FF5" w14:textId="77777777" w:rsidR="00BD385B" w:rsidRDefault="00BD385B">
      <w:r>
        <w:separator/>
      </w:r>
    </w:p>
  </w:footnote>
  <w:footnote w:type="continuationSeparator" w:id="0">
    <w:p w14:paraId="6A766A56" w14:textId="77777777" w:rsidR="00BD385B" w:rsidRDefault="00BD3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UyZGNlY2U2YzgyZTA5MjA2OWI2MTBiMDAyMmZkMzgifQ=="/>
  </w:docVars>
  <w:rsids>
    <w:rsidRoot w:val="00B368EB"/>
    <w:rsid w:val="0001677C"/>
    <w:rsid w:val="000242E6"/>
    <w:rsid w:val="000264C6"/>
    <w:rsid w:val="00047181"/>
    <w:rsid w:val="00064325"/>
    <w:rsid w:val="00084119"/>
    <w:rsid w:val="000955C8"/>
    <w:rsid w:val="000B13DB"/>
    <w:rsid w:val="000B49AE"/>
    <w:rsid w:val="000C06C7"/>
    <w:rsid w:val="000C2435"/>
    <w:rsid w:val="00123B22"/>
    <w:rsid w:val="0013459D"/>
    <w:rsid w:val="001431BD"/>
    <w:rsid w:val="0015489F"/>
    <w:rsid w:val="00160657"/>
    <w:rsid w:val="001D2866"/>
    <w:rsid w:val="001E34CF"/>
    <w:rsid w:val="001E465C"/>
    <w:rsid w:val="00263CCF"/>
    <w:rsid w:val="00267B97"/>
    <w:rsid w:val="002839C4"/>
    <w:rsid w:val="002D04CD"/>
    <w:rsid w:val="0030461C"/>
    <w:rsid w:val="00341DDC"/>
    <w:rsid w:val="00343F5A"/>
    <w:rsid w:val="00360567"/>
    <w:rsid w:val="003660E9"/>
    <w:rsid w:val="00373836"/>
    <w:rsid w:val="003B3A80"/>
    <w:rsid w:val="003F5124"/>
    <w:rsid w:val="004005AE"/>
    <w:rsid w:val="004174C2"/>
    <w:rsid w:val="00444456"/>
    <w:rsid w:val="00462FC5"/>
    <w:rsid w:val="00476ACB"/>
    <w:rsid w:val="004862E3"/>
    <w:rsid w:val="004965F1"/>
    <w:rsid w:val="004F1A60"/>
    <w:rsid w:val="004F3985"/>
    <w:rsid w:val="005051B0"/>
    <w:rsid w:val="005141AA"/>
    <w:rsid w:val="0052198A"/>
    <w:rsid w:val="00526BFD"/>
    <w:rsid w:val="00531916"/>
    <w:rsid w:val="00540B74"/>
    <w:rsid w:val="00582296"/>
    <w:rsid w:val="005A2683"/>
    <w:rsid w:val="005E657A"/>
    <w:rsid w:val="00601340"/>
    <w:rsid w:val="00621FE9"/>
    <w:rsid w:val="00630AD6"/>
    <w:rsid w:val="0065087B"/>
    <w:rsid w:val="00661715"/>
    <w:rsid w:val="006A22E9"/>
    <w:rsid w:val="006B2829"/>
    <w:rsid w:val="006D0DA2"/>
    <w:rsid w:val="00714F36"/>
    <w:rsid w:val="00743D38"/>
    <w:rsid w:val="00744BF0"/>
    <w:rsid w:val="007F5C41"/>
    <w:rsid w:val="00801A70"/>
    <w:rsid w:val="00801D30"/>
    <w:rsid w:val="00820A4D"/>
    <w:rsid w:val="00824A66"/>
    <w:rsid w:val="00836CE2"/>
    <w:rsid w:val="00896F90"/>
    <w:rsid w:val="008B0C2C"/>
    <w:rsid w:val="00913A3E"/>
    <w:rsid w:val="00921E3C"/>
    <w:rsid w:val="0099680E"/>
    <w:rsid w:val="009A350A"/>
    <w:rsid w:val="009A40A4"/>
    <w:rsid w:val="009D59D0"/>
    <w:rsid w:val="009D6D19"/>
    <w:rsid w:val="00A01222"/>
    <w:rsid w:val="00AB2697"/>
    <w:rsid w:val="00AC094C"/>
    <w:rsid w:val="00AC2BD6"/>
    <w:rsid w:val="00AF54F8"/>
    <w:rsid w:val="00AF70C7"/>
    <w:rsid w:val="00B22946"/>
    <w:rsid w:val="00B368EB"/>
    <w:rsid w:val="00B4314E"/>
    <w:rsid w:val="00B72E85"/>
    <w:rsid w:val="00B93FAC"/>
    <w:rsid w:val="00BD385B"/>
    <w:rsid w:val="00C01A61"/>
    <w:rsid w:val="00C21C64"/>
    <w:rsid w:val="00C302C0"/>
    <w:rsid w:val="00C62D0B"/>
    <w:rsid w:val="00C96C46"/>
    <w:rsid w:val="00CC555A"/>
    <w:rsid w:val="00D37B24"/>
    <w:rsid w:val="00D54F3D"/>
    <w:rsid w:val="00D602D0"/>
    <w:rsid w:val="00DA37F1"/>
    <w:rsid w:val="00DA67E1"/>
    <w:rsid w:val="00DE14E6"/>
    <w:rsid w:val="00DF1F34"/>
    <w:rsid w:val="00E25909"/>
    <w:rsid w:val="00E34887"/>
    <w:rsid w:val="00E359DB"/>
    <w:rsid w:val="00E376AF"/>
    <w:rsid w:val="00E6285A"/>
    <w:rsid w:val="00E75467"/>
    <w:rsid w:val="00E806E4"/>
    <w:rsid w:val="00EA0E50"/>
    <w:rsid w:val="00EC3B13"/>
    <w:rsid w:val="00EC4F33"/>
    <w:rsid w:val="00ED1781"/>
    <w:rsid w:val="00ED2034"/>
    <w:rsid w:val="00EF73B2"/>
    <w:rsid w:val="00F10E07"/>
    <w:rsid w:val="00F14EA3"/>
    <w:rsid w:val="00F318B8"/>
    <w:rsid w:val="00FB6BD3"/>
    <w:rsid w:val="00FC25D3"/>
    <w:rsid w:val="00FD68F3"/>
    <w:rsid w:val="00FF1536"/>
    <w:rsid w:val="0A2B63B7"/>
    <w:rsid w:val="0DAE46EF"/>
    <w:rsid w:val="16BF171B"/>
    <w:rsid w:val="28F416F8"/>
    <w:rsid w:val="318A49A8"/>
    <w:rsid w:val="33C30645"/>
    <w:rsid w:val="33CF6FEA"/>
    <w:rsid w:val="36D861B6"/>
    <w:rsid w:val="39DE7F87"/>
    <w:rsid w:val="3C4F4BDC"/>
    <w:rsid w:val="3EB225C4"/>
    <w:rsid w:val="41390199"/>
    <w:rsid w:val="42FC147E"/>
    <w:rsid w:val="457A48DC"/>
    <w:rsid w:val="51FF4AE6"/>
    <w:rsid w:val="6760172C"/>
    <w:rsid w:val="6C33740F"/>
    <w:rsid w:val="73EC5750"/>
    <w:rsid w:val="7E3239CA"/>
    <w:rsid w:val="7F7C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F18FC"/>
  <w15:chartTrackingRefBased/>
  <w15:docId w15:val="{B3BDCD89-BD7E-4ACC-AE88-D16AB517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line="600" w:lineRule="exact"/>
      <w:jc w:val="center"/>
      <w:outlineLvl w:val="0"/>
    </w:pPr>
    <w:rPr>
      <w:rFonts w:eastAsia="仿宋_GB2312"/>
      <w:b/>
      <w:bCs/>
      <w:kern w:val="44"/>
      <w:sz w:val="30"/>
      <w:szCs w:val="44"/>
    </w:rPr>
  </w:style>
  <w:style w:type="paragraph" w:styleId="2">
    <w:name w:val="heading 2"/>
    <w:basedOn w:val="a"/>
    <w:next w:val="a"/>
    <w:link w:val="20"/>
    <w:qFormat/>
    <w:pPr>
      <w:spacing w:line="560" w:lineRule="exact"/>
      <w:ind w:firstLineChars="200" w:firstLine="874"/>
      <w:jc w:val="left"/>
      <w:outlineLvl w:val="1"/>
    </w:pPr>
    <w:rPr>
      <w:rFonts w:ascii="宋体" w:eastAsia="黑体" w:hAnsi="宋体"/>
      <w:kern w:val="0"/>
      <w:sz w:val="32"/>
      <w:szCs w:val="36"/>
    </w:rPr>
  </w:style>
  <w:style w:type="paragraph" w:styleId="3">
    <w:name w:val="heading 3"/>
    <w:basedOn w:val="a"/>
    <w:next w:val="a0"/>
    <w:link w:val="30"/>
    <w:qFormat/>
    <w:pPr>
      <w:keepNext/>
      <w:spacing w:before="140" w:after="120"/>
      <w:outlineLvl w:val="2"/>
    </w:pPr>
    <w:rPr>
      <w:rFonts w:ascii="Liberation Serif" w:hAnsi="Liberation Serif"/>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Calibri" w:eastAsia="仿宋_GB2312" w:hAnsi="Calibri"/>
      <w:b/>
      <w:bCs/>
      <w:kern w:val="44"/>
      <w:sz w:val="30"/>
      <w:szCs w:val="44"/>
    </w:rPr>
  </w:style>
  <w:style w:type="character" w:customStyle="1" w:styleId="20">
    <w:name w:val="标题 2 字符"/>
    <w:link w:val="2"/>
    <w:rPr>
      <w:rFonts w:ascii="宋体" w:eastAsia="黑体" w:hAnsi="宋体" w:cs="Times New Roman"/>
      <w:sz w:val="32"/>
      <w:szCs w:val="36"/>
    </w:rPr>
  </w:style>
  <w:style w:type="character" w:customStyle="1" w:styleId="30">
    <w:name w:val="标题 3 字符"/>
    <w:link w:val="3"/>
    <w:rPr>
      <w:rFonts w:ascii="Liberation Serif" w:hAnsi="Liberation Serif" w:cs="Arial"/>
      <w:b/>
      <w:bCs/>
      <w:kern w:val="2"/>
      <w:sz w:val="27"/>
      <w:szCs w:val="27"/>
    </w:rPr>
  </w:style>
  <w:style w:type="paragraph" w:styleId="a0">
    <w:name w:val="Body Text"/>
    <w:basedOn w:val="a"/>
    <w:link w:val="a4"/>
    <w:qFormat/>
    <w:pPr>
      <w:spacing w:after="283" w:line="360" w:lineRule="auto"/>
    </w:pPr>
  </w:style>
  <w:style w:type="character" w:customStyle="1" w:styleId="a4">
    <w:name w:val="正文文本 字符"/>
    <w:link w:val="a0"/>
    <w:rPr>
      <w:rFonts w:ascii="Calibri" w:hAnsi="Calibri"/>
      <w:kern w:val="2"/>
      <w:sz w:val="21"/>
      <w:szCs w:val="24"/>
    </w:rPr>
  </w:style>
  <w:style w:type="paragraph" w:styleId="a5">
    <w:name w:val="annotation text"/>
    <w:basedOn w:val="a"/>
    <w:link w:val="11"/>
    <w:uiPriority w:val="99"/>
    <w:unhideWhenUsed/>
    <w:qFormat/>
    <w:pPr>
      <w:jc w:val="left"/>
    </w:pPr>
    <w:rPr>
      <w:sz w:val="24"/>
    </w:rPr>
  </w:style>
  <w:style w:type="character" w:customStyle="1" w:styleId="11">
    <w:name w:val="批注文字 字符1"/>
    <w:link w:val="a5"/>
    <w:uiPriority w:val="99"/>
    <w:rPr>
      <w:rFonts w:ascii="Calibri" w:hAnsi="Calibri"/>
      <w:kern w:val="2"/>
      <w:sz w:val="24"/>
      <w:szCs w:val="24"/>
    </w:rPr>
  </w:style>
  <w:style w:type="paragraph" w:styleId="a6">
    <w:name w:val="Plain Text"/>
    <w:basedOn w:val="a"/>
    <w:link w:val="a7"/>
    <w:qFormat/>
    <w:rPr>
      <w:rFonts w:hAnsi="Courier New"/>
      <w:kern w:val="0"/>
      <w:sz w:val="20"/>
      <w:szCs w:val="20"/>
    </w:rPr>
  </w:style>
  <w:style w:type="character" w:customStyle="1" w:styleId="a7">
    <w:name w:val="纯文本 字符"/>
    <w:link w:val="a6"/>
    <w:rPr>
      <w:rFonts w:ascii="Calibri" w:hAnsi="Courier New"/>
    </w:rPr>
  </w:style>
  <w:style w:type="paragraph" w:styleId="a8">
    <w:name w:val="Balloon Text"/>
    <w:basedOn w:val="a"/>
    <w:link w:val="a9"/>
    <w:uiPriority w:val="99"/>
    <w:unhideWhenUsed/>
    <w:rPr>
      <w:sz w:val="18"/>
      <w:szCs w:val="18"/>
    </w:rPr>
  </w:style>
  <w:style w:type="character" w:customStyle="1" w:styleId="a9">
    <w:name w:val="批注框文本 字符"/>
    <w:link w:val="a8"/>
    <w:uiPriority w:val="99"/>
    <w:semiHidden/>
    <w:rPr>
      <w:rFonts w:ascii="Calibri" w:hAnsi="Calibri"/>
      <w:kern w:val="2"/>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character" w:customStyle="1" w:styleId="ab">
    <w:name w:val="页脚 字符"/>
    <w:link w:val="aa"/>
    <w:uiPriority w:val="99"/>
    <w:rPr>
      <w:rFonts w:ascii="Calibri" w:hAnsi="Calibri"/>
      <w:kern w:val="2"/>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semiHidden/>
    <w:rPr>
      <w:rFonts w:ascii="Calibri" w:hAnsi="Calibri"/>
      <w:kern w:val="2"/>
      <w:sz w:val="18"/>
      <w:szCs w:val="18"/>
    </w:rPr>
  </w:style>
  <w:style w:type="paragraph" w:styleId="ae">
    <w:name w:val="footnote text"/>
    <w:basedOn w:val="a"/>
    <w:link w:val="af"/>
    <w:qFormat/>
    <w:pPr>
      <w:snapToGrid w:val="0"/>
      <w:jc w:val="left"/>
    </w:pPr>
    <w:rPr>
      <w:sz w:val="18"/>
    </w:rPr>
  </w:style>
  <w:style w:type="character" w:customStyle="1" w:styleId="af">
    <w:name w:val="脚注文本 字符"/>
    <w:link w:val="ae"/>
    <w:rPr>
      <w:rFonts w:ascii="Calibri" w:hAnsi="Calibri"/>
      <w:kern w:val="2"/>
      <w:sz w:val="18"/>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333333"/>
      <w:sz w:val="20"/>
      <w:szCs w:val="20"/>
    </w:rPr>
  </w:style>
  <w:style w:type="character" w:customStyle="1" w:styleId="HTML0">
    <w:name w:val="HTML 预设格式 字符"/>
    <w:link w:val="HTML"/>
    <w:rPr>
      <w:rFonts w:ascii="Arial Unicode MS" w:eastAsia="Arial Unicode MS" w:hAnsi="Arial Unicode MS" w:cs="Arial Unicode MS"/>
      <w:color w:val="333333"/>
      <w:kern w:val="2"/>
    </w:rPr>
  </w:style>
  <w:style w:type="character" w:styleId="af0">
    <w:name w:val="Hyperlink"/>
    <w:uiPriority w:val="99"/>
    <w:unhideWhenUsed/>
    <w:qFormat/>
    <w:rPr>
      <w:color w:val="0000FF"/>
      <w:u w:val="single"/>
    </w:rPr>
  </w:style>
  <w:style w:type="character" w:styleId="af1">
    <w:name w:val="footnote reference"/>
    <w:qFormat/>
    <w:rPr>
      <w:vertAlign w:val="superscript"/>
    </w:rPr>
  </w:style>
  <w:style w:type="character" w:customStyle="1" w:styleId="af2">
    <w:name w:val="批注文字 字符"/>
    <w:uiPriority w:val="99"/>
    <w:qFormat/>
    <w:rPr>
      <w:rFonts w:ascii="Calibri" w:hAnsi="Calibri"/>
      <w:kern w:val="2"/>
      <w:sz w:val="24"/>
      <w:szCs w:val="24"/>
    </w:rPr>
  </w:style>
  <w:style w:type="paragraph" w:styleId="af3">
    <w:name w:val="List Paragraph"/>
    <w:basedOn w:val="a"/>
    <w:uiPriority w:val="99"/>
    <w:qFormat/>
    <w:pPr>
      <w:suppressAutoHyphens/>
      <w:ind w:firstLineChars="200" w:firstLine="420"/>
    </w:pPr>
  </w:style>
  <w:style w:type="paragraph" w:customStyle="1" w:styleId="af4">
    <w:name w:val="标题样式"/>
    <w:basedOn w:val="a"/>
    <w:next w:val="a0"/>
    <w:qFormat/>
    <w:pPr>
      <w:keepNext/>
      <w:spacing w:before="240" w:after="283"/>
    </w:pPr>
    <w:rPr>
      <w:rFonts w:ascii="Albany" w:hAnsi="Albany"/>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1559</Characters>
  <Application>Microsoft Office Word</Application>
  <DocSecurity>0</DocSecurity>
  <Lines>12</Lines>
  <Paragraphs>3</Paragraphs>
  <ScaleCrop>false</ScaleCrop>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2023-03-10T00:38:00Z</cp:lastPrinted>
  <dcterms:created xsi:type="dcterms:W3CDTF">2023-08-04T01:56:00Z</dcterms:created>
  <dcterms:modified xsi:type="dcterms:W3CDTF">2023-08-04T08:50:00Z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5D257A0FEDED4B1288F67AF74AA03CAE_13</vt:lpwstr>
  </property>
</Properties>
</file>