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60" w:lineRule="auto"/>
        <w:ind w:firstLine="573"/>
        <w:jc w:val="center"/>
        <w:rPr>
          <w:rFonts w:ascii="方正小标宋简体" w:hAnsi="微软雅黑" w:eastAsia="方正小标宋简体" w:cs="宋体"/>
          <w:color w:val="000000" w:themeColor="text1"/>
          <w:sz w:val="36"/>
          <w:szCs w:val="36"/>
          <w:highlight w:val="none"/>
          <w14:textFill>
            <w14:solidFill>
              <w14:schemeClr w14:val="tx1"/>
            </w14:solidFill>
          </w14:textFill>
        </w:rPr>
      </w:pPr>
      <w:r>
        <w:rPr>
          <w:rFonts w:hint="eastAsia" w:ascii="方正小标宋简体" w:hAnsi="微软雅黑" w:eastAsia="方正小标宋简体" w:cs="宋体"/>
          <w:color w:val="000000" w:themeColor="text1"/>
          <w:sz w:val="36"/>
          <w:szCs w:val="36"/>
          <w:highlight w:val="none"/>
          <w14:textFill>
            <w14:solidFill>
              <w14:schemeClr w14:val="tx1"/>
            </w14:solidFill>
          </w14:textFill>
        </w:rPr>
        <w:t>证券公司压力测试指引</w:t>
      </w:r>
    </w:p>
    <w:p>
      <w:pPr>
        <w:adjustRightInd w:val="0"/>
        <w:snapToGrid w:val="0"/>
        <w:spacing w:before="100" w:beforeAutospacing="1" w:after="100" w:afterAutospacing="1" w:line="360" w:lineRule="auto"/>
        <w:ind w:firstLine="573"/>
        <w:jc w:val="center"/>
        <w:rPr>
          <w:rFonts w:ascii="黑体" w:hAnsi="黑体" w:eastAsia="黑体" w:cs="宋体"/>
          <w:color w:val="000000"/>
          <w:sz w:val="28"/>
          <w:szCs w:val="28"/>
          <w:highlight w:val="none"/>
        </w:rPr>
      </w:pPr>
      <w:r>
        <w:rPr>
          <w:rFonts w:hint="eastAsia" w:ascii="黑体" w:hAnsi="黑体" w:eastAsia="黑体" w:cs="宋体"/>
          <w:color w:val="000000"/>
          <w:sz w:val="28"/>
          <w:szCs w:val="28"/>
          <w:highlight w:val="none"/>
        </w:rPr>
        <w:t>第一章 总则</w:t>
      </w:r>
    </w:p>
    <w:p>
      <w:pPr>
        <w:pStyle w:val="31"/>
        <w:numPr>
          <w:ilvl w:val="0"/>
          <w:numId w:val="1"/>
        </w:numPr>
        <w:adjustRightInd w:val="0"/>
        <w:snapToGrid w:val="0"/>
        <w:spacing w:after="0" w:line="360" w:lineRule="auto"/>
        <w:ind w:left="0" w:firstLine="573" w:firstLineChars="0"/>
        <w:jc w:val="both"/>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为指导证券公司建立健全压力测试机制，提高风险管理水平，根据《中华人民共和国证券法》《证券公司监督管理条例》《证券公司风险控制指标管理办法》《证券公司全面风险管理规范》等法律法规和自律规则，制定本指引。</w:t>
      </w:r>
    </w:p>
    <w:p>
      <w:pPr>
        <w:shd w:val="clear" w:color="auto" w:fill="FFFFFF"/>
        <w:spacing w:after="0" w:line="360" w:lineRule="auto"/>
        <w:ind w:firstLine="573"/>
        <w:jc w:val="both"/>
        <w:rPr>
          <w:rFonts w:ascii="仿宋_GB2312" w:hAnsi="宋体" w:eastAsia="仿宋_GB2312" w:cs="宋体"/>
          <w:color w:val="000000"/>
          <w:sz w:val="28"/>
          <w:szCs w:val="28"/>
          <w:highlight w:val="none"/>
        </w:rPr>
      </w:pPr>
      <w:r>
        <w:rPr>
          <w:rFonts w:hint="eastAsia" w:ascii="仿宋_GB2312" w:hAnsi="宋体" w:eastAsia="仿宋_GB2312" w:cs="宋体"/>
          <w:b/>
          <w:bCs/>
          <w:color w:val="000000"/>
          <w:sz w:val="28"/>
          <w:szCs w:val="28"/>
          <w:highlight w:val="none"/>
        </w:rPr>
        <w:t>第二条</w:t>
      </w:r>
      <w:r>
        <w:rPr>
          <w:rFonts w:hint="eastAsia" w:ascii="仿宋_GB2312" w:hAnsi="宋体" w:eastAsia="仿宋_GB2312" w:cs="宋体"/>
          <w:color w:val="000000"/>
          <w:sz w:val="28"/>
          <w:szCs w:val="28"/>
          <w:highlight w:val="none"/>
        </w:rPr>
        <w:t> 证券公司应当建立压力测试机制，确保在压力情景下风险可测、可控、可承受，保障可持续经营。</w:t>
      </w:r>
    </w:p>
    <w:p>
      <w:pPr>
        <w:shd w:val="clear" w:color="auto" w:fill="FFFFFF"/>
        <w:spacing w:after="0" w:line="360" w:lineRule="auto"/>
        <w:ind w:firstLine="573"/>
        <w:jc w:val="both"/>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指引所称压力测试，是指证券公司采用以定量分析为主的风险分析方法，测算压力情景下净资本和流动性等风险控制指标、财务指标、证券公司内部风险限额及业务指标的变化情况，评估风险承受能力，并采取必要应对措施的过程。</w:t>
      </w:r>
    </w:p>
    <w:p>
      <w:pPr>
        <w:shd w:val="clear" w:color="auto" w:fill="FFFFFF"/>
        <w:spacing w:after="0" w:line="360" w:lineRule="auto"/>
        <w:ind w:firstLine="573"/>
        <w:jc w:val="both"/>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本指引所称压力情景包括证券公司内外部经营环境发生极端变化或出现突发事件，开展重大业务以及进行利润分配等情形。</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第三条</w:t>
      </w:r>
      <w:r>
        <w:rPr>
          <w:rFonts w:hint="eastAsia" w:ascii="仿宋_GB2312" w:hAnsi="仿宋_GB2312" w:eastAsia="仿宋_GB2312" w:cs="仿宋_GB2312"/>
          <w:color w:val="000000"/>
          <w:sz w:val="28"/>
          <w:szCs w:val="28"/>
          <w:highlight w:val="none"/>
        </w:rPr>
        <w:t> 证券公司开展压力测试，应当遵循以下原则：</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（一）全面性原则：证券公司压力测试应当全面覆盖公司各个业务领域、所有子公司以及比照子公司管理的各类孙公司（以下简称“子公司”）的各类风险，并充分考虑各类风险间的相关性。</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（二）实践性原则：证券公司开展压力测试的流程与方法应当具备针对性和可操作性，与经营管理实践紧密结合，压力测试结果应当在风险管理和经营决策中得到有效应用。</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（三）审慎性原则：证券公司开展压力测试所选用的风险因素、数量模型、情景假设应当审慎合理，符合行业和公司实际，以利于科学分析各类风险的特征及其对各项业务的影响。</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（四）前瞻性原则：证券公司开展压力测试应当综合考虑宏观经济运行周期、行业发展变化趋势以及公司发展战略规划，</w:t>
      </w:r>
      <w:bookmarkStart w:id="0" w:name="_Hlk117782470"/>
      <w:r>
        <w:rPr>
          <w:rFonts w:hint="eastAsia" w:ascii="仿宋_GB2312" w:hAnsi="仿宋_GB2312" w:eastAsia="仿宋_GB2312" w:cs="仿宋_GB2312"/>
          <w:color w:val="000000"/>
          <w:sz w:val="28"/>
          <w:szCs w:val="28"/>
          <w:highlight w:val="none"/>
        </w:rPr>
        <w:t>合理预见各种可能出现的极端不利情况和风险。</w:t>
      </w:r>
    </w:p>
    <w:p>
      <w:pPr>
        <w:shd w:val="clear" w:color="auto" w:fill="FFFFFF"/>
        <w:spacing w:after="0" w:line="360" w:lineRule="auto"/>
        <w:ind w:firstLine="573"/>
        <w:jc w:val="both"/>
        <w:rPr>
          <w:rFonts w:ascii="仿宋_GB2312" w:hAnsi="仿宋_GB2312" w:eastAsia="仿宋_GB2312" w:cs="仿宋_GB2312"/>
          <w:sz w:val="28"/>
          <w:szCs w:val="28"/>
          <w:highlight w:val="none"/>
        </w:rPr>
      </w:pPr>
      <w:r>
        <w:rPr>
          <w:rFonts w:hint="eastAsia" w:ascii="仿宋_GB2312" w:hAnsi="仿宋_GB2312" w:eastAsia="仿宋_GB2312" w:cs="仿宋_GB2312"/>
          <w:b/>
          <w:bCs/>
          <w:color w:val="000000"/>
          <w:sz w:val="28"/>
          <w:szCs w:val="28"/>
          <w:highlight w:val="none"/>
        </w:rPr>
        <w:t>第四条</w:t>
      </w:r>
      <w:r>
        <w:rPr>
          <w:rFonts w:hint="eastAsia" w:ascii="仿宋_GB2312" w:hAnsi="仿宋_GB2312" w:eastAsia="仿宋_GB2312" w:cs="仿宋_GB2312"/>
          <w:color w:val="000000"/>
          <w:sz w:val="28"/>
          <w:szCs w:val="28"/>
          <w:highlight w:val="none"/>
        </w:rPr>
        <w:t> </w:t>
      </w:r>
      <w:r>
        <w:rPr>
          <w:rFonts w:hint="eastAsia" w:ascii="仿宋_GB2312" w:hAnsi="仿宋_GB2312" w:eastAsia="仿宋_GB2312" w:cs="仿宋_GB2312"/>
          <w:sz w:val="28"/>
          <w:szCs w:val="28"/>
          <w:highlight w:val="none"/>
          <w:lang w:eastAsia="zh-CN"/>
        </w:rPr>
        <w:t>中国证券业协会（以下简称“协会”）组建压力测试专家组，专家</w:t>
      </w:r>
      <w:r>
        <w:rPr>
          <w:rFonts w:hint="eastAsia" w:ascii="仿宋_GB2312" w:hAnsi="仿宋_GB2312" w:eastAsia="仿宋_GB2312" w:cs="仿宋_GB2312"/>
          <w:sz w:val="28"/>
          <w:szCs w:val="28"/>
          <w:highlight w:val="none"/>
        </w:rPr>
        <w:t>组成员主要由协会风险管理相关专业委员会专家及来自监管机构、自律组织的专家组成，总人数不低于10人</w:t>
      </w:r>
      <w:r>
        <w:rPr>
          <w:rFonts w:hint="eastAsia" w:ascii="仿宋_GB2312" w:hAnsi="仿宋_GB2312" w:eastAsia="仿宋_GB2312" w:cs="仿宋_GB2312"/>
          <w:sz w:val="28"/>
          <w:szCs w:val="28"/>
          <w:highlight w:val="none"/>
          <w:lang w:eastAsia="zh-CN"/>
        </w:rPr>
        <w:t>。专家组</w:t>
      </w:r>
      <w:r>
        <w:rPr>
          <w:rFonts w:hint="default" w:ascii="仿宋_GB2312" w:hAnsi="仿宋_GB2312" w:eastAsia="仿宋_GB2312" w:cs="仿宋_GB2312"/>
          <w:sz w:val="28"/>
          <w:szCs w:val="28"/>
          <w:highlight w:val="none"/>
          <w:lang w:val="en" w:eastAsia="zh-CN"/>
        </w:rPr>
        <w:t>可以</w:t>
      </w:r>
      <w:r>
        <w:rPr>
          <w:rFonts w:hint="eastAsia" w:ascii="仿宋_GB2312" w:hAnsi="仿宋_GB2312" w:eastAsia="仿宋_GB2312" w:cs="仿宋_GB2312"/>
          <w:sz w:val="28"/>
          <w:szCs w:val="28"/>
          <w:highlight w:val="none"/>
          <w:lang w:eastAsia="zh-CN"/>
        </w:rPr>
        <w:t>对行业</w:t>
      </w:r>
      <w:r>
        <w:rPr>
          <w:rFonts w:hint="eastAsia" w:ascii="仿宋_GB2312" w:hAnsi="仿宋_GB2312" w:eastAsia="仿宋_GB2312" w:cs="仿宋_GB2312"/>
          <w:sz w:val="28"/>
          <w:szCs w:val="28"/>
          <w:highlight w:val="none"/>
        </w:rPr>
        <w:t>压力测试</w:t>
      </w:r>
      <w:r>
        <w:rPr>
          <w:rFonts w:hint="eastAsia" w:ascii="仿宋_GB2312" w:hAnsi="仿宋_GB2312" w:eastAsia="仿宋_GB2312" w:cs="仿宋_GB2312"/>
          <w:sz w:val="28"/>
          <w:szCs w:val="28"/>
          <w:highlight w:val="none"/>
          <w:lang w:eastAsia="zh-CN"/>
        </w:rPr>
        <w:t>工作方案提出建议，包括但不限于</w:t>
      </w:r>
      <w:r>
        <w:rPr>
          <w:rFonts w:hint="eastAsia" w:ascii="仿宋_GB2312" w:hAnsi="仿宋_GB2312" w:eastAsia="仿宋_GB2312" w:cs="仿宋_GB2312"/>
          <w:sz w:val="28"/>
          <w:szCs w:val="28"/>
          <w:highlight w:val="none"/>
        </w:rPr>
        <w:t>压力测试情景、参数指标和传导机制</w:t>
      </w:r>
      <w:r>
        <w:rPr>
          <w:rFonts w:hint="eastAsia" w:ascii="仿宋_GB2312" w:hAnsi="仿宋_GB2312" w:eastAsia="仿宋_GB2312" w:cs="仿宋_GB2312"/>
          <w:sz w:val="28"/>
          <w:szCs w:val="28"/>
          <w:highlight w:val="none"/>
          <w:lang w:eastAsia="zh-CN"/>
        </w:rPr>
        <w:t>等；对压力测试结果做出</w:t>
      </w:r>
      <w:r>
        <w:rPr>
          <w:rFonts w:hint="eastAsia" w:ascii="仿宋_GB2312" w:hAnsi="仿宋_GB2312" w:eastAsia="仿宋_GB2312" w:cs="仿宋_GB2312"/>
          <w:sz w:val="28"/>
          <w:szCs w:val="28"/>
          <w:highlight w:val="none"/>
          <w:lang w:val="en-US" w:eastAsia="zh-CN"/>
        </w:rPr>
        <w:t>综合研判，提出压力测试工作改进建议等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协会根据专家组意见建议提出</w:t>
      </w:r>
      <w:r>
        <w:rPr>
          <w:rFonts w:hint="eastAsia" w:ascii="仿宋_GB2312" w:hAnsi="仿宋_GB2312" w:eastAsia="仿宋_GB2312" w:cs="仿宋_GB2312"/>
          <w:sz w:val="28"/>
          <w:szCs w:val="28"/>
          <w:highlight w:val="none"/>
        </w:rPr>
        <w:t>综合压力测试</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专项压力测试</w:t>
      </w:r>
      <w:r>
        <w:rPr>
          <w:rFonts w:hint="eastAsia" w:ascii="仿宋_GB2312" w:hAnsi="仿宋_GB2312" w:eastAsia="仿宋_GB2312" w:cs="仿宋_GB2312"/>
          <w:sz w:val="28"/>
          <w:szCs w:val="28"/>
          <w:highlight w:val="none"/>
          <w:lang w:eastAsia="zh-CN"/>
        </w:rPr>
        <w:t>工作要求。</w:t>
      </w:r>
    </w:p>
    <w:bookmarkEnd w:id="0"/>
    <w:p>
      <w:pPr>
        <w:adjustRightInd w:val="0"/>
        <w:snapToGrid w:val="0"/>
        <w:spacing w:before="100" w:beforeAutospacing="1" w:after="100" w:afterAutospacing="1" w:line="360" w:lineRule="auto"/>
        <w:jc w:val="center"/>
        <w:rPr>
          <w:rFonts w:ascii="黑体" w:hAnsi="黑体" w:eastAsia="黑体" w:cs="宋体"/>
          <w:color w:val="000000"/>
          <w:sz w:val="28"/>
          <w:szCs w:val="28"/>
          <w:highlight w:val="none"/>
        </w:rPr>
      </w:pPr>
      <w:r>
        <w:rPr>
          <w:rFonts w:hint="eastAsia" w:ascii="黑体" w:hAnsi="黑体" w:eastAsia="黑体" w:cs="宋体"/>
          <w:color w:val="000000"/>
          <w:sz w:val="28"/>
          <w:szCs w:val="28"/>
          <w:highlight w:val="none"/>
        </w:rPr>
        <w:t>第二章  压力测试的基本保障</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u w:val="none"/>
        </w:rPr>
      </w:pPr>
      <w:r>
        <w:rPr>
          <w:rFonts w:hint="eastAsia" w:ascii="仿宋_GB2312" w:hAnsi="仿宋_GB2312" w:eastAsia="仿宋_GB2312" w:cs="仿宋_GB2312"/>
          <w:b/>
          <w:bCs/>
          <w:color w:val="000000"/>
          <w:sz w:val="28"/>
          <w:szCs w:val="28"/>
          <w:highlight w:val="none"/>
        </w:rPr>
        <w:t>第五条</w:t>
      </w:r>
      <w:r>
        <w:rPr>
          <w:rFonts w:hint="eastAsia" w:ascii="仿宋_GB2312" w:hAnsi="仿宋_GB2312" w:eastAsia="仿宋_GB2312" w:cs="仿宋_GB2312"/>
          <w:color w:val="000000"/>
          <w:sz w:val="28"/>
          <w:szCs w:val="28"/>
          <w:highlight w:val="none"/>
        </w:rPr>
        <w:t> 证券公司董事会或者经理层应当高度重视并积极指导压力测试工作，确定压力测试的组织架构，指派公司高级管理人员分管压力测试工作，指定专门部门和专业人员负责实施压力测试。公司其他相关部门、分支机构和子公司应当积极配合，共同开展压力测试工作，或</w:t>
      </w:r>
      <w:r>
        <w:rPr>
          <w:rFonts w:hint="eastAsia" w:ascii="仿宋_GB2312" w:hAnsi="仿宋_GB2312" w:eastAsia="仿宋_GB2312" w:cs="仿宋_GB2312"/>
          <w:color w:val="000000"/>
          <w:sz w:val="28"/>
          <w:szCs w:val="28"/>
          <w:highlight w:val="none"/>
          <w:u w:val="none"/>
        </w:rPr>
        <w:t>根据自身业务和管理需要自主开展压力测试工作。</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第六条</w:t>
      </w:r>
      <w:r>
        <w:rPr>
          <w:rFonts w:hint="eastAsia" w:ascii="仿宋_GB2312" w:hAnsi="仿宋_GB2312" w:eastAsia="仿宋_GB2312" w:cs="仿宋_GB2312"/>
          <w:color w:val="000000"/>
          <w:sz w:val="28"/>
          <w:szCs w:val="28"/>
          <w:highlight w:val="none"/>
        </w:rPr>
        <w:t> 证券公司应当建立和完善压力测试的相关制度，制度应当包括压力测试的职责</w:t>
      </w:r>
      <w:r>
        <w:rPr>
          <w:rFonts w:hint="eastAsia" w:ascii="仿宋_GB2312" w:hAnsi="仿宋_GB2312" w:eastAsia="仿宋_GB2312" w:cs="仿宋_GB2312"/>
          <w:color w:val="000000"/>
          <w:sz w:val="28"/>
          <w:szCs w:val="28"/>
          <w:highlight w:val="none"/>
          <w:lang w:eastAsia="zh-CN"/>
        </w:rPr>
        <w:t>分工</w:t>
      </w:r>
      <w:r>
        <w:rPr>
          <w:rFonts w:hint="eastAsia" w:ascii="仿宋_GB2312" w:hAnsi="仿宋_GB2312" w:eastAsia="仿宋_GB2312" w:cs="仿宋_GB2312"/>
          <w:color w:val="000000"/>
          <w:sz w:val="28"/>
          <w:szCs w:val="28"/>
          <w:highlight w:val="none"/>
        </w:rPr>
        <w:t>、触发机制、实施流程及方法、报告路径、结果应用、检查评估等内容。</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第七条 </w:t>
      </w:r>
      <w:r>
        <w:rPr>
          <w:rFonts w:hint="eastAsia" w:ascii="仿宋_GB2312" w:hAnsi="仿宋_GB2312" w:eastAsia="仿宋_GB2312" w:cs="仿宋_GB2312"/>
          <w:color w:val="000000"/>
          <w:sz w:val="28"/>
          <w:szCs w:val="28"/>
          <w:highlight w:val="none"/>
        </w:rPr>
        <w:t>证券公司在压力测试中所使用的市场数据、财务数据、业务数据等各种内外部数据来源应当合法、真实、准确、完整。</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第八条</w:t>
      </w:r>
      <w:r>
        <w:rPr>
          <w:rFonts w:hint="eastAsia" w:ascii="仿宋_GB2312" w:hAnsi="仿宋_GB2312" w:eastAsia="仿宋_GB2312" w:cs="仿宋_GB2312"/>
          <w:color w:val="000000"/>
          <w:sz w:val="28"/>
          <w:szCs w:val="28"/>
          <w:highlight w:val="none"/>
        </w:rPr>
        <w:t> 证券公司压力测试应当选用适当的数量模型。数量模型应当采用科学合理的计量方法和估值技术，并具备理论基础和实务依据，考虑外部环境、行业现状及公司自身业务特点等要素，合理运用定性方法作为数量模型的补充，综合专家经验和判断，定期或不定期进行评估与验证</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以提高数量模型的有效性。数量模型的建立和修改应当根据公司决策机制履行相关审批程序。</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第九条 </w:t>
      </w:r>
      <w:r>
        <w:rPr>
          <w:rFonts w:hint="eastAsia" w:ascii="仿宋_GB2312" w:hAnsi="仿宋_GB2312" w:eastAsia="仿宋_GB2312" w:cs="仿宋_GB2312"/>
          <w:color w:val="000000"/>
          <w:sz w:val="28"/>
          <w:szCs w:val="28"/>
          <w:highlight w:val="none"/>
        </w:rPr>
        <w:t>证券公司应当为压力测试工作提供必要的信息技术保障，在数据管理、模型开发、情景设置、测试实施、结果分析</w:t>
      </w:r>
      <w:r>
        <w:rPr>
          <w:rFonts w:hint="eastAsia" w:ascii="仿宋_GB2312" w:hAnsi="仿宋_GB2312" w:eastAsia="仿宋_GB2312" w:cs="仿宋_GB2312"/>
          <w:color w:val="000000"/>
          <w:sz w:val="28"/>
          <w:szCs w:val="28"/>
          <w:highlight w:val="none"/>
          <w:lang w:eastAsia="zh-CN"/>
        </w:rPr>
        <w:t>与报告</w:t>
      </w:r>
      <w:r>
        <w:rPr>
          <w:rFonts w:hint="eastAsia" w:ascii="仿宋_GB2312" w:hAnsi="仿宋_GB2312" w:eastAsia="仿宋_GB2312" w:cs="仿宋_GB2312"/>
          <w:color w:val="000000"/>
          <w:sz w:val="28"/>
          <w:szCs w:val="28"/>
          <w:highlight w:val="none"/>
        </w:rPr>
        <w:t>等环节给予信息技术支持，结合自身情况逐步提升压力测试工作系统化水平，以提高压力测试的质量和效率。</w:t>
      </w:r>
    </w:p>
    <w:p>
      <w:pPr>
        <w:adjustRightInd w:val="0"/>
        <w:snapToGrid w:val="0"/>
        <w:spacing w:before="100" w:beforeAutospacing="1" w:after="100" w:afterAutospacing="1" w:line="360" w:lineRule="auto"/>
        <w:jc w:val="center"/>
        <w:rPr>
          <w:rFonts w:ascii="黑体" w:hAnsi="黑体" w:eastAsia="黑体" w:cs="宋体"/>
          <w:color w:val="000000"/>
          <w:sz w:val="28"/>
          <w:szCs w:val="28"/>
          <w:highlight w:val="none"/>
        </w:rPr>
      </w:pPr>
      <w:r>
        <w:rPr>
          <w:rFonts w:hint="eastAsia" w:ascii="黑体" w:hAnsi="黑体" w:eastAsia="黑体" w:cs="宋体"/>
          <w:color w:val="000000"/>
          <w:sz w:val="28"/>
          <w:szCs w:val="28"/>
          <w:highlight w:val="none"/>
        </w:rPr>
        <w:t>第三章  压力测试流程和方法</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第十条</w:t>
      </w:r>
      <w:r>
        <w:rPr>
          <w:rFonts w:hint="eastAsia" w:ascii="仿宋_GB2312" w:hAnsi="仿宋_GB2312" w:eastAsia="仿宋_GB2312" w:cs="仿宋_GB2312"/>
          <w:color w:val="000000"/>
          <w:sz w:val="28"/>
          <w:szCs w:val="28"/>
          <w:highlight w:val="none"/>
        </w:rPr>
        <w:t> 证券公司开展压力测试一般包括以下主要步骤：</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（一）确定测试目的，选择测试对象；</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（二）制定测试方案，确定测试方法；</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（三）设置测试情景，确定风险因素；</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（四）明确传导模型，收集测试数据；</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（五）实施压力测试，分析报告测试结果；</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（六）制定和执行应对措施。</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第十一条</w:t>
      </w:r>
      <w:r>
        <w:rPr>
          <w:rFonts w:hint="eastAsia" w:ascii="仿宋_GB2312" w:hAnsi="仿宋_GB2312" w:eastAsia="仿宋_GB2312" w:cs="仿宋_GB2312"/>
          <w:color w:val="000000"/>
          <w:sz w:val="28"/>
          <w:szCs w:val="28"/>
          <w:highlight w:val="none"/>
        </w:rPr>
        <w:t> 证券公司压力测试方案的制定应当充分与公司相关部门沟通，证券公司压力测试方案一般包括测试目的、测试对象、测试方法、压力情景、风险因素、传导模型、测试区间、测试数据、测试频率、参与部门等要素。</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第十二条 </w:t>
      </w:r>
      <w:r>
        <w:rPr>
          <w:rFonts w:hint="eastAsia" w:ascii="仿宋_GB2312" w:hAnsi="仿宋_GB2312" w:eastAsia="仿宋_GB2312" w:cs="仿宋_GB2312"/>
          <w:color w:val="000000"/>
          <w:sz w:val="28"/>
          <w:szCs w:val="28"/>
          <w:highlight w:val="none"/>
        </w:rPr>
        <w:t>证券公司压力测试包括综合压力测试和专项压力测试。综合压力测试的对象包括但不限于净资本</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流动性等风险控制指标和整体财务指标；专项压力测试的对象根据专项压力测试的目的予以选择。</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证券公司在压力测试过程中，可进一步运用反向压力测试方法对导致测试对象超限、预警或重大不利变动的因素进行分析，并研究应对措施。反向压力测试是从已知的压力测试结果出发，反向寻找公司资产质量、盈利、资本和流动性可能承受的极端压力情景，适于开展反向压力测试的领域包括高风险业务线、未经历过严重压力的新产品和新业务等。</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第十三条</w:t>
      </w:r>
      <w:r>
        <w:rPr>
          <w:rFonts w:hint="eastAsia" w:ascii="仿宋_GB2312" w:hAnsi="仿宋_GB2312" w:eastAsia="仿宋_GB2312" w:cs="仿宋_GB2312"/>
          <w:color w:val="000000"/>
          <w:sz w:val="28"/>
          <w:szCs w:val="28"/>
          <w:highlight w:val="none"/>
        </w:rPr>
        <w:t> 证券公司压力测试根据不同的压力情景可采用敏感性分析和情景分析等方法。</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指引所称敏感性分析是指测试单个重要风险因素或少数几项关系密切因素发生变化时的压力情景对证券公司的影响；情景分析是指测试多种风险因素同时变化或某些不利事件发生时的压力情景对证券公司的影响。</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第十四条 </w:t>
      </w:r>
      <w:r>
        <w:rPr>
          <w:rFonts w:hint="eastAsia" w:ascii="仿宋_GB2312" w:hAnsi="仿宋_GB2312" w:eastAsia="仿宋_GB2312" w:cs="仿宋_GB2312"/>
          <w:color w:val="000000"/>
          <w:sz w:val="28"/>
          <w:szCs w:val="28"/>
          <w:highlight w:val="none"/>
        </w:rPr>
        <w:t>证券公司在设置压力情景时，可采取历史情景法、假设情景法或者二者相结合的方法。历史情景法是指模拟历史上重大风险事件或重大压力情景，假设情景法是指基于经验判断或数量模型模拟未来可预见的极端不利情况。证券公司可结合具体业务风险因</w:t>
      </w:r>
      <w:r>
        <w:rPr>
          <w:rFonts w:hint="eastAsia" w:ascii="仿宋_GB2312" w:hAnsi="仿宋_GB2312" w:eastAsia="仿宋_GB2312" w:cs="仿宋_GB2312"/>
          <w:color w:val="000000"/>
          <w:sz w:val="28"/>
          <w:szCs w:val="28"/>
          <w:highlight w:val="none"/>
          <w:lang w:eastAsia="zh-CN"/>
        </w:rPr>
        <w:t>子</w:t>
      </w:r>
      <w:r>
        <w:rPr>
          <w:rFonts w:hint="eastAsia" w:ascii="仿宋_GB2312" w:hAnsi="仿宋_GB2312" w:eastAsia="仿宋_GB2312" w:cs="仿宋_GB2312"/>
          <w:color w:val="000000"/>
          <w:sz w:val="28"/>
          <w:szCs w:val="28"/>
          <w:highlight w:val="none"/>
        </w:rPr>
        <w:t>，采用数量模型及专家判断设置相关压力情景及参数。</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证券公司可根据风险因素的严重程度设置多个压力情景，一般包括轻度、中度和重度压力情景等。情景设置应定期或不定期进行检查回顾，若发现压力情景显著弱于市场或已</w:t>
      </w:r>
      <w:r>
        <w:rPr>
          <w:rFonts w:hint="eastAsia" w:ascii="仿宋_GB2312" w:hAnsi="仿宋_GB2312" w:eastAsia="仿宋_GB2312" w:cs="仿宋_GB2312"/>
          <w:color w:val="000000"/>
          <w:sz w:val="28"/>
          <w:szCs w:val="28"/>
          <w:highlight w:val="none"/>
          <w:lang w:eastAsia="zh-CN"/>
        </w:rPr>
        <w:t>实际</w:t>
      </w:r>
      <w:r>
        <w:rPr>
          <w:rFonts w:hint="eastAsia" w:ascii="仿宋_GB2312" w:hAnsi="仿宋_GB2312" w:eastAsia="仿宋_GB2312" w:cs="仿宋_GB2312"/>
          <w:color w:val="000000"/>
          <w:sz w:val="28"/>
          <w:szCs w:val="28"/>
          <w:highlight w:val="none"/>
        </w:rPr>
        <w:t>发生的</w:t>
      </w:r>
      <w:r>
        <w:rPr>
          <w:rFonts w:hint="eastAsia" w:ascii="仿宋_GB2312" w:hAnsi="仿宋_GB2312" w:eastAsia="仿宋_GB2312" w:cs="仿宋_GB2312"/>
          <w:color w:val="000000"/>
          <w:sz w:val="28"/>
          <w:szCs w:val="28"/>
          <w:highlight w:val="none"/>
          <w:lang w:eastAsia="zh-CN"/>
        </w:rPr>
        <w:t>最不利</w:t>
      </w:r>
      <w:r>
        <w:rPr>
          <w:rFonts w:hint="eastAsia" w:ascii="仿宋_GB2312" w:hAnsi="仿宋_GB2312" w:eastAsia="仿宋_GB2312" w:cs="仿宋_GB2312"/>
          <w:color w:val="000000"/>
          <w:sz w:val="28"/>
          <w:szCs w:val="28"/>
          <w:highlight w:val="none"/>
        </w:rPr>
        <w:t>情况，应重点分析并在未来压力测试情景设置中予以适当调整。</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第十五条</w:t>
      </w:r>
      <w:r>
        <w:rPr>
          <w:rFonts w:hint="eastAsia" w:ascii="仿宋_GB2312" w:hAnsi="仿宋_GB2312" w:eastAsia="仿宋_GB2312" w:cs="仿宋_GB2312"/>
          <w:color w:val="000000"/>
          <w:sz w:val="28"/>
          <w:szCs w:val="28"/>
          <w:highlight w:val="none"/>
        </w:rPr>
        <w:t> 压力测试应当涵盖证券公司面临的主要风险，包括经营风险、市场风险、信用风险、操作风险、</w:t>
      </w:r>
      <w:r>
        <w:rPr>
          <w:rFonts w:hint="eastAsia" w:ascii="仿宋_GB2312" w:hAnsi="仿宋_GB2312" w:eastAsia="仿宋_GB2312" w:cs="仿宋_GB2312"/>
          <w:color w:val="000000"/>
          <w:sz w:val="28"/>
          <w:szCs w:val="28"/>
          <w:highlight w:val="none"/>
          <w:lang w:eastAsia="zh-CN"/>
        </w:rPr>
        <w:t>声誉风险、</w:t>
      </w:r>
      <w:r>
        <w:rPr>
          <w:rFonts w:hint="eastAsia" w:ascii="仿宋_GB2312" w:hAnsi="仿宋_GB2312" w:eastAsia="仿宋_GB2312" w:cs="仿宋_GB2312"/>
          <w:color w:val="000000"/>
          <w:sz w:val="28"/>
          <w:szCs w:val="28"/>
          <w:highlight w:val="none"/>
        </w:rPr>
        <w:t>法律合规风险、流动性风险等风险类型。证券公司应当根据上述风险类型科学审慎地确定相应的风险因素，并考虑不同风险因素之间的相互作用和共同影响，风险因素的变化情况一般包括：</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（一）经营风险因素：证券交易量大幅下降、经纪业务佣金费率快速下滑、资产管理、投资银行、融资融券、股票质押等主要业务规模大幅变动等；</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（二）市场风险因素：利率或信用价差大幅变动、权益市场、汇率大幅波动、商品市场的大幅波动等，可参考资产价格在不同置信区间下的历史不利变动，并适度增加变动幅度；</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（三）信用风险因素：违约事件发生、信用评级下调、信用类业务违约率或违约损失率上升等，并充分考虑违约资产以及担保品处置周期等特殊因素；</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（四）操作风险因素：信息系统重大故障、业务流程设计失效、人员重大操作失误、外部事件造成重大损失等；</w:t>
      </w:r>
    </w:p>
    <w:p>
      <w:pPr>
        <w:shd w:val="clear" w:color="auto" w:fill="FFFFFF"/>
        <w:spacing w:after="0" w:line="360" w:lineRule="auto"/>
        <w:ind w:firstLine="573"/>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五</w:t>
      </w:r>
      <w:r>
        <w:rPr>
          <w:rFonts w:hint="eastAsia" w:ascii="仿宋_GB2312" w:hAnsi="仿宋_GB2312" w:eastAsia="仿宋_GB2312" w:cs="仿宋_GB2312"/>
          <w:color w:val="000000"/>
          <w:sz w:val="28"/>
          <w:szCs w:val="28"/>
          <w:highlight w:val="none"/>
        </w:rPr>
        <w:t>）声誉风险因素：发生重大负面</w:t>
      </w:r>
      <w:r>
        <w:rPr>
          <w:rFonts w:hint="eastAsia" w:ascii="仿宋_GB2312" w:hAnsi="仿宋_GB2312" w:eastAsia="仿宋_GB2312" w:cs="仿宋_GB2312"/>
          <w:color w:val="000000"/>
          <w:sz w:val="28"/>
          <w:szCs w:val="28"/>
          <w:highlight w:val="none"/>
          <w:lang w:eastAsia="zh-CN"/>
        </w:rPr>
        <w:t>声誉事件，</w:t>
      </w:r>
      <w:r>
        <w:rPr>
          <w:rFonts w:hint="eastAsia" w:ascii="仿宋_GB2312" w:hAnsi="仿宋_GB2312" w:eastAsia="仿宋_GB2312" w:cs="仿宋_GB2312"/>
          <w:color w:val="000000"/>
          <w:sz w:val="28"/>
          <w:szCs w:val="28"/>
          <w:highlight w:val="none"/>
        </w:rPr>
        <w:t>造成证券公司重大损失、证券行业声誉损害等。</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六</w:t>
      </w:r>
      <w:r>
        <w:rPr>
          <w:rFonts w:hint="eastAsia" w:ascii="仿宋_GB2312" w:hAnsi="仿宋_GB2312" w:eastAsia="仿宋_GB2312" w:cs="仿宋_GB2312"/>
          <w:color w:val="000000"/>
          <w:sz w:val="28"/>
          <w:szCs w:val="28"/>
          <w:highlight w:val="none"/>
        </w:rPr>
        <w:t>）法律合规风险因素：发生违法违规事件、监管处罚导致部分业务资格暂停、诉讼案件或有赔偿等；</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七</w:t>
      </w:r>
      <w:r>
        <w:rPr>
          <w:rFonts w:hint="eastAsia" w:ascii="仿宋_GB2312" w:hAnsi="仿宋_GB2312" w:eastAsia="仿宋_GB2312" w:cs="仿宋_GB2312"/>
          <w:color w:val="000000"/>
          <w:sz w:val="28"/>
          <w:szCs w:val="28"/>
          <w:highlight w:val="none"/>
        </w:rPr>
        <w:t>）流动性风险因素：融资成本持续高企、融资渠道受限、出现大额资金缺口、负债集中到期或赎回、金融资产变现困难以及可能导致流动性风险的其他因素。</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在考虑以上风险因素不利变动时，可同步考虑宏观经济风险因素的先导性作用，包括但不限于国际经济及政治不利因素、国内经济增速放缓，</w:t>
      </w:r>
      <w:r>
        <w:rPr>
          <w:rFonts w:hint="eastAsia" w:ascii="仿宋_GB2312" w:hAnsi="仿宋_GB2312" w:eastAsia="仿宋_GB2312" w:cs="仿宋_GB2312"/>
          <w:color w:val="auto"/>
          <w:sz w:val="28"/>
          <w:szCs w:val="28"/>
          <w:highlight w:val="none"/>
        </w:rPr>
        <w:t>如</w:t>
      </w:r>
      <w:r>
        <w:rPr>
          <w:rFonts w:hint="eastAsia" w:ascii="仿宋_GB2312" w:hAnsi="仿宋_GB2312" w:eastAsia="仿宋_GB2312" w:cs="仿宋_GB2312"/>
          <w:color w:val="auto"/>
          <w:sz w:val="28"/>
          <w:szCs w:val="28"/>
          <w:highlight w:val="none"/>
          <w:lang w:eastAsia="zh-CN"/>
        </w:rPr>
        <w:t>国内生产总值（</w:t>
      </w:r>
      <w:r>
        <w:rPr>
          <w:rFonts w:hint="eastAsia" w:ascii="仿宋_GB2312" w:hAnsi="仿宋_GB2312" w:eastAsia="仿宋_GB2312" w:cs="仿宋_GB2312"/>
          <w:color w:val="auto"/>
          <w:sz w:val="28"/>
          <w:szCs w:val="28"/>
          <w:highlight w:val="none"/>
        </w:rPr>
        <w:t>GDP</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增速下降、失业率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UE</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上升、居民消费价格指数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CPI</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sz w:val="28"/>
          <w:szCs w:val="28"/>
          <w:highlight w:val="none"/>
        </w:rPr>
        <w:t>等指标出现大幅波动对证券公司经营、市场、信用等相关风险的传导及影响。</w:t>
      </w:r>
    </w:p>
    <w:p>
      <w:pPr>
        <w:shd w:val="clear" w:color="auto" w:fill="FFFFFF"/>
        <w:spacing w:after="0" w:line="360" w:lineRule="auto"/>
        <w:ind w:firstLine="573"/>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第十六条 </w:t>
      </w:r>
      <w:r>
        <w:rPr>
          <w:rFonts w:hint="eastAsia" w:ascii="仿宋_GB2312" w:hAnsi="仿宋_GB2312" w:eastAsia="仿宋_GB2312" w:cs="仿宋_GB2312"/>
          <w:color w:val="000000"/>
          <w:sz w:val="28"/>
          <w:szCs w:val="28"/>
          <w:highlight w:val="none"/>
        </w:rPr>
        <w:t>证券公司应当在审慎评估的基础上，根据风险及业务情况，</w:t>
      </w:r>
      <w:r>
        <w:rPr>
          <w:rFonts w:hint="eastAsia" w:ascii="仿宋_GB2312" w:hAnsi="仿宋_GB2312" w:eastAsia="仿宋_GB2312" w:cs="仿宋_GB2312"/>
          <w:sz w:val="28"/>
          <w:szCs w:val="28"/>
          <w:highlight w:val="none"/>
        </w:rPr>
        <w:t>充分分析利用内外部数据</w:t>
      </w:r>
      <w:r>
        <w:rPr>
          <w:rFonts w:hint="eastAsia" w:ascii="仿宋_GB2312" w:hAnsi="仿宋_GB2312" w:eastAsia="仿宋_GB2312" w:cs="仿宋_GB2312"/>
          <w:color w:val="000000"/>
          <w:sz w:val="28"/>
          <w:szCs w:val="28"/>
          <w:highlight w:val="none"/>
        </w:rPr>
        <w:t>，采用科学合理的计量方法和估值技术，细化完善风险</w:t>
      </w:r>
      <w:r>
        <w:rPr>
          <w:rFonts w:hint="eastAsia" w:ascii="仿宋_GB2312" w:hAnsi="仿宋_GB2312" w:eastAsia="仿宋_GB2312" w:cs="仿宋_GB2312"/>
          <w:color w:val="000000"/>
          <w:sz w:val="28"/>
          <w:szCs w:val="28"/>
          <w:highlight w:val="none"/>
          <w:lang w:eastAsia="zh-CN"/>
        </w:rPr>
        <w:t>因子</w:t>
      </w:r>
      <w:r>
        <w:rPr>
          <w:rFonts w:hint="eastAsia" w:ascii="仿宋_GB2312" w:hAnsi="仿宋_GB2312" w:eastAsia="仿宋_GB2312" w:cs="仿宋_GB2312"/>
          <w:color w:val="000000"/>
          <w:sz w:val="28"/>
          <w:szCs w:val="28"/>
          <w:highlight w:val="none"/>
        </w:rPr>
        <w:t>参数及传导模型，科学审慎设置压力情景及数据范围，充分反映对证券公司财务、风控指标的影响，提高对各类风险预测、预警、预防能力。</w:t>
      </w:r>
    </w:p>
    <w:p>
      <w:pPr>
        <w:shd w:val="clear" w:color="auto" w:fill="FFFFFF"/>
        <w:spacing w:after="0" w:line="360" w:lineRule="auto"/>
        <w:ind w:firstLine="573"/>
        <w:jc w:val="both"/>
        <w:rPr>
          <w:rFonts w:hint="eastAsia" w:ascii="仿宋_GB2312" w:hAnsi="仿宋_GB2312" w:eastAsia="仿宋_GB2312" w:cs="仿宋_GB2312"/>
          <w:color w:val="000000"/>
          <w:sz w:val="28"/>
          <w:szCs w:val="28"/>
          <w:highlight w:val="none"/>
          <w:u w:val="none"/>
          <w:lang w:eastAsia="zh-CN"/>
        </w:rPr>
      </w:pPr>
      <w:r>
        <w:rPr>
          <w:rFonts w:hint="eastAsia" w:ascii="仿宋_GB2312" w:hAnsi="仿宋_GB2312" w:eastAsia="仿宋_GB2312" w:cs="仿宋_GB2312"/>
          <w:color w:val="000000"/>
          <w:sz w:val="28"/>
          <w:szCs w:val="28"/>
          <w:highlight w:val="none"/>
          <w:u w:val="none"/>
          <w:lang w:eastAsia="zh-CN"/>
        </w:rPr>
        <w:t>证券公司在设置及完善压力测试情景参数及传导模型时，可根据需要参考附件《证券公司压力测试案例参考》。</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第十七条 </w:t>
      </w:r>
      <w:bookmarkStart w:id="1" w:name="_Hlk114668481"/>
      <w:r>
        <w:rPr>
          <w:rFonts w:hint="eastAsia" w:ascii="仿宋_GB2312" w:hAnsi="仿宋_GB2312" w:eastAsia="仿宋_GB2312" w:cs="仿宋_GB2312"/>
          <w:color w:val="000000"/>
          <w:sz w:val="28"/>
          <w:szCs w:val="28"/>
          <w:highlight w:val="none"/>
        </w:rPr>
        <w:t>证券公司应当</w:t>
      </w:r>
      <w:bookmarkEnd w:id="1"/>
      <w:r>
        <w:rPr>
          <w:rFonts w:hint="eastAsia" w:ascii="仿宋_GB2312" w:hAnsi="仿宋_GB2312" w:eastAsia="仿宋_GB2312" w:cs="仿宋_GB2312"/>
          <w:color w:val="000000"/>
          <w:sz w:val="28"/>
          <w:szCs w:val="28"/>
          <w:highlight w:val="none"/>
        </w:rPr>
        <w:t>建立常态化的压力测试机制，健全压力测试触发机制，根据市场变化、业务规模和风险水平情况，定期或不定期开展综合压力测试和专项压力测试。</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第十八条 </w:t>
      </w:r>
      <w:r>
        <w:rPr>
          <w:rFonts w:hint="eastAsia" w:ascii="仿宋_GB2312" w:hAnsi="仿宋_GB2312" w:eastAsia="仿宋_GB2312" w:cs="仿宋_GB2312"/>
          <w:color w:val="000000"/>
          <w:sz w:val="28"/>
          <w:szCs w:val="28"/>
          <w:highlight w:val="none"/>
        </w:rPr>
        <w:t>证券公司综合压力测试应当每年至少开展一次。年度综合压力测试应当以上年度经营情况为基础，结合本年度预算和经营计划完成。</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第十九条</w:t>
      </w:r>
      <w:r>
        <w:rPr>
          <w:rFonts w:hint="eastAsia" w:ascii="仿宋_GB2312" w:hAnsi="仿宋_GB2312" w:eastAsia="仿宋_GB2312" w:cs="仿宋_GB2312"/>
          <w:color w:val="000000"/>
          <w:sz w:val="28"/>
          <w:szCs w:val="28"/>
          <w:highlight w:val="none"/>
        </w:rPr>
        <w:t> 证券公司开展综合压力测试时，应当确保压力测试覆盖全面，充分考虑影响母公司与子公司、表内资产与表外资产、交易性金融资产与非交易性金融资产等因素；针对存在潜在重大风险的业务领域，应设置有针对性的压力情景和风险参数，以全面反映压力情景对证券公司的不利影响。</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第二十条</w:t>
      </w:r>
      <w:r>
        <w:rPr>
          <w:rFonts w:ascii="Calibri" w:hAnsi="Calibri" w:eastAsia="仿宋_GB2312" w:cs="Calibri"/>
          <w:color w:val="000000"/>
          <w:sz w:val="28"/>
          <w:szCs w:val="28"/>
          <w:highlight w:val="none"/>
        </w:rPr>
        <w:t> </w:t>
      </w:r>
      <w:r>
        <w:rPr>
          <w:rFonts w:hint="eastAsia" w:ascii="仿宋_GB2312" w:hAnsi="仿宋_GB2312" w:eastAsia="仿宋_GB2312" w:cs="仿宋_GB2312"/>
          <w:color w:val="000000"/>
          <w:sz w:val="28"/>
          <w:szCs w:val="28"/>
          <w:highlight w:val="none"/>
        </w:rPr>
        <w:t>证券公司应当设置</w:t>
      </w:r>
      <w:r>
        <w:rPr>
          <w:rFonts w:hint="eastAsia" w:ascii="仿宋_GB2312" w:hAnsi="仿宋_GB2312" w:eastAsia="仿宋_GB2312" w:cs="仿宋_GB2312"/>
          <w:color w:val="000000"/>
          <w:sz w:val="28"/>
          <w:szCs w:val="28"/>
          <w:highlight w:val="none"/>
          <w:lang w:eastAsia="zh-CN"/>
        </w:rPr>
        <w:t>压力测试</w:t>
      </w:r>
      <w:r>
        <w:rPr>
          <w:rFonts w:hint="eastAsia" w:ascii="仿宋_GB2312" w:hAnsi="仿宋_GB2312" w:eastAsia="仿宋_GB2312" w:cs="仿宋_GB2312"/>
          <w:color w:val="000000"/>
          <w:sz w:val="28"/>
          <w:szCs w:val="28"/>
          <w:highlight w:val="none"/>
        </w:rPr>
        <w:t>主动触发</w:t>
      </w:r>
      <w:r>
        <w:rPr>
          <w:rFonts w:hint="eastAsia" w:ascii="仿宋_GB2312" w:hAnsi="仿宋_GB2312" w:eastAsia="仿宋_GB2312" w:cs="仿宋_GB2312"/>
          <w:color w:val="000000"/>
          <w:sz w:val="28"/>
          <w:szCs w:val="28"/>
          <w:highlight w:val="none"/>
          <w:lang w:eastAsia="zh-CN"/>
        </w:rPr>
        <w:t>机制</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及时开展专项压力测试或根据管理需要开展综合压力测试，</w:t>
      </w:r>
      <w:r>
        <w:rPr>
          <w:rFonts w:hint="eastAsia" w:ascii="仿宋_GB2312" w:hAnsi="仿宋_GB2312" w:eastAsia="仿宋_GB2312" w:cs="仿宋_GB2312"/>
          <w:color w:val="000000"/>
          <w:sz w:val="28"/>
          <w:szCs w:val="28"/>
          <w:highlight w:val="none"/>
        </w:rPr>
        <w:t>识别潜在风险并有效防范化解，提高压力测试的针对性和有效性。</w:t>
      </w:r>
      <w:r>
        <w:rPr>
          <w:rFonts w:hint="eastAsia" w:ascii="仿宋_GB2312" w:hAnsi="仿宋_GB2312" w:eastAsia="仿宋_GB2312" w:cs="仿宋_GB2312"/>
          <w:color w:val="000000"/>
          <w:sz w:val="28"/>
          <w:szCs w:val="28"/>
          <w:highlight w:val="none"/>
          <w:lang w:eastAsia="zh-CN"/>
        </w:rPr>
        <w:t>主动触发情景包含但不限于</w:t>
      </w:r>
      <w:r>
        <w:rPr>
          <w:rFonts w:hint="eastAsia" w:ascii="仿宋_GB2312" w:hAnsi="仿宋_GB2312" w:eastAsia="仿宋_GB2312" w:cs="仿宋_GB2312"/>
          <w:color w:val="000000"/>
          <w:sz w:val="28"/>
          <w:szCs w:val="28"/>
          <w:highlight w:val="none"/>
        </w:rPr>
        <w:t>：</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可能导致净资本和流动性等风险控制指标发生明显不利变化或接近预警线的情形：重大对外投资或收购、重大对外担保、重大固定资产投资、对子公司增资、利润分配或其他重大资本性支出、证券公司分类评价结果负向调整、负债集中到期或赎回等；</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（二）确定重大业务规模和开展重大创新业务：确定经营计划和业务规模、确定自营投资规模限额、开展重大创新业务、承担重大包销责任等；</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（三）预期或已经出现重大内部风险状况：自营投资</w:t>
      </w:r>
      <w:r>
        <w:rPr>
          <w:rFonts w:hint="eastAsia" w:ascii="仿宋_GB2312" w:hAnsi="仿宋_GB2312" w:eastAsia="仿宋_GB2312" w:cs="仿宋_GB2312"/>
          <w:color w:val="000000"/>
          <w:sz w:val="28"/>
          <w:szCs w:val="28"/>
          <w:highlight w:val="none"/>
          <w:lang w:eastAsia="zh-CN"/>
        </w:rPr>
        <w:t>业务</w:t>
      </w:r>
      <w:r>
        <w:rPr>
          <w:rFonts w:hint="eastAsia" w:ascii="仿宋_GB2312" w:hAnsi="仿宋_GB2312" w:eastAsia="仿宋_GB2312" w:cs="仿宋_GB2312"/>
          <w:color w:val="000000"/>
          <w:sz w:val="28"/>
          <w:szCs w:val="28"/>
          <w:highlight w:val="none"/>
        </w:rPr>
        <w:t>大幅亏损、信用类业务出现大额违约、政府部门行政处罚、诉讼、声誉受损等，或因市场流动性变化或巨额赎回等因素导致的资管产品流动性风险，以及公司潜在损失占净资产比例较高等内部重大风险因素；</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（四）预期或已经出现重大外部风险和政策变化事件：证券市场大幅波动、监管政策发生重大变化、个别行业或区域出现整体性风险、国际局势变动引发地缘政治风险等； </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（五）其他可能或已经出现的压力情景；</w:t>
      </w:r>
    </w:p>
    <w:p>
      <w:pPr>
        <w:shd w:val="clear" w:color="auto" w:fill="FFFFFF"/>
        <w:wordWrap w:val="0"/>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证券公司应根据公司实际情况在内部对上述触发情形中的“重大”进行规定。</w:t>
      </w:r>
    </w:p>
    <w:p>
      <w:pPr>
        <w:shd w:val="clear" w:color="auto" w:fill="FFFFFF"/>
        <w:wordWrap w:val="0"/>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第二十一条</w:t>
      </w:r>
      <w:r>
        <w:rPr>
          <w:rFonts w:hint="eastAsia" w:ascii="仿宋_GB2312" w:hAnsi="仿宋_GB2312" w:eastAsia="仿宋_GB2312" w:cs="仿宋_GB2312"/>
          <w:color w:val="000000"/>
          <w:sz w:val="28"/>
          <w:szCs w:val="28"/>
          <w:highlight w:val="none"/>
        </w:rPr>
        <w:t> 证券公司实施压力测试后应当形成压力情景下的测试结果，并对测试结果进行分析，评估风险承受能力。</w:t>
      </w:r>
    </w:p>
    <w:p>
      <w:pPr>
        <w:adjustRightInd w:val="0"/>
        <w:snapToGrid w:val="0"/>
        <w:spacing w:before="100" w:beforeAutospacing="1" w:after="100" w:afterAutospacing="1" w:line="360" w:lineRule="auto"/>
        <w:jc w:val="center"/>
        <w:rPr>
          <w:rFonts w:ascii="黑体" w:hAnsi="黑体" w:eastAsia="黑体" w:cs="宋体"/>
          <w:color w:val="000000"/>
          <w:sz w:val="28"/>
          <w:szCs w:val="28"/>
          <w:highlight w:val="none"/>
        </w:rPr>
      </w:pPr>
      <w:r>
        <w:rPr>
          <w:rFonts w:hint="eastAsia" w:ascii="黑体" w:hAnsi="黑体" w:eastAsia="黑体" w:cs="宋体"/>
          <w:color w:val="000000"/>
          <w:sz w:val="28"/>
          <w:szCs w:val="28"/>
          <w:highlight w:val="none"/>
        </w:rPr>
        <w:t>第四章  压力测试的报告和应用</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w:t>
      </w:r>
      <w:r>
        <w:rPr>
          <w:rFonts w:hint="eastAsia" w:ascii="仿宋_GB2312" w:hAnsi="仿宋_GB2312" w:eastAsia="仿宋_GB2312" w:cs="仿宋_GB2312"/>
          <w:b/>
          <w:bCs/>
          <w:color w:val="000000"/>
          <w:sz w:val="28"/>
          <w:szCs w:val="28"/>
          <w:highlight w:val="none"/>
          <w:lang w:eastAsia="zh-CN"/>
        </w:rPr>
        <w:t>二</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证券公司年度综合压力测试结果应当及时向董事会或经理层报告，其他压力测试结果可根据测试目的、重要程度等情况合理确定报告层级；董事会或经理层应当对压力测试结果给予高度关注。</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w:t>
      </w:r>
      <w:r>
        <w:rPr>
          <w:rFonts w:hint="eastAsia" w:ascii="仿宋_GB2312" w:hAnsi="仿宋_GB2312" w:eastAsia="仿宋_GB2312" w:cs="仿宋_GB2312"/>
          <w:b/>
          <w:bCs/>
          <w:color w:val="000000"/>
          <w:sz w:val="28"/>
          <w:szCs w:val="28"/>
          <w:highlight w:val="none"/>
          <w:lang w:eastAsia="zh-CN"/>
        </w:rPr>
        <w:t>三</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证券公司应重视压力测试的成果转化，确保测试结果的有效运用，如根据实际经营管理情况，将压力测试结果所反映的风险状况，作为优化调整风险偏好、制定业务授权及风险限额、调整资产配置结构等工作的重要参考依据。在作出重大经营决策时，应当将压力测试结果作为必备决策依据。</w:t>
      </w:r>
    </w:p>
    <w:p>
      <w:pPr>
        <w:shd w:val="clear" w:color="auto" w:fill="FFFFFF"/>
        <w:spacing w:after="0" w:line="360" w:lineRule="auto"/>
        <w:ind w:firstLine="573"/>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w:t>
      </w:r>
      <w:r>
        <w:rPr>
          <w:rFonts w:hint="eastAsia" w:ascii="仿宋_GB2312" w:hAnsi="仿宋_GB2312" w:eastAsia="仿宋_GB2312" w:cs="仿宋_GB2312"/>
          <w:b/>
          <w:bCs/>
          <w:color w:val="000000"/>
          <w:sz w:val="28"/>
          <w:szCs w:val="28"/>
          <w:highlight w:val="none"/>
          <w:lang w:eastAsia="zh-CN"/>
        </w:rPr>
        <w:t>四</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证券公司压力测试结果显示可能存在导致净资本和流动性等风险控制指标不符合监管标准的重大风险时，应当及时向公司住所地证监局和中国证券业协会报告。</w:t>
      </w:r>
    </w:p>
    <w:p>
      <w:pPr>
        <w:shd w:val="clear" w:color="auto" w:fill="FFFFFF"/>
        <w:spacing w:after="0" w:line="360" w:lineRule="auto"/>
        <w:ind w:firstLine="573"/>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证券公司应当在每年4月30日前向中国证券业协会报告年度综合压力测试报告。</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报告内容应当包括测试方案、测试结论以及相关应对措施等。</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w:t>
      </w:r>
      <w:r>
        <w:rPr>
          <w:rFonts w:hint="eastAsia" w:ascii="仿宋_GB2312" w:hAnsi="仿宋_GB2312" w:eastAsia="仿宋_GB2312" w:cs="仿宋_GB2312"/>
          <w:b/>
          <w:bCs/>
          <w:color w:val="000000"/>
          <w:sz w:val="28"/>
          <w:szCs w:val="28"/>
          <w:highlight w:val="none"/>
          <w:lang w:eastAsia="zh-CN"/>
        </w:rPr>
        <w:t>五</w:t>
      </w:r>
      <w:r>
        <w:rPr>
          <w:rFonts w:hint="eastAsia" w:ascii="仿宋_GB2312" w:hAnsi="仿宋_GB2312" w:eastAsia="仿宋_GB2312" w:cs="仿宋_GB2312"/>
          <w:b/>
          <w:bCs/>
          <w:color w:val="000000"/>
          <w:sz w:val="28"/>
          <w:szCs w:val="28"/>
          <w:highlight w:val="none"/>
        </w:rPr>
        <w:t>条 </w:t>
      </w:r>
      <w:r>
        <w:rPr>
          <w:rFonts w:hint="eastAsia" w:ascii="仿宋_GB2312" w:hAnsi="仿宋_GB2312" w:eastAsia="仿宋_GB2312" w:cs="仿宋_GB2312"/>
          <w:color w:val="000000"/>
          <w:sz w:val="28"/>
          <w:szCs w:val="28"/>
          <w:highlight w:val="none"/>
        </w:rPr>
        <w:t>证券公司应当根据压力测试结果反映的风险情况，结合自身风险承受能力，适当采取以下应对措施，必要时实施应急预案：</w:t>
      </w:r>
    </w:p>
    <w:p>
      <w:pPr>
        <w:shd w:val="clear" w:color="auto" w:fill="FFFFFF"/>
        <w:spacing w:after="0" w:line="360" w:lineRule="auto"/>
        <w:ind w:left="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（一）调整业务规模及业务结构；</w:t>
      </w:r>
    </w:p>
    <w:p>
      <w:pPr>
        <w:shd w:val="clear" w:color="auto" w:fill="FFFFFF"/>
        <w:spacing w:after="0" w:line="360" w:lineRule="auto"/>
        <w:ind w:left="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（二）采取风险对冲或缓释措施；</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（三）评估和调整业务经营计划；</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（四）增加融资渠道，调整资产负债结构；</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（五）启动资本补足机制；</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（六）其他应对措施。</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w:t>
      </w:r>
      <w:r>
        <w:rPr>
          <w:rFonts w:hint="eastAsia" w:ascii="仿宋_GB2312" w:hAnsi="仿宋_GB2312" w:eastAsia="仿宋_GB2312" w:cs="仿宋_GB2312"/>
          <w:b/>
          <w:bCs/>
          <w:color w:val="000000"/>
          <w:sz w:val="28"/>
          <w:szCs w:val="28"/>
          <w:highlight w:val="none"/>
          <w:lang w:eastAsia="zh-CN"/>
        </w:rPr>
        <w:t>六</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w:t>
      </w:r>
      <w:bookmarkStart w:id="2" w:name="_Hlk117782228"/>
      <w:r>
        <w:rPr>
          <w:rFonts w:hint="eastAsia" w:ascii="仿宋_GB2312" w:hAnsi="仿宋_GB2312" w:eastAsia="仿宋_GB2312" w:cs="仿宋_GB2312"/>
          <w:color w:val="000000"/>
          <w:sz w:val="28"/>
          <w:szCs w:val="28"/>
          <w:highlight w:val="none"/>
        </w:rPr>
        <w:t>证券公司应当定期对</w:t>
      </w:r>
      <w:bookmarkEnd w:id="2"/>
      <w:r>
        <w:rPr>
          <w:rFonts w:hint="eastAsia" w:ascii="仿宋_GB2312" w:hAnsi="仿宋_GB2312" w:eastAsia="仿宋_GB2312" w:cs="仿宋_GB2312"/>
          <w:color w:val="000000"/>
          <w:sz w:val="28"/>
          <w:szCs w:val="28"/>
          <w:highlight w:val="none"/>
        </w:rPr>
        <w:t>压力测试工作机制和执行有效性进行检查和评估，并根据结果进行优化与完善。检查和评估应当重点关注以下方面：</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（一）各项基本保障是否健全；</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（二）流程和方法是否完备；</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（三）压力情景重要假设是否合理；</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（四）数量模型是否有效；</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（五）应对措施是否可行；</w:t>
      </w:r>
    </w:p>
    <w:p>
      <w:pPr>
        <w:shd w:val="clear" w:color="auto" w:fill="FFFFFF"/>
        <w:spacing w:after="0" w:line="360" w:lineRule="auto"/>
        <w:ind w:firstLine="573"/>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（六）对于</w:t>
      </w:r>
      <w:r>
        <w:rPr>
          <w:rFonts w:hint="eastAsia" w:ascii="仿宋_GB2312" w:hAnsi="仿宋_GB2312" w:eastAsia="仿宋_GB2312" w:cs="仿宋_GB2312"/>
          <w:color w:val="000000"/>
          <w:sz w:val="28"/>
          <w:szCs w:val="28"/>
          <w:highlight w:val="none"/>
          <w:lang w:eastAsia="zh-CN"/>
        </w:rPr>
        <w:t>测试期</w:t>
      </w:r>
      <w:r>
        <w:rPr>
          <w:rFonts w:hint="eastAsia" w:ascii="仿宋_GB2312" w:hAnsi="仿宋_GB2312" w:eastAsia="仿宋_GB2312" w:cs="仿宋_GB2312"/>
          <w:color w:val="000000"/>
          <w:sz w:val="28"/>
          <w:szCs w:val="28"/>
          <w:highlight w:val="none"/>
        </w:rPr>
        <w:t>发生的重大风险事件，综合或专项压力测试的情景或风险</w:t>
      </w:r>
      <w:r>
        <w:rPr>
          <w:rFonts w:hint="eastAsia" w:ascii="仿宋_GB2312" w:hAnsi="仿宋_GB2312" w:eastAsia="仿宋_GB2312" w:cs="仿宋_GB2312"/>
          <w:color w:val="000000"/>
          <w:sz w:val="28"/>
          <w:szCs w:val="28"/>
          <w:highlight w:val="none"/>
          <w:lang w:eastAsia="zh-CN"/>
        </w:rPr>
        <w:t>因子</w:t>
      </w:r>
      <w:r>
        <w:rPr>
          <w:rFonts w:hint="eastAsia" w:ascii="仿宋_GB2312" w:hAnsi="仿宋_GB2312" w:eastAsia="仿宋_GB2312" w:cs="仿宋_GB2312"/>
          <w:color w:val="000000"/>
          <w:sz w:val="28"/>
          <w:szCs w:val="28"/>
          <w:highlight w:val="none"/>
        </w:rPr>
        <w:t>中是否已覆盖。</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u w:val="none"/>
        </w:rPr>
      </w:pPr>
      <w:r>
        <w:rPr>
          <w:rFonts w:hint="eastAsia" w:ascii="仿宋_GB2312" w:hAnsi="仿宋_GB2312" w:eastAsia="仿宋_GB2312" w:cs="仿宋_GB2312"/>
          <w:b/>
          <w:bCs/>
          <w:color w:val="000000"/>
          <w:sz w:val="28"/>
          <w:szCs w:val="28"/>
          <w:highlight w:val="none"/>
        </w:rPr>
        <w:t>第</w:t>
      </w:r>
      <w:r>
        <w:rPr>
          <w:rFonts w:hint="eastAsia" w:ascii="仿宋_GB2312" w:hAnsi="仿宋_GB2312" w:eastAsia="仿宋_GB2312" w:cs="仿宋_GB2312"/>
          <w:b/>
          <w:bCs/>
          <w:color w:val="000000"/>
          <w:sz w:val="28"/>
          <w:szCs w:val="28"/>
          <w:highlight w:val="none"/>
          <w:lang w:eastAsia="zh-CN"/>
        </w:rPr>
        <w:t>二</w:t>
      </w:r>
      <w:r>
        <w:rPr>
          <w:rFonts w:hint="eastAsia" w:ascii="仿宋_GB2312" w:hAnsi="仿宋_GB2312" w:eastAsia="仿宋_GB2312" w:cs="仿宋_GB2312"/>
          <w:b/>
          <w:bCs/>
          <w:color w:val="000000"/>
          <w:sz w:val="28"/>
          <w:szCs w:val="28"/>
          <w:highlight w:val="none"/>
        </w:rPr>
        <w:t>十</w:t>
      </w:r>
      <w:r>
        <w:rPr>
          <w:rFonts w:hint="eastAsia" w:ascii="仿宋_GB2312" w:hAnsi="仿宋_GB2312" w:eastAsia="仿宋_GB2312" w:cs="仿宋_GB2312"/>
          <w:b/>
          <w:bCs/>
          <w:color w:val="000000"/>
          <w:sz w:val="28"/>
          <w:szCs w:val="28"/>
          <w:highlight w:val="none"/>
          <w:lang w:eastAsia="zh-CN"/>
        </w:rPr>
        <w:t>七</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w:t>
      </w:r>
      <w:r>
        <w:rPr>
          <w:rFonts w:hint="eastAsia" w:ascii="仿宋_GB2312" w:hAnsi="仿宋_GB2312" w:eastAsia="仿宋_GB2312" w:cs="仿宋_GB2312"/>
          <w:color w:val="000000"/>
          <w:sz w:val="28"/>
          <w:szCs w:val="28"/>
          <w:highlight w:val="none"/>
          <w:u w:val="none"/>
        </w:rPr>
        <w:t>证券公司应做好压力测试文档管理工作，包括压力测试计算底稿、测试报告等，并保证相关文档的完备性，相关文档保存期限不少于五年。</w:t>
      </w:r>
    </w:p>
    <w:p>
      <w:pPr>
        <w:adjustRightInd w:val="0"/>
        <w:snapToGrid w:val="0"/>
        <w:spacing w:before="100" w:beforeAutospacing="1" w:after="100" w:afterAutospacing="1" w:line="360" w:lineRule="auto"/>
        <w:jc w:val="center"/>
        <w:rPr>
          <w:rFonts w:ascii="黑体" w:hAnsi="黑体" w:eastAsia="黑体" w:cs="宋体"/>
          <w:color w:val="000000"/>
          <w:sz w:val="28"/>
          <w:szCs w:val="28"/>
          <w:highlight w:val="none"/>
        </w:rPr>
      </w:pPr>
      <w:r>
        <w:rPr>
          <w:rFonts w:hint="eastAsia" w:ascii="黑体" w:hAnsi="黑体" w:eastAsia="黑体" w:cs="宋体"/>
          <w:color w:val="000000"/>
          <w:sz w:val="28"/>
          <w:szCs w:val="28"/>
          <w:highlight w:val="none"/>
        </w:rPr>
        <w:t>第五章  自律管理</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w:t>
      </w:r>
      <w:r>
        <w:rPr>
          <w:rFonts w:hint="eastAsia" w:ascii="仿宋_GB2312" w:hAnsi="仿宋_GB2312" w:eastAsia="仿宋_GB2312" w:cs="仿宋_GB2312"/>
          <w:b/>
          <w:bCs/>
          <w:color w:val="000000"/>
          <w:sz w:val="28"/>
          <w:szCs w:val="28"/>
          <w:highlight w:val="none"/>
          <w:lang w:eastAsia="zh-CN"/>
        </w:rPr>
        <w:t>八</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协会对证券公司压力测试工作实施自律管理，对证券公司的压力测试落实执行情况进行评估</w:t>
      </w:r>
      <w:r>
        <w:rPr>
          <w:rFonts w:hint="eastAsia" w:ascii="仿宋_GB2312" w:hAnsi="仿宋_GB2312" w:eastAsia="仿宋_GB2312" w:cs="仿宋_GB2312"/>
          <w:color w:val="000000"/>
          <w:sz w:val="28"/>
          <w:szCs w:val="28"/>
          <w:highlight w:val="none"/>
          <w:lang w:eastAsia="zh-CN"/>
        </w:rPr>
        <w:t>和</w:t>
      </w:r>
      <w:r>
        <w:rPr>
          <w:rFonts w:hint="eastAsia" w:ascii="仿宋_GB2312" w:hAnsi="仿宋_GB2312" w:eastAsia="仿宋_GB2312" w:cs="仿宋_GB2312"/>
          <w:color w:val="000000"/>
          <w:sz w:val="28"/>
          <w:szCs w:val="28"/>
          <w:highlight w:val="none"/>
        </w:rPr>
        <w:t>检查。证券公司及其工作人员应当予以配合，如实提供有关资料。</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第二十</w:t>
      </w:r>
      <w:r>
        <w:rPr>
          <w:rFonts w:hint="eastAsia" w:ascii="仿宋_GB2312" w:hAnsi="仿宋_GB2312" w:eastAsia="仿宋_GB2312" w:cs="仿宋_GB2312"/>
          <w:b/>
          <w:bCs/>
          <w:color w:val="000000"/>
          <w:sz w:val="28"/>
          <w:szCs w:val="28"/>
          <w:highlight w:val="none"/>
          <w:lang w:eastAsia="zh-CN"/>
        </w:rPr>
        <w:t>九</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证券公司压力测试方法不科学、覆盖不全面，压力测试结果不审慎、未得到有效运用、未能充分揭示实质风险的，协会可以要求证券公司重新测算。</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u w:val="none"/>
        </w:rPr>
      </w:pPr>
      <w:r>
        <w:rPr>
          <w:rFonts w:hint="eastAsia" w:ascii="仿宋_GB2312" w:hAnsi="仿宋_GB2312" w:eastAsia="仿宋_GB2312" w:cs="仿宋_GB2312"/>
          <w:b/>
          <w:bCs/>
          <w:color w:val="000000"/>
          <w:sz w:val="28"/>
          <w:szCs w:val="28"/>
          <w:highlight w:val="none"/>
        </w:rPr>
        <w:t>第三十条 </w:t>
      </w:r>
      <w:r>
        <w:rPr>
          <w:rFonts w:hint="eastAsia" w:ascii="仿宋_GB2312" w:hAnsi="仿宋_GB2312" w:eastAsia="仿宋_GB2312" w:cs="仿宋_GB2312"/>
          <w:color w:val="000000"/>
          <w:sz w:val="28"/>
          <w:szCs w:val="28"/>
          <w:highlight w:val="none"/>
        </w:rPr>
        <w:t>证券公司未按本指引要求履行压力测试</w:t>
      </w:r>
      <w:r>
        <w:rPr>
          <w:rFonts w:hint="eastAsia" w:ascii="仿宋_GB2312" w:hAnsi="仿宋_GB2312" w:eastAsia="仿宋_GB2312" w:cs="仿宋_GB2312"/>
          <w:color w:val="000000"/>
          <w:sz w:val="28"/>
          <w:szCs w:val="28"/>
          <w:highlight w:val="none"/>
          <w:lang w:eastAsia="zh-CN"/>
        </w:rPr>
        <w:t>工作</w:t>
      </w:r>
      <w:r>
        <w:rPr>
          <w:rFonts w:hint="eastAsia" w:ascii="仿宋_GB2312" w:hAnsi="仿宋_GB2312" w:eastAsia="仿宋_GB2312" w:cs="仿宋_GB2312"/>
          <w:color w:val="000000"/>
          <w:sz w:val="28"/>
          <w:szCs w:val="28"/>
          <w:highlight w:val="none"/>
        </w:rPr>
        <w:t>职责的，协会依据《中国证券业协会自律措施实施办法》</w:t>
      </w:r>
      <w:r>
        <w:rPr>
          <w:rFonts w:hint="eastAsia" w:ascii="仿宋_GB2312" w:hAnsi="仿宋_GB2312" w:eastAsia="仿宋_GB2312" w:cs="仿宋_GB2312"/>
          <w:color w:val="000000"/>
          <w:sz w:val="28"/>
          <w:szCs w:val="28"/>
          <w:highlight w:val="none"/>
          <w:u w:val="none"/>
        </w:rPr>
        <w:t>对</w:t>
      </w:r>
      <w:r>
        <w:rPr>
          <w:rFonts w:hint="eastAsia" w:ascii="仿宋_GB2312" w:hAnsi="仿宋_GB2312" w:eastAsia="仿宋_GB2312" w:cs="仿宋_GB2312"/>
          <w:color w:val="000000"/>
          <w:sz w:val="28"/>
          <w:szCs w:val="28"/>
          <w:highlight w:val="none"/>
          <w:u w:val="none"/>
          <w:lang w:eastAsia="zh-CN"/>
        </w:rPr>
        <w:t>公司及责任人采取自律管理措施或纪律处分</w:t>
      </w:r>
      <w:r>
        <w:rPr>
          <w:rFonts w:hint="eastAsia" w:ascii="仿宋_GB2312" w:hAnsi="仿宋_GB2312" w:eastAsia="仿宋_GB2312" w:cs="仿宋_GB2312"/>
          <w:color w:val="000000"/>
          <w:sz w:val="28"/>
          <w:szCs w:val="28"/>
          <w:highlight w:val="none"/>
          <w:u w:val="none"/>
        </w:rPr>
        <w:t>。</w:t>
      </w:r>
      <w:bookmarkStart w:id="4" w:name="_GoBack"/>
      <w:bookmarkEnd w:id="4"/>
    </w:p>
    <w:p>
      <w:pPr>
        <w:adjustRightInd w:val="0"/>
        <w:snapToGrid w:val="0"/>
        <w:spacing w:before="100" w:beforeAutospacing="1" w:after="100" w:afterAutospacing="1" w:line="360" w:lineRule="auto"/>
        <w:jc w:val="center"/>
        <w:rPr>
          <w:rFonts w:ascii="黑体" w:hAnsi="黑体" w:eastAsia="黑体" w:cs="宋体"/>
          <w:color w:val="000000"/>
          <w:sz w:val="28"/>
          <w:szCs w:val="28"/>
          <w:highlight w:val="none"/>
        </w:rPr>
      </w:pPr>
      <w:r>
        <w:rPr>
          <w:rFonts w:hint="eastAsia" w:ascii="黑体" w:hAnsi="黑体" w:eastAsia="黑体" w:cs="宋体"/>
          <w:color w:val="000000"/>
          <w:sz w:val="28"/>
          <w:szCs w:val="28"/>
          <w:highlight w:val="none"/>
        </w:rPr>
        <w:t>第六章  附则</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第三十</w:t>
      </w:r>
      <w:r>
        <w:rPr>
          <w:rFonts w:hint="eastAsia" w:ascii="仿宋_GB2312" w:hAnsi="仿宋_GB2312" w:eastAsia="仿宋_GB2312" w:cs="仿宋_GB2312"/>
          <w:b/>
          <w:bCs/>
          <w:color w:val="000000"/>
          <w:sz w:val="28"/>
          <w:szCs w:val="28"/>
          <w:highlight w:val="none"/>
          <w:lang w:eastAsia="zh-CN"/>
        </w:rPr>
        <w:t>一</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本指引由中国证券业协会负责解释。</w:t>
      </w:r>
    </w:p>
    <w:p>
      <w:pPr>
        <w:shd w:val="clear" w:color="auto" w:fill="FFFFFF"/>
        <w:spacing w:after="0" w:line="360" w:lineRule="auto"/>
        <w:ind w:firstLine="573"/>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第三十</w:t>
      </w:r>
      <w:r>
        <w:rPr>
          <w:rFonts w:hint="eastAsia" w:ascii="仿宋_GB2312" w:hAnsi="仿宋_GB2312" w:eastAsia="仿宋_GB2312" w:cs="仿宋_GB2312"/>
          <w:b/>
          <w:bCs/>
          <w:color w:val="000000"/>
          <w:sz w:val="28"/>
          <w:szCs w:val="28"/>
          <w:highlight w:val="none"/>
          <w:lang w:eastAsia="zh-CN"/>
        </w:rPr>
        <w:t>二</w:t>
      </w:r>
      <w:r>
        <w:rPr>
          <w:rFonts w:hint="eastAsia" w:ascii="仿宋_GB2312" w:hAnsi="仿宋_GB2312" w:eastAsia="仿宋_GB2312" w:cs="仿宋_GB2312"/>
          <w:b/>
          <w:bCs/>
          <w:color w:val="000000"/>
          <w:sz w:val="28"/>
          <w:szCs w:val="28"/>
          <w:highlight w:val="none"/>
        </w:rPr>
        <w:t>条</w:t>
      </w:r>
      <w:r>
        <w:rPr>
          <w:rFonts w:hint="eastAsia" w:ascii="仿宋_GB2312" w:hAnsi="仿宋_GB2312" w:eastAsia="仿宋_GB2312" w:cs="仿宋_GB2312"/>
          <w:color w:val="000000"/>
          <w:sz w:val="28"/>
          <w:szCs w:val="28"/>
          <w:highlight w:val="none"/>
        </w:rPr>
        <w:t> 本指引自公布之日起施行。</w:t>
      </w:r>
    </w:p>
    <w:p>
      <w:pPr>
        <w:spacing w:after="0" w:line="360" w:lineRule="auto"/>
        <w:ind w:firstLine="573"/>
        <w:jc w:val="both"/>
        <w:rPr>
          <w:rFonts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br w:type="page"/>
      </w:r>
    </w:p>
    <w:p>
      <w:pPr>
        <w:widowControl w:val="0"/>
        <w:tabs>
          <w:tab w:val="left" w:pos="1155"/>
        </w:tabs>
        <w:spacing w:after="0" w:line="360" w:lineRule="auto"/>
        <w:ind w:firstLine="573"/>
        <w:jc w:val="both"/>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附件</w:t>
      </w:r>
    </w:p>
    <w:p>
      <w:pPr>
        <w:widowControl w:val="0"/>
        <w:tabs>
          <w:tab w:val="left" w:pos="1155"/>
        </w:tabs>
        <w:spacing w:after="0" w:line="360" w:lineRule="auto"/>
        <w:ind w:firstLine="573"/>
        <w:jc w:val="center"/>
        <w:rPr>
          <w:rFonts w:hint="eastAsia" w:asciiTheme="majorEastAsia" w:hAnsiTheme="majorEastAsia" w:eastAsiaTheme="majorEastAsia" w:cstheme="majorEastAsia"/>
          <w:b/>
          <w:kern w:val="2"/>
          <w:sz w:val="36"/>
          <w:szCs w:val="36"/>
          <w:highlight w:val="none"/>
          <w:lang w:eastAsia="zh-CN"/>
        </w:rPr>
      </w:pPr>
      <w:r>
        <w:rPr>
          <w:rFonts w:hint="eastAsia" w:asciiTheme="majorEastAsia" w:hAnsiTheme="majorEastAsia" w:eastAsiaTheme="majorEastAsia" w:cstheme="majorEastAsia"/>
          <w:b/>
          <w:kern w:val="2"/>
          <w:sz w:val="36"/>
          <w:szCs w:val="36"/>
          <w:highlight w:val="none"/>
        </w:rPr>
        <w:t>证券公司压力测试</w:t>
      </w:r>
      <w:r>
        <w:rPr>
          <w:rFonts w:hint="eastAsia" w:asciiTheme="majorEastAsia" w:hAnsiTheme="majorEastAsia" w:eastAsiaTheme="majorEastAsia" w:cstheme="majorEastAsia"/>
          <w:b/>
          <w:kern w:val="2"/>
          <w:sz w:val="36"/>
          <w:szCs w:val="36"/>
          <w:highlight w:val="none"/>
          <w:lang w:eastAsia="zh-CN"/>
        </w:rPr>
        <w:t>案例参考</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以下案例仅限为部分</w:t>
      </w:r>
      <w:r>
        <w:rPr>
          <w:rFonts w:hint="eastAsia" w:ascii="仿宋_GB2312" w:hAnsi="仿宋_GB2312" w:eastAsia="仿宋_GB2312" w:cs="仿宋_GB2312"/>
          <w:kern w:val="2"/>
          <w:sz w:val="28"/>
          <w:szCs w:val="28"/>
          <w:highlight w:val="none"/>
          <w:lang w:eastAsia="zh-CN"/>
        </w:rPr>
        <w:t>证券</w:t>
      </w:r>
      <w:r>
        <w:rPr>
          <w:rFonts w:hint="eastAsia" w:ascii="仿宋_GB2312" w:hAnsi="仿宋_GB2312" w:eastAsia="仿宋_GB2312" w:cs="仿宋_GB2312"/>
          <w:kern w:val="2"/>
          <w:sz w:val="28"/>
          <w:szCs w:val="28"/>
          <w:highlight w:val="none"/>
        </w:rPr>
        <w:t>业务的基础性</w:t>
      </w:r>
      <w:r>
        <w:rPr>
          <w:rFonts w:hint="eastAsia" w:ascii="仿宋_GB2312" w:hAnsi="仿宋_GB2312" w:eastAsia="仿宋_GB2312" w:cs="仿宋_GB2312"/>
          <w:kern w:val="2"/>
          <w:sz w:val="28"/>
          <w:szCs w:val="28"/>
          <w:highlight w:val="none"/>
          <w:lang w:eastAsia="zh-CN"/>
        </w:rPr>
        <w:t>压力</w:t>
      </w:r>
      <w:r>
        <w:rPr>
          <w:rFonts w:hint="eastAsia" w:ascii="仿宋_GB2312" w:hAnsi="仿宋_GB2312" w:eastAsia="仿宋_GB2312" w:cs="仿宋_GB2312"/>
          <w:kern w:val="2"/>
          <w:sz w:val="28"/>
          <w:szCs w:val="28"/>
          <w:highlight w:val="none"/>
        </w:rPr>
        <w:t>测试方法，考虑到不同证券公司的业务开展、策略选择、所面临具体风险情况等存在很大差异，在实际执行压力测试时，证券公司应根据压力测试目的，充分考虑自身业务发展规划及实际风险情况，结合当前的整体市场环境及专家判断，按照审慎原则，选择在合理性、可执行性等方面更适用于公司自身情况的压力测试参数及方法。</w:t>
      </w:r>
    </w:p>
    <w:p>
      <w:pPr>
        <w:widowControl w:val="0"/>
        <w:tabs>
          <w:tab w:val="left" w:pos="1155"/>
        </w:tabs>
        <w:spacing w:after="0" w:line="360" w:lineRule="auto"/>
        <w:ind w:firstLine="573"/>
        <w:jc w:val="both"/>
        <w:rPr>
          <w:rFonts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一、压力情景设定</w:t>
      </w:r>
    </w:p>
    <w:p>
      <w:pPr>
        <w:widowControl w:val="0"/>
        <w:tabs>
          <w:tab w:val="left" w:pos="1155"/>
        </w:tabs>
        <w:spacing w:after="0" w:line="360" w:lineRule="auto"/>
        <w:ind w:firstLine="573"/>
        <w:jc w:val="both"/>
        <w:rPr>
          <w:rFonts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（一）市场风险</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b/>
          <w:bCs/>
          <w:kern w:val="2"/>
          <w:sz w:val="28"/>
          <w:szCs w:val="28"/>
          <w:highlight w:val="none"/>
        </w:rPr>
        <w:t>1.利率类方向性业务市场风险参数设定</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利率方向性业务市场风险主要考虑因市场基准利率升高、信用债利差增大等情形导致持仓债券公允价值下跌的风险。证券公司可根据持仓组合信用评级、加权平均久期等情况选择相应市场标的作为压力测试风险因子，并根据标的在过往历史中的重大不利变动作为压力情景。</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如某证券公司利率类方向性业务主要为利率债及信用债投资持仓，组合加权平均久期约为1年，其中信用债持仓评级主要为AA级及以上。境内利率债选择中债登公布的国债1年期收益率，信用债选择中债登公布的各等级中短期票据1年期收益率作为风险因子，并分析</w:t>
      </w:r>
      <w:r>
        <w:rPr>
          <w:rFonts w:hint="eastAsia" w:ascii="仿宋_GB2312" w:hAnsi="仿宋_GB2312" w:eastAsia="仿宋_GB2312" w:cs="仿宋_GB2312"/>
          <w:kern w:val="2"/>
          <w:sz w:val="28"/>
          <w:szCs w:val="28"/>
          <w:highlight w:val="none"/>
          <w:lang w:val="en-US" w:eastAsia="zh-CN"/>
        </w:rPr>
        <w:t>20</w:t>
      </w:r>
      <w:r>
        <w:rPr>
          <w:rFonts w:hint="eastAsia" w:ascii="仿宋_GB2312" w:hAnsi="仿宋_GB2312" w:eastAsia="仿宋_GB2312" w:cs="仿宋_GB2312"/>
          <w:kern w:val="2"/>
          <w:sz w:val="28"/>
          <w:szCs w:val="28"/>
          <w:highlight w:val="none"/>
        </w:rPr>
        <w:t>17年末至</w:t>
      </w:r>
      <w:r>
        <w:rPr>
          <w:rFonts w:hint="eastAsia" w:ascii="仿宋_GB2312" w:hAnsi="仿宋_GB2312" w:eastAsia="仿宋_GB2312" w:cs="仿宋_GB2312"/>
          <w:kern w:val="2"/>
          <w:sz w:val="28"/>
          <w:szCs w:val="28"/>
          <w:highlight w:val="none"/>
          <w:lang w:val="en-US" w:eastAsia="zh-CN"/>
        </w:rPr>
        <w:t>20</w:t>
      </w:r>
      <w:r>
        <w:rPr>
          <w:rFonts w:hint="eastAsia" w:ascii="仿宋_GB2312" w:hAnsi="仿宋_GB2312" w:eastAsia="仿宋_GB2312" w:cs="仿宋_GB2312"/>
          <w:kern w:val="2"/>
          <w:sz w:val="28"/>
          <w:szCs w:val="28"/>
          <w:highlight w:val="none"/>
        </w:rPr>
        <w:t>21年末历史数据情况，见下表：</w:t>
      </w:r>
    </w:p>
    <w:p>
      <w:pPr>
        <w:spacing w:after="0" w:line="360" w:lineRule="auto"/>
        <w:ind w:firstLine="573"/>
        <w:jc w:val="both"/>
        <w:rPr>
          <w:rFonts w:ascii="仿宋_GB2312" w:hAnsi="仿宋_GB2312" w:eastAsia="仿宋_GB2312" w:cs="仿宋_GB2312"/>
          <w:sz w:val="28"/>
          <w:szCs w:val="28"/>
          <w:highlight w:val="none"/>
        </w:rPr>
      </w:pPr>
    </w:p>
    <w:p>
      <w:pPr>
        <w:spacing w:after="0" w:line="360" w:lineRule="auto"/>
        <w:ind w:firstLine="573"/>
        <w:jc w:val="both"/>
        <w:rPr>
          <w:rFonts w:ascii="仿宋_GB2312" w:hAnsi="仿宋_GB2312" w:eastAsia="仿宋_GB2312" w:cs="仿宋_GB2312"/>
          <w:sz w:val="28"/>
          <w:szCs w:val="28"/>
          <w:highlight w:val="none"/>
        </w:rPr>
      </w:pPr>
    </w:p>
    <w:p>
      <w:pPr>
        <w:spacing w:after="0" w:line="360" w:lineRule="auto"/>
        <w:ind w:firstLine="573"/>
        <w:jc w:val="both"/>
        <w:rPr>
          <w:rFonts w:ascii="仿宋_GB2312" w:hAnsi="仿宋_GB2312" w:eastAsia="仿宋_GB2312" w:cs="仿宋_GB2312"/>
          <w:sz w:val="28"/>
          <w:szCs w:val="28"/>
          <w:highlight w:val="none"/>
        </w:rPr>
      </w:pPr>
    </w:p>
    <w:tbl>
      <w:tblPr>
        <w:tblStyle w:val="1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8"/>
        <w:gridCol w:w="975"/>
        <w:gridCol w:w="1132"/>
        <w:gridCol w:w="1005"/>
        <w:gridCol w:w="990"/>
        <w:gridCol w:w="993"/>
        <w:gridCol w:w="990"/>
        <w:gridCol w:w="113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1571"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日期</w:t>
            </w:r>
          </w:p>
        </w:tc>
        <w:tc>
          <w:tcPr>
            <w:tcW w:w="976"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国债1年期收益率</w:t>
            </w:r>
          </w:p>
        </w:tc>
        <w:tc>
          <w:tcPr>
            <w:tcW w:w="1134"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年度升幅</w:t>
            </w:r>
          </w:p>
        </w:tc>
        <w:tc>
          <w:tcPr>
            <w:tcW w:w="992"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中短期票据1年期收益率（AAA）</w:t>
            </w:r>
          </w:p>
        </w:tc>
        <w:tc>
          <w:tcPr>
            <w:tcW w:w="992"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年度升幅</w:t>
            </w:r>
          </w:p>
        </w:tc>
        <w:tc>
          <w:tcPr>
            <w:tcW w:w="993"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中短期票据1年期收益率（AA+）</w:t>
            </w:r>
          </w:p>
        </w:tc>
        <w:tc>
          <w:tcPr>
            <w:tcW w:w="992"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年度升幅</w:t>
            </w:r>
          </w:p>
        </w:tc>
        <w:tc>
          <w:tcPr>
            <w:tcW w:w="1134"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中短期票据1年期收益率（AA）</w:t>
            </w:r>
          </w:p>
        </w:tc>
        <w:tc>
          <w:tcPr>
            <w:tcW w:w="992"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年度升幅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2017-12-31</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3.7909</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114 BP</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5.2155</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16 BP</w:t>
            </w:r>
          </w:p>
        </w:tc>
        <w:tc>
          <w:tcPr>
            <w:tcW w:w="993"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5.4955</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18 BP</w:t>
            </w:r>
          </w:p>
        </w:tc>
        <w:tc>
          <w:tcPr>
            <w:tcW w:w="1134"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5.6955</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13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2018-01-02</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3.6767</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92 BP</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5.0630</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26 BP</w:t>
            </w:r>
          </w:p>
        </w:tc>
        <w:tc>
          <w:tcPr>
            <w:tcW w:w="993"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5.3430</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29 BP</w:t>
            </w:r>
          </w:p>
        </w:tc>
        <w:tc>
          <w:tcPr>
            <w:tcW w:w="1134"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5.5430</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24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2018-01-03</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3.6667</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91 BP</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4.9956</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23 BP</w:t>
            </w:r>
          </w:p>
        </w:tc>
        <w:tc>
          <w:tcPr>
            <w:tcW w:w="993"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5.2756</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29 BP</w:t>
            </w:r>
          </w:p>
        </w:tc>
        <w:tc>
          <w:tcPr>
            <w:tcW w:w="1134"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5.4756</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24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776" w:type="dxa"/>
            <w:gridSpan w:val="9"/>
            <w:tcMar>
              <w:top w:w="80" w:type="dxa"/>
              <w:left w:w="80" w:type="dxa"/>
              <w:bottom w:w="80" w:type="dxa"/>
              <w:right w:w="80" w:type="dxa"/>
            </w:tcMar>
            <w:vAlign w:val="center"/>
          </w:tcPr>
          <w:p>
            <w:pPr>
              <w:spacing w:after="0" w:line="240" w:lineRule="auto"/>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2021-12-29</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2.3353</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-23 BP</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2.7938</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14 BP</w:t>
            </w:r>
          </w:p>
        </w:tc>
        <w:tc>
          <w:tcPr>
            <w:tcW w:w="993"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2.9115</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-33 BP</w:t>
            </w:r>
          </w:p>
        </w:tc>
        <w:tc>
          <w:tcPr>
            <w:tcW w:w="1134"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3.0315</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-61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2021-12-30</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2.2936</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-25 BP</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2.7729</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15 BP</w:t>
            </w:r>
          </w:p>
        </w:tc>
        <w:tc>
          <w:tcPr>
            <w:tcW w:w="993"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2.8905</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-32 BP</w:t>
            </w:r>
          </w:p>
        </w:tc>
        <w:tc>
          <w:tcPr>
            <w:tcW w:w="1134"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3.0105</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-60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2021-12-31</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2.2429</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-26 BP</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2.7515</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16 BP</w:t>
            </w:r>
          </w:p>
        </w:tc>
        <w:tc>
          <w:tcPr>
            <w:tcW w:w="993"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2.8691</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-34 BP</w:t>
            </w:r>
          </w:p>
        </w:tc>
        <w:tc>
          <w:tcPr>
            <w:tcW w:w="1134"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2.9991</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-61 BP</w:t>
            </w:r>
          </w:p>
        </w:tc>
      </w:tr>
    </w:tbl>
    <w:p>
      <w:pPr>
        <w:keepNext w:val="0"/>
        <w:keepLines w:val="0"/>
        <w:pageBreakBefore w:val="0"/>
        <w:widowControl w:val="0"/>
        <w:tabs>
          <w:tab w:val="left" w:pos="1155"/>
        </w:tabs>
        <w:kinsoku/>
        <w:wordWrap/>
        <w:overflowPunct/>
        <w:topLinePunct w:val="0"/>
        <w:autoSpaceDE/>
        <w:autoSpaceDN/>
        <w:bidi w:val="0"/>
        <w:adjustRightInd/>
        <w:snapToGrid/>
        <w:spacing w:before="361" w:beforeLines="100" w:after="0" w:line="360" w:lineRule="auto"/>
        <w:ind w:firstLine="573"/>
        <w:jc w:val="both"/>
        <w:textAlignment w:val="auto"/>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综合历史数据情况，利率债根据中债登公布的国债1年期收益率近五年在80%、90%及99%分位的年度收益率上行幅度作为基准利率的压力情景。信用债根据中债登各等级中短期票据1年期收益率近五年在80%、90%及99%分位的年度信用利差上行幅度作为各等级信用利差的压力情景，具体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29"/>
        <w:gridCol w:w="1488"/>
        <w:gridCol w:w="148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529" w:type="dxa"/>
            <w:vMerge w:val="restart"/>
            <w:shd w:val="clear" w:color="auto" w:fill="D8D8D8" w:themeFill="background1" w:themeFillShade="D9"/>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风险因子</w:t>
            </w:r>
          </w:p>
        </w:tc>
        <w:tc>
          <w:tcPr>
            <w:tcW w:w="4471" w:type="dxa"/>
            <w:gridSpan w:val="3"/>
            <w:shd w:val="clear" w:color="auto" w:fill="D8D8D8" w:themeFill="background1" w:themeFillShade="D9"/>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压力情景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3529" w:type="dxa"/>
            <w:vMerge w:val="continue"/>
            <w:shd w:val="clear" w:color="auto" w:fill="D8D8D8" w:themeFill="background1" w:themeFillShade="D9"/>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sz w:val="24"/>
                <w:szCs w:val="24"/>
                <w:highlight w:val="none"/>
              </w:rPr>
            </w:pPr>
          </w:p>
        </w:tc>
        <w:tc>
          <w:tcPr>
            <w:tcW w:w="1488" w:type="dxa"/>
            <w:shd w:val="clear" w:color="auto" w:fill="D8D8D8" w:themeFill="background1" w:themeFillShade="D9"/>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轻度压力</w:t>
            </w:r>
          </w:p>
        </w:tc>
        <w:tc>
          <w:tcPr>
            <w:tcW w:w="1488" w:type="dxa"/>
            <w:shd w:val="clear" w:color="auto" w:fill="D8D8D8" w:themeFill="background1" w:themeFillShade="D9"/>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中度压力</w:t>
            </w:r>
          </w:p>
        </w:tc>
        <w:tc>
          <w:tcPr>
            <w:tcW w:w="1493" w:type="dxa"/>
            <w:shd w:val="clear" w:color="auto" w:fill="D8D8D8" w:themeFill="background1" w:themeFillShade="D9"/>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重度压力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jc w:val="center"/>
        </w:trPr>
        <w:tc>
          <w:tcPr>
            <w:tcW w:w="3529" w:type="dxa"/>
            <w:shd w:val="clear" w:color="auto" w:fill="FFFFFF"/>
            <w:tcMar>
              <w:top w:w="80" w:type="dxa"/>
              <w:left w:w="80" w:type="dxa"/>
              <w:bottom w:w="80" w:type="dxa"/>
              <w:right w:w="80" w:type="dxa"/>
            </w:tcMar>
          </w:tcPr>
          <w:p>
            <w:pPr>
              <w:spacing w:after="0" w:line="24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基准利率和利率债利率升幅</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 BP</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70 BP</w:t>
            </w:r>
          </w:p>
        </w:tc>
        <w:tc>
          <w:tcPr>
            <w:tcW w:w="1493"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125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 w:hRule="atLeast"/>
          <w:jc w:val="center"/>
        </w:trPr>
        <w:tc>
          <w:tcPr>
            <w:tcW w:w="3529" w:type="dxa"/>
            <w:shd w:val="clear" w:color="auto" w:fill="FFFFFF"/>
            <w:tcMar>
              <w:top w:w="80" w:type="dxa"/>
              <w:left w:w="80" w:type="dxa"/>
              <w:bottom w:w="80" w:type="dxa"/>
              <w:right w:w="80" w:type="dxa"/>
            </w:tcMar>
          </w:tcPr>
          <w:p>
            <w:pPr>
              <w:spacing w:after="0" w:line="24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AAA级信用债利差升幅</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 BP</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 BP</w:t>
            </w:r>
          </w:p>
        </w:tc>
        <w:tc>
          <w:tcPr>
            <w:tcW w:w="1493"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3529" w:type="dxa"/>
            <w:shd w:val="clear" w:color="auto" w:fill="FFFFFF"/>
            <w:tcMar>
              <w:top w:w="80" w:type="dxa"/>
              <w:left w:w="80" w:type="dxa"/>
              <w:bottom w:w="80" w:type="dxa"/>
              <w:right w:w="80" w:type="dxa"/>
            </w:tcMar>
          </w:tcPr>
          <w:p>
            <w:pPr>
              <w:spacing w:after="0" w:line="24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AA+级信用债利差升幅</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 BP</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 BP</w:t>
            </w:r>
          </w:p>
        </w:tc>
        <w:tc>
          <w:tcPr>
            <w:tcW w:w="1493"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55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 w:hRule="atLeast"/>
          <w:jc w:val="center"/>
        </w:trPr>
        <w:tc>
          <w:tcPr>
            <w:tcW w:w="3529" w:type="dxa"/>
            <w:shd w:val="clear" w:color="auto" w:fill="FFFFFF"/>
            <w:tcMar>
              <w:top w:w="80" w:type="dxa"/>
              <w:left w:w="80" w:type="dxa"/>
              <w:bottom w:w="80" w:type="dxa"/>
              <w:right w:w="80" w:type="dxa"/>
            </w:tcMar>
          </w:tcPr>
          <w:p>
            <w:pPr>
              <w:spacing w:after="0" w:line="24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AA级信用债利差升幅</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 BP</w:t>
            </w:r>
          </w:p>
        </w:tc>
        <w:tc>
          <w:tcPr>
            <w:tcW w:w="1488"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35 BP</w:t>
            </w:r>
          </w:p>
        </w:tc>
        <w:tc>
          <w:tcPr>
            <w:tcW w:w="1493" w:type="dxa"/>
            <w:shd w:val="clear" w:color="auto" w:fill="FFFFF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75 BP</w:t>
            </w:r>
          </w:p>
        </w:tc>
      </w:tr>
    </w:tbl>
    <w:p>
      <w:pPr>
        <w:keepNext w:val="0"/>
        <w:keepLines w:val="0"/>
        <w:pageBreakBefore w:val="0"/>
        <w:widowControl w:val="0"/>
        <w:tabs>
          <w:tab w:val="left" w:pos="1155"/>
        </w:tabs>
        <w:kinsoku/>
        <w:wordWrap/>
        <w:overflowPunct/>
        <w:topLinePunct w:val="0"/>
        <w:autoSpaceDE/>
        <w:autoSpaceDN/>
        <w:bidi w:val="0"/>
        <w:adjustRightInd/>
        <w:snapToGrid/>
        <w:spacing w:before="361" w:beforeLines="100" w:after="0" w:line="360" w:lineRule="auto"/>
        <w:ind w:firstLine="573"/>
        <w:jc w:val="both"/>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2.利率类中性业务市场风险参数设定</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利率类中性业务市场风险主要考虑债券套利类投资策略因多空持仓债券的收益利差扩大或缩窄导致投资组合整体公允价值下跌的风险。证券公司可根据持仓策略情况，选取相应市场标的作为压力测试风险因子，并根据标的在过往历史中的重大不利变动作为压力情景。</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如某证券公司利率类中性业务主要为国债跨期套利策略，根据其核心持仓标的及策略周期情况，选取10Y国债与5Y国债利差、10Y国债与7Y国债过往五年在80%、90%、99%分位的20交易日利差收窄幅度作为压力测试情景，具体如下：</w:t>
      </w:r>
    </w:p>
    <w:tbl>
      <w:tblPr>
        <w:tblStyle w:val="1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1"/>
        <w:gridCol w:w="1476"/>
        <w:gridCol w:w="170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 w:hRule="atLeast"/>
          <w:jc w:val="center"/>
        </w:trPr>
        <w:tc>
          <w:tcPr>
            <w:tcW w:w="5061" w:type="dxa"/>
            <w:vMerge w:val="restart"/>
            <w:shd w:val="clear" w:color="auto" w:fill="D9D9D9"/>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风险因子</w:t>
            </w:r>
          </w:p>
        </w:tc>
        <w:tc>
          <w:tcPr>
            <w:tcW w:w="4750" w:type="dxa"/>
            <w:gridSpan w:val="3"/>
            <w:shd w:val="clear" w:color="auto" w:fill="D9D9D9"/>
            <w:tcMar>
              <w:top w:w="80" w:type="dxa"/>
              <w:left w:w="80" w:type="dxa"/>
              <w:bottom w:w="80" w:type="dxa"/>
              <w:right w:w="80" w:type="dxa"/>
            </w:tcMa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压力情景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5061" w:type="dxa"/>
            <w:vMerge w:val="continue"/>
            <w:shd w:val="clear" w:color="auto" w:fill="D9D9D9"/>
            <w:tcMar>
              <w:top w:w="80" w:type="dxa"/>
              <w:left w:w="80" w:type="dxa"/>
              <w:bottom w:w="80" w:type="dxa"/>
              <w:right w:w="80" w:type="dxa"/>
            </w:tcMar>
          </w:tcPr>
          <w:p>
            <w:pPr>
              <w:spacing w:after="0" w:line="240" w:lineRule="auto"/>
              <w:jc w:val="center"/>
              <w:rPr>
                <w:rFonts w:ascii="仿宋_GB2312" w:hAnsi="仿宋_GB2312" w:eastAsia="仿宋_GB2312" w:cs="仿宋_GB2312"/>
                <w:b/>
                <w:bCs/>
                <w:sz w:val="24"/>
                <w:szCs w:val="24"/>
                <w:highlight w:val="none"/>
              </w:rPr>
            </w:pPr>
          </w:p>
        </w:tc>
        <w:tc>
          <w:tcPr>
            <w:tcW w:w="1476" w:type="dxa"/>
            <w:shd w:val="clear" w:color="auto" w:fill="D9D9D9"/>
            <w:tcMar>
              <w:top w:w="80" w:type="dxa"/>
              <w:left w:w="80" w:type="dxa"/>
              <w:bottom w:w="80" w:type="dxa"/>
              <w:right w:w="80" w:type="dxa"/>
            </w:tcMa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轻度压力</w:t>
            </w:r>
          </w:p>
        </w:tc>
        <w:tc>
          <w:tcPr>
            <w:tcW w:w="1701" w:type="dxa"/>
            <w:shd w:val="clear" w:color="auto" w:fill="D9D9D9"/>
            <w:tcMar>
              <w:top w:w="80" w:type="dxa"/>
              <w:left w:w="80" w:type="dxa"/>
              <w:bottom w:w="80" w:type="dxa"/>
              <w:right w:w="80" w:type="dxa"/>
            </w:tcMa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中度压力</w:t>
            </w:r>
          </w:p>
        </w:tc>
        <w:tc>
          <w:tcPr>
            <w:tcW w:w="1573" w:type="dxa"/>
            <w:shd w:val="clear" w:color="auto" w:fill="D9D9D9"/>
            <w:tcMar>
              <w:top w:w="80" w:type="dxa"/>
              <w:left w:w="80" w:type="dxa"/>
              <w:bottom w:w="80" w:type="dxa"/>
              <w:right w:w="80" w:type="dxa"/>
            </w:tcMa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重度压力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061" w:type="dxa"/>
            <w:tcMar>
              <w:top w:w="80" w:type="dxa"/>
              <w:left w:w="80" w:type="dxa"/>
              <w:bottom w:w="80" w:type="dxa"/>
              <w:right w:w="80" w:type="dxa"/>
            </w:tcMar>
          </w:tcPr>
          <w:p>
            <w:pPr>
              <w:spacing w:after="0" w:line="240" w:lineRule="auto"/>
              <w:jc w:val="both"/>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国债利差收窄幅度（10Y国债与5Y国债利差）</w:t>
            </w:r>
          </w:p>
        </w:tc>
        <w:tc>
          <w:tcPr>
            <w:tcW w:w="14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BP</w:t>
            </w:r>
          </w:p>
        </w:tc>
        <w:tc>
          <w:tcPr>
            <w:tcW w:w="1701"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BP</w:t>
            </w:r>
          </w:p>
        </w:tc>
        <w:tc>
          <w:tcPr>
            <w:tcW w:w="1573"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5061" w:type="dxa"/>
            <w:tcMar>
              <w:top w:w="80" w:type="dxa"/>
              <w:left w:w="80" w:type="dxa"/>
              <w:bottom w:w="80" w:type="dxa"/>
              <w:right w:w="80" w:type="dxa"/>
            </w:tcMar>
          </w:tcPr>
          <w:p>
            <w:pPr>
              <w:spacing w:after="0" w:line="240" w:lineRule="auto"/>
              <w:jc w:val="both"/>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国债利差收窄幅度（10Y国债与7Y国债利差）</w:t>
            </w:r>
          </w:p>
        </w:tc>
        <w:tc>
          <w:tcPr>
            <w:tcW w:w="14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BP</w:t>
            </w:r>
          </w:p>
        </w:tc>
        <w:tc>
          <w:tcPr>
            <w:tcW w:w="1701"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BP</w:t>
            </w:r>
          </w:p>
        </w:tc>
        <w:tc>
          <w:tcPr>
            <w:tcW w:w="1573"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 BP</w:t>
            </w:r>
          </w:p>
        </w:tc>
      </w:tr>
    </w:tbl>
    <w:p>
      <w:pPr>
        <w:keepNext w:val="0"/>
        <w:keepLines w:val="0"/>
        <w:pageBreakBefore w:val="0"/>
        <w:widowControl w:val="0"/>
        <w:tabs>
          <w:tab w:val="left" w:pos="1155"/>
        </w:tabs>
        <w:kinsoku/>
        <w:wordWrap/>
        <w:overflowPunct/>
        <w:topLinePunct w:val="0"/>
        <w:autoSpaceDE/>
        <w:autoSpaceDN/>
        <w:bidi w:val="0"/>
        <w:adjustRightInd/>
        <w:snapToGrid/>
        <w:spacing w:before="361" w:beforeLines="100" w:after="0" w:line="360" w:lineRule="auto"/>
        <w:ind w:firstLine="573"/>
        <w:jc w:val="both"/>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3.权益类方向性业务市场风险参数设定</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权益类方向性业务市场风险主要考虑股票或权益类基金持仓市值发生下跌导致亏损的风险。证券公司可根据自身权益方向性业务持仓情况，选取相应的一个或多个股票指数作为压力测试风险因子，并根据指数在过往历史的重大不利变动作为压力情景。</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如某证券公司根据自身权益方向性业务的持仓分布情况，选取沪深300指数、中证500指数、中证1000指数和恒生指数作为风险因子，并分析上述指数</w:t>
      </w:r>
      <w:r>
        <w:rPr>
          <w:rFonts w:hint="eastAsia" w:ascii="仿宋_GB2312" w:hAnsi="仿宋_GB2312" w:eastAsia="仿宋_GB2312" w:cs="仿宋_GB2312"/>
          <w:kern w:val="2"/>
          <w:sz w:val="28"/>
          <w:szCs w:val="28"/>
          <w:highlight w:val="none"/>
          <w:lang w:val="en-US" w:eastAsia="zh-CN"/>
        </w:rPr>
        <w:t>20</w:t>
      </w:r>
      <w:r>
        <w:rPr>
          <w:rFonts w:hint="eastAsia" w:ascii="仿宋_GB2312" w:hAnsi="仿宋_GB2312" w:eastAsia="仿宋_GB2312" w:cs="仿宋_GB2312"/>
          <w:kern w:val="2"/>
          <w:sz w:val="28"/>
          <w:szCs w:val="28"/>
          <w:highlight w:val="none"/>
        </w:rPr>
        <w:t>17年末至</w:t>
      </w:r>
      <w:r>
        <w:rPr>
          <w:rFonts w:hint="eastAsia" w:ascii="仿宋_GB2312" w:hAnsi="仿宋_GB2312" w:eastAsia="仿宋_GB2312" w:cs="仿宋_GB2312"/>
          <w:kern w:val="2"/>
          <w:sz w:val="28"/>
          <w:szCs w:val="28"/>
          <w:highlight w:val="none"/>
          <w:lang w:val="en-US" w:eastAsia="zh-CN"/>
        </w:rPr>
        <w:t>20</w:t>
      </w:r>
      <w:r>
        <w:rPr>
          <w:rFonts w:hint="eastAsia" w:ascii="仿宋_GB2312" w:hAnsi="仿宋_GB2312" w:eastAsia="仿宋_GB2312" w:cs="仿宋_GB2312"/>
          <w:kern w:val="2"/>
          <w:sz w:val="28"/>
          <w:szCs w:val="28"/>
          <w:highlight w:val="none"/>
        </w:rPr>
        <w:t>21年末的年度跌幅情况，详见下表：</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p>
    <w:tbl>
      <w:tblPr>
        <w:tblStyle w:val="1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9"/>
        <w:gridCol w:w="1000"/>
        <w:gridCol w:w="1130"/>
        <w:gridCol w:w="1000"/>
        <w:gridCol w:w="988"/>
        <w:gridCol w:w="991"/>
        <w:gridCol w:w="988"/>
        <w:gridCol w:w="1132"/>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1571"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日期</w:t>
            </w:r>
          </w:p>
        </w:tc>
        <w:tc>
          <w:tcPr>
            <w:tcW w:w="976"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沪深</w:t>
            </w:r>
            <w:r>
              <w:rPr>
                <w:rFonts w:ascii="仿宋_GB2312" w:hAnsi="仿宋_GB2312" w:eastAsia="仿宋_GB2312" w:cs="仿宋_GB2312"/>
                <w:b/>
                <w:bCs/>
                <w:color w:val="000000"/>
                <w:sz w:val="24"/>
                <w:szCs w:val="24"/>
                <w:highlight w:val="none"/>
              </w:rPr>
              <w:t>300</w:t>
            </w:r>
          </w:p>
        </w:tc>
        <w:tc>
          <w:tcPr>
            <w:tcW w:w="1134"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年度跌幅</w:t>
            </w:r>
          </w:p>
        </w:tc>
        <w:tc>
          <w:tcPr>
            <w:tcW w:w="992" w:type="dxa"/>
            <w:shd w:val="clear" w:color="auto" w:fill="BEBEBE" w:themeFill="background1" w:themeFillShade="BF"/>
            <w:tcMar>
              <w:top w:w="80" w:type="dxa"/>
              <w:left w:w="80" w:type="dxa"/>
              <w:bottom w:w="80" w:type="dxa"/>
              <w:right w:w="80" w:type="dxa"/>
            </w:tcMar>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中证</w:t>
            </w:r>
            <w:r>
              <w:rPr>
                <w:rFonts w:ascii="仿宋_GB2312" w:hAnsi="仿宋_GB2312" w:eastAsia="仿宋_GB2312" w:cs="仿宋_GB2312"/>
                <w:b/>
                <w:bCs/>
                <w:color w:val="000000"/>
                <w:sz w:val="24"/>
                <w:szCs w:val="24"/>
                <w:highlight w:val="none"/>
              </w:rPr>
              <w:t>500</w:t>
            </w:r>
          </w:p>
        </w:tc>
        <w:tc>
          <w:tcPr>
            <w:tcW w:w="992"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年度跌幅</w:t>
            </w:r>
          </w:p>
        </w:tc>
        <w:tc>
          <w:tcPr>
            <w:tcW w:w="993"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中证</w:t>
            </w:r>
            <w:r>
              <w:rPr>
                <w:rFonts w:ascii="仿宋_GB2312" w:hAnsi="仿宋_GB2312" w:eastAsia="仿宋_GB2312" w:cs="仿宋_GB2312"/>
                <w:b/>
                <w:bCs/>
                <w:color w:val="000000"/>
                <w:sz w:val="24"/>
                <w:szCs w:val="24"/>
                <w:highlight w:val="none"/>
              </w:rPr>
              <w:t>1000</w:t>
            </w:r>
          </w:p>
        </w:tc>
        <w:tc>
          <w:tcPr>
            <w:tcW w:w="992"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年度跌幅</w:t>
            </w:r>
          </w:p>
        </w:tc>
        <w:tc>
          <w:tcPr>
            <w:tcW w:w="1134"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恒生指数</w:t>
            </w:r>
          </w:p>
        </w:tc>
        <w:tc>
          <w:tcPr>
            <w:tcW w:w="992" w:type="dxa"/>
            <w:shd w:val="clear" w:color="auto" w:fill="BEBEBE" w:themeFill="background1" w:themeFillShade="BF"/>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年度跌幅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2017-12-29</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4030.85</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21.78%</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6250.82</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-0.20%</w:t>
            </w:r>
          </w:p>
        </w:tc>
        <w:tc>
          <w:tcPr>
            <w:tcW w:w="993"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7017.35</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-17.35%</w:t>
            </w:r>
          </w:p>
        </w:tc>
        <w:tc>
          <w:tcPr>
            <w:tcW w:w="1134"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29919.15</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2018-01-02</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4087.40</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22.30%</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6332.23</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0.18%</w:t>
            </w:r>
          </w:p>
        </w:tc>
        <w:tc>
          <w:tcPr>
            <w:tcW w:w="993"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7092.09</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-17.20%</w:t>
            </w:r>
          </w:p>
        </w:tc>
        <w:tc>
          <w:tcPr>
            <w:tcW w:w="1134"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30515.31</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37.76%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2018-01-03</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4111.39</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22.06%</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6388.25</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-0.10%</w:t>
            </w:r>
          </w:p>
        </w:tc>
        <w:tc>
          <w:tcPr>
            <w:tcW w:w="993"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7159.88</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-17.42%</w:t>
            </w:r>
          </w:p>
        </w:tc>
        <w:tc>
          <w:tcPr>
            <w:tcW w:w="1134"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30560.95</w:t>
            </w:r>
          </w:p>
        </w:tc>
        <w:tc>
          <w:tcPr>
            <w:tcW w:w="992" w:type="dxa"/>
            <w:vAlign w:val="center"/>
          </w:tcPr>
          <w:p>
            <w:pPr>
              <w:spacing w:after="0" w:line="240" w:lineRule="auto"/>
              <w:jc w:val="center"/>
              <w:rPr>
                <w:rFonts w:ascii="仿宋_GB2312" w:hAnsi="仿宋_GB2312" w:eastAsia="仿宋_GB2312" w:cs="仿宋_GB2312"/>
                <w:sz w:val="24"/>
                <w:szCs w:val="24"/>
                <w:highlight w:val="none"/>
              </w:rPr>
            </w:pPr>
            <w:r>
              <w:rPr>
                <w:rFonts w:ascii="仿宋_GB2312" w:hAnsi="仿宋_GB2312" w:eastAsia="仿宋_GB2312" w:cs="仿宋_GB2312"/>
                <w:color w:val="000000"/>
                <w:sz w:val="24"/>
                <w:szCs w:val="24"/>
                <w:highlight w:val="none"/>
              </w:rPr>
              <w:t>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rPr>
        <w:tc>
          <w:tcPr>
            <w:tcW w:w="9776" w:type="dxa"/>
            <w:gridSpan w:val="9"/>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2021-12-29</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4883.48</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-3.57%</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7247.77</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16.07%</w:t>
            </w:r>
          </w:p>
        </w:tc>
        <w:tc>
          <w:tcPr>
            <w:tcW w:w="993"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7855.43</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20.49%</w:t>
            </w:r>
          </w:p>
        </w:tc>
        <w:tc>
          <w:tcPr>
            <w:tcW w:w="1134"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23086.54</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2021-12-30</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4921.51</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-2.41%</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7310.96</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17.92%</w:t>
            </w:r>
          </w:p>
        </w:tc>
        <w:tc>
          <w:tcPr>
            <w:tcW w:w="993"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7924.53</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22.34%</w:t>
            </w:r>
          </w:p>
        </w:tc>
        <w:tc>
          <w:tcPr>
            <w:tcW w:w="1134"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23112.01</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rPr>
        <w:tc>
          <w:tcPr>
            <w:tcW w:w="1571" w:type="dxa"/>
            <w:tcMar>
              <w:top w:w="80" w:type="dxa"/>
              <w:left w:w="80" w:type="dxa"/>
              <w:bottom w:w="80" w:type="dxa"/>
              <w:right w:w="80" w:type="dxa"/>
            </w:tcMar>
            <w:vAlign w:val="center"/>
          </w:tcPr>
          <w:p>
            <w:pPr>
              <w:spacing w:after="0" w:line="240" w:lineRule="auto"/>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2021-12-31</w:t>
            </w:r>
          </w:p>
        </w:tc>
        <w:tc>
          <w:tcPr>
            <w:tcW w:w="976"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4940.37</w:t>
            </w:r>
          </w:p>
        </w:tc>
        <w:tc>
          <w:tcPr>
            <w:tcW w:w="1134"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-3.39%</w:t>
            </w:r>
          </w:p>
        </w:tc>
        <w:tc>
          <w:tcPr>
            <w:tcW w:w="992" w:type="dxa"/>
            <w:tcMar>
              <w:top w:w="80" w:type="dxa"/>
              <w:left w:w="80" w:type="dxa"/>
              <w:bottom w:w="80" w:type="dxa"/>
              <w:right w:w="80" w:type="dxa"/>
            </w:tcMar>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7359.40</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17.39%</w:t>
            </w:r>
          </w:p>
        </w:tc>
        <w:tc>
          <w:tcPr>
            <w:tcW w:w="993"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8010.32</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22.73%</w:t>
            </w:r>
          </w:p>
        </w:tc>
        <w:tc>
          <w:tcPr>
            <w:tcW w:w="1134"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23397.67</w:t>
            </w:r>
          </w:p>
        </w:tc>
        <w:tc>
          <w:tcPr>
            <w:tcW w:w="992" w:type="dxa"/>
            <w:vAlign w:val="center"/>
          </w:tcPr>
          <w:p>
            <w:pPr>
              <w:spacing w:after="0" w:line="240" w:lineRule="auto"/>
              <w:jc w:val="center"/>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-13.81%</w:t>
            </w:r>
          </w:p>
        </w:tc>
      </w:tr>
    </w:tbl>
    <w:p>
      <w:pPr>
        <w:keepNext w:val="0"/>
        <w:keepLines w:val="0"/>
        <w:pageBreakBefore w:val="0"/>
        <w:widowControl/>
        <w:kinsoku/>
        <w:wordWrap/>
        <w:overflowPunct/>
        <w:topLinePunct w:val="0"/>
        <w:autoSpaceDE/>
        <w:autoSpaceDN/>
        <w:bidi w:val="0"/>
        <w:adjustRightInd/>
        <w:snapToGrid/>
        <w:spacing w:before="181" w:beforeLines="50" w:after="0" w:line="360" w:lineRule="auto"/>
        <w:ind w:firstLine="573"/>
        <w:jc w:val="both"/>
        <w:textAlignment w:val="auto"/>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参照各指数年度跌幅选取80%、90%及99%分位点数据作为压力情景参数（详见下表）具体如下：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82"/>
        <w:gridCol w:w="1627"/>
        <w:gridCol w:w="162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jc w:val="center"/>
        </w:trPr>
        <w:tc>
          <w:tcPr>
            <w:tcW w:w="2182" w:type="dxa"/>
            <w:vMerge w:val="restart"/>
            <w:shd w:val="clear" w:color="auto" w:fill="BEBEBE" w:themeFill="background1" w:themeFillShade="BF"/>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风险因子</w:t>
            </w:r>
          </w:p>
        </w:tc>
        <w:tc>
          <w:tcPr>
            <w:tcW w:w="4683" w:type="dxa"/>
            <w:gridSpan w:val="3"/>
            <w:shd w:val="clear" w:color="auto" w:fill="BEBEBE" w:themeFill="background1" w:themeFillShade="BF"/>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压力情景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182" w:type="dxa"/>
            <w:vMerge w:val="continue"/>
            <w:shd w:val="clear" w:color="auto" w:fill="BEBEBE" w:themeFill="background1" w:themeFillShade="BF"/>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b/>
                <w:bCs/>
                <w:sz w:val="24"/>
                <w:szCs w:val="24"/>
                <w:highlight w:val="none"/>
              </w:rPr>
            </w:pPr>
          </w:p>
        </w:tc>
        <w:tc>
          <w:tcPr>
            <w:tcW w:w="1627" w:type="dxa"/>
            <w:shd w:val="clear" w:color="auto" w:fill="BEBEBE" w:themeFill="background1" w:themeFillShade="BF"/>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轻度压力</w:t>
            </w:r>
          </w:p>
        </w:tc>
        <w:tc>
          <w:tcPr>
            <w:tcW w:w="1627" w:type="dxa"/>
            <w:shd w:val="clear" w:color="auto" w:fill="BEBEBE" w:themeFill="background1" w:themeFillShade="BF"/>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中度压力</w:t>
            </w:r>
          </w:p>
        </w:tc>
        <w:tc>
          <w:tcPr>
            <w:tcW w:w="1429" w:type="dxa"/>
            <w:shd w:val="clear" w:color="auto" w:fill="BEBEBE" w:themeFill="background1" w:themeFillShade="BF"/>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重度压力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2182" w:type="dxa"/>
            <w:tcMar>
              <w:top w:w="80" w:type="dxa"/>
              <w:left w:w="80" w:type="dxa"/>
              <w:bottom w:w="80" w:type="dxa"/>
              <w:right w:w="80" w:type="dxa"/>
            </w:tcMa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沪深300指数</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-6%</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-14%</w:t>
            </w:r>
          </w:p>
        </w:tc>
        <w:tc>
          <w:tcPr>
            <w:tcW w:w="1429"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 w:hRule="atLeast"/>
          <w:jc w:val="center"/>
        </w:trPr>
        <w:tc>
          <w:tcPr>
            <w:tcW w:w="2182" w:type="dxa"/>
            <w:tcMar>
              <w:top w:w="80" w:type="dxa"/>
              <w:left w:w="80" w:type="dxa"/>
              <w:bottom w:w="80" w:type="dxa"/>
              <w:right w:w="80" w:type="dxa"/>
            </w:tcMa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中证500指数</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-14%</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-27%</w:t>
            </w:r>
          </w:p>
        </w:tc>
        <w:tc>
          <w:tcPr>
            <w:tcW w:w="1429"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 w:hRule="atLeast"/>
          <w:jc w:val="center"/>
        </w:trPr>
        <w:tc>
          <w:tcPr>
            <w:tcW w:w="2182" w:type="dxa"/>
            <w:tcMar>
              <w:top w:w="80" w:type="dxa"/>
              <w:left w:w="80" w:type="dxa"/>
              <w:bottom w:w="80" w:type="dxa"/>
              <w:right w:w="80" w:type="dxa"/>
            </w:tcMa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中证1000指数</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-21%</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-33%</w:t>
            </w:r>
          </w:p>
        </w:tc>
        <w:tc>
          <w:tcPr>
            <w:tcW w:w="1429"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 w:hRule="atLeast"/>
          <w:jc w:val="center"/>
        </w:trPr>
        <w:tc>
          <w:tcPr>
            <w:tcW w:w="2182" w:type="dxa"/>
            <w:tcMar>
              <w:top w:w="80" w:type="dxa"/>
              <w:left w:w="80" w:type="dxa"/>
              <w:bottom w:w="80" w:type="dxa"/>
              <w:right w:w="80" w:type="dxa"/>
            </w:tcMa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恒生指数</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-10%</w:t>
            </w:r>
          </w:p>
        </w:tc>
        <w:tc>
          <w:tcPr>
            <w:tcW w:w="1627"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-13%</w:t>
            </w:r>
          </w:p>
        </w:tc>
        <w:tc>
          <w:tcPr>
            <w:tcW w:w="1429" w:type="dxa"/>
            <w:tcMar>
              <w:top w:w="80" w:type="dxa"/>
              <w:left w:w="80" w:type="dxa"/>
              <w:bottom w:w="80" w:type="dxa"/>
              <w:right w:w="80" w:type="dxa"/>
            </w:tcMar>
            <w:vAlign w:val="center"/>
          </w:tcPr>
          <w:p>
            <w:pPr>
              <w:spacing w:after="0" w:line="240" w:lineRule="auto"/>
              <w:ind w:firstLine="2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-20%</w:t>
            </w:r>
          </w:p>
        </w:tc>
      </w:tr>
    </w:tbl>
    <w:p>
      <w:pPr>
        <w:keepNext w:val="0"/>
        <w:keepLines w:val="0"/>
        <w:pageBreakBefore w:val="0"/>
        <w:widowControl w:val="0"/>
        <w:tabs>
          <w:tab w:val="left" w:pos="1155"/>
        </w:tabs>
        <w:kinsoku/>
        <w:wordWrap/>
        <w:overflowPunct/>
        <w:topLinePunct w:val="0"/>
        <w:autoSpaceDE/>
        <w:autoSpaceDN/>
        <w:bidi w:val="0"/>
        <w:adjustRightInd/>
        <w:snapToGrid/>
        <w:spacing w:before="361" w:beforeLines="100" w:after="0" w:line="360" w:lineRule="auto"/>
        <w:ind w:firstLine="573"/>
        <w:jc w:val="both"/>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4.权益类中性业务市场风险参数设定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权益类中性业务市场风险主要指策略为中性的权益类套利业务、场外期权、场内期权做市和收益互换业务等。其中，权益类套利业务可比照利率中性类业务压力测试方法，将多空端持仓价差或基差的不利变动情况作为风险因子。另外，收益互换业务因对冲后组合受市场涨跌影响较小，主要暴露信用风险，在此不进行展开。此处主要考虑场内期权做市、场外期权业务因标的价格、波动率变动导致组合公允价值下跌的风险。</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（1）期权重估值法</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期权重估值法主要指通过将压力情景下期权标的价格、波动率参数代入期权估值模型进行重新估值，并通过与测试基期期权估值进行比较从而测算压力下期权合约公允价值变动情况。证券公司可根据期权合约及对冲标的持仓情况，选取相应市场标的价格、波动率作为压力测试风险因子，根据价格、波动率在过往历史的大幅变动作为压力情景参数。对于采取中性对冲策略的期权业务，应同时考虑压力情景下期权合约和对冲持仓的组合影响，并可根据自身具体对冲策略优化调整相应压力情景参数。</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考虑到期权类型、合约分布等因素影响，期权标的价格、波动率对期权价值的影响未必呈单调性，因此期权业务损失最大情形未必发生在标的价格、波动率变动幅度最大的情景，证券公司可根据实际测试情况对压力情景进行调整。</w:t>
      </w:r>
    </w:p>
    <w:p>
      <w:pPr>
        <w:spacing w:after="0" w:line="360" w:lineRule="auto"/>
        <w:ind w:firstLine="573"/>
        <w:jc w:val="both"/>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如某证券公司主要开展场内期权做市（50ETF）及场外期权（标的主要为中证500指数或其成分股），可相应选取50ETF、中证500指数价格及波动率变动作为压力测试风险因子，根据过往五年在80%、90%、99%分位的3个交易日的不利变动作为压力情景参数。</w:t>
      </w:r>
    </w:p>
    <w:p>
      <w:pPr>
        <w:pStyle w:val="31"/>
        <w:spacing w:after="0" w:line="360" w:lineRule="auto"/>
        <w:ind w:firstLine="573" w:firstLineChars="0"/>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（2）Vega损失测算法</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对于期权组合主要为暴露单边波动率风险（如做空Vega策略）而Gamma、Theta整体敞口较小的策略，可通过压力情景下波动率变动导致的Vega损失对期权组合进行损失测算。证券公司可根据业务情况，选取用于压力测试的Vega敞口规模，并参照标的波动率在过往历史的大幅变动作为压力情景参数，测算Vega损失。</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此方法不适用于Vega敞口正负波动较大的期权投资策略，也不适用于Vega可随标的价格变动而改变正负符号的期权结构，如障碍期权、雪球期权等。</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5.商品及外汇类业务市场风险参数设定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商品及外汇类业务市场风险主要考虑因商品类合约价值、汇率波动导致公司商品类合约及外币持仓价值下跌的风险。证券公司应结合持仓品种与策略类型，选取相应市场标的作为风险因子，根据过往历史标的价格不利变动情况，对商品类合约及外币持仓价值的影响。</w:t>
      </w:r>
    </w:p>
    <w:p>
      <w:pPr>
        <w:widowControl w:val="0"/>
        <w:tabs>
          <w:tab w:val="left" w:pos="1155"/>
        </w:tabs>
        <w:spacing w:after="0" w:line="360" w:lineRule="auto"/>
        <w:ind w:firstLine="573"/>
        <w:jc w:val="both"/>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6.股权投资业务市场风险参数设定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股权投资业务主要指私募子公司、另类子公司或境外子公司通过私募股权基金、股权直投项目等方式开展的股权投资业务，不含战略性长期股权投资。</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此部分主要针对非上市股权投资压力测试，已上市项目可参照权益类方向性业务市场风险压力情景设定。非上市公司因存在市场公开信息少、流动性风险较大等情况，证券公司可根据被投项目实际风险、资产流动性、市场环境等信息，结合专家判断，按照审慎原则对压力测试参数进行调整。</w:t>
      </w:r>
    </w:p>
    <w:p>
      <w:pPr>
        <w:pStyle w:val="31"/>
        <w:spacing w:after="0" w:line="360" w:lineRule="auto"/>
        <w:ind w:firstLine="573" w:firstLineChars="0"/>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（1）同业比照法</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证券公司可选择非上市公司所处行业或所对应的同业已上市公司公开信息作为压力情景参数。如根据非上市公司所处行业，选取该行业所对应指数，并根据指数在过往历史的不利变动作为压力情景；或根据非上市公司，选取经营与风险情况与其相似的已上市公司，并根据已上市公司历史年份的平均不利跌幅作为压力情景参数。并考虑非上市股权流动性等情况，对上述参数结果进行流动性折扣及其他调整。</w:t>
      </w:r>
    </w:p>
    <w:p>
      <w:pPr>
        <w:pStyle w:val="31"/>
        <w:spacing w:after="0" w:line="360" w:lineRule="auto"/>
        <w:ind w:firstLine="573" w:firstLineChars="0"/>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（2）业务历史数据法</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市场同业信息不便获取或与公司股权投资业务实际表现差异较大，证券公司可通过自身股权直投项目或私募股权基金过往历史的实际极端不利表现作为压力情景参数。如某证券公司根据过往开展的股权投资项目年度估值变化情况，选择80%、90%、99%分位下年度估值极端下跌情况作为压力情景。</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7.资管产品投资业务市场风险参数设定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此处资管产品主要指证券公司通过公募基金、私募投资基金、信托产品、资管计划等主要投资于二级债券与股票市场的产品，不含私募股权投资基金、非标类信托产品等。</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证券公司可根据资管产品与主要投资市场的风险因子的相关性，参照前篇所述风险因子的压力程度，或通过资管产品过往历史的实际极端不利表现作为压力情景参数。如某证券公司根据历史过往资管产品的年度估值变化情况，选择80%、90%、99%分位下年度估值极端下跌幅度作为压力情景参数。</w:t>
      </w:r>
    </w:p>
    <w:p>
      <w:pPr>
        <w:keepNext w:val="0"/>
        <w:keepLines w:val="0"/>
        <w:pageBreakBefore w:val="0"/>
        <w:widowControl w:val="0"/>
        <w:tabs>
          <w:tab w:val="left" w:pos="1155"/>
        </w:tabs>
        <w:kinsoku/>
        <w:wordWrap/>
        <w:overflowPunct/>
        <w:topLinePunct w:val="0"/>
        <w:autoSpaceDE/>
        <w:autoSpaceDN/>
        <w:bidi w:val="0"/>
        <w:adjustRightInd/>
        <w:snapToGrid/>
        <w:spacing w:after="0" w:line="360" w:lineRule="auto"/>
        <w:ind w:firstLine="573"/>
        <w:jc w:val="both"/>
        <w:textAlignment w:val="auto"/>
        <w:rPr>
          <w:rFonts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（二）信用风险</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1.固定收益业务信用风险参数设定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固定收益业务信用风险主要指持仓债券的发行人无法履行到期还款约定的风险。证券公司可根据各等级债券面临的违约概率、违约回收率情况计算信用损失率，并结合债券敞口对固定收益业务的信用风险进行压力测试，即固定收益业务信用风险预期损失=债券敞口×固定收益业务信用损失率，固定收益业务信用损失率=违约概率×(1-违约回收率)。</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违约概率方面，可参照公司内部评级或业务历史违约率数据设定各等级债券在轻度、中度、重度压力情景下的违约概率参数；或可参照历史各等级债券的市场违约率数据，如根据穆迪公布的各等级债券历史违约率情况，选取各等级债券在80%、90%、99%分位的历史违约率作为该评级在轻度、中度和重度压力情景下的违约概率，其中对于境内和境外债券评级差异，可通过合理映射关系进行映射匹配，如参照证券公司并表风险控制指标监管报表中国际国内信用评级对照表将各等级通过数量方法映射。违约回收率方面，可根据公司业务历史数据进行设定，或参照巴塞尔委员会推荐的无抵押普通债务的回收率为55%，在各压力情景下将违约回收率逐步下降，如将轻度压力下的回收率设为45%，中度与重度压力下的回收率逐步下降至35%和25%。</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2.融资类业务信用风险参数设定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融资类业务信用风险主要指客户无法履行融资类业务合约约定，导致公司亏损的情况。证券公司可根据融资类业务风险敞口、违约概率和违约资产追偿回收率情况，并结合公司担保品计算、最低履约保障比例要求等情况，对融资类业务信用风险进行压力测试，融资类业务信用风险预期损失=融资类业务风险敞口×融资类业务信用损失率，融资类业务信用损失率=信用风险敞口比例×违约概率×(1-违约资产追偿回收率)。</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信用风险敞口比例主要反映融资类业务在压力情景下担保品价值缩水、履约保证金比例下滑，导致信用风险敞口扩大的情况。信用风险敞口比例=Max{1-压力下客户有效资产/客户负债,0}，其中</w:t>
      </w:r>
      <w:bookmarkStart w:id="3" w:name="_Hlk120625866"/>
      <w:r>
        <w:rPr>
          <w:rFonts w:hint="eastAsia" w:ascii="仿宋_GB2312" w:hAnsi="仿宋_GB2312" w:eastAsia="仿宋_GB2312" w:cs="仿宋_GB2312"/>
          <w:kern w:val="2"/>
          <w:sz w:val="28"/>
          <w:szCs w:val="28"/>
          <w:highlight w:val="none"/>
        </w:rPr>
        <w:t>压力下客户有效资产</w:t>
      </w:r>
      <w:bookmarkEnd w:id="3"/>
      <w:r>
        <w:rPr>
          <w:rFonts w:hint="eastAsia" w:ascii="仿宋_GB2312" w:hAnsi="仿宋_GB2312" w:eastAsia="仿宋_GB2312" w:cs="仿宋_GB2312"/>
          <w:kern w:val="2"/>
          <w:sz w:val="28"/>
          <w:szCs w:val="28"/>
          <w:highlight w:val="none"/>
        </w:rPr>
        <w:t>为客户担保品在压力情景下的市值。</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违约概率及违约资产追偿回收率可根据公司业务历史数据进行设定，违约资产追偿回收率可参照巴塞尔委员会推荐的无抵押普通债务回收率为55%，将轻度压力下的违约资产追偿回收率设为45%，中度与重度压力下的回收率分别逐步下降至35%和25%。</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3.交易对手类业务信用风险参数设定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交易对手类业务信用风险主要指场外期权、收益互换等业务中因交易对手方未履行合约义务导致发生信用违约损失。证券公司可测算压力下交易对手类业务风险敞口情况，结合交易对手违约概率及违约回收率，对交易对手类业务信用风险进行压力测试，即交易对手类业务信用风险预期损失=交易对手类业务风险敞口×交易对手违约概率×（1-违约回收率）。</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压力下交易对手业务风险敞口方面，可参照权益类、利率类等市场风险压力情景参数，测算压力下合约市值变化，即Max{压力情景下合约价值-非现金担保品市值-现金保证金，0}，并考虑客户未能及时追保，使得信用风险暴露增加。若存在对交易对手类授信额度占用，也应视情况纳入风险敞口计算。</w:t>
      </w:r>
    </w:p>
    <w:p>
      <w:pPr>
        <w:spacing w:after="0" w:line="360" w:lineRule="auto"/>
        <w:ind w:firstLine="573"/>
        <w:jc w:val="both"/>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交易对手违约概率及违约回收率可根据交易对手类型，并结合市场及公司业务历史数据等进行综合设定。</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（三）操作风险</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操作风险压力测试主要考虑公司在压力下，因不完善或有问题的内部程序、人员及系统或外部事件导致发生损失。因操作风险事件不规律性强、市场公开数据少、各公司操作风险管理存在差异等，证券公司可结合自身情况，通过行业历史数据、或监管指标等方法对操作风险压力情景参数进行设定。</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ascii="仿宋_GB2312" w:hAnsi="仿宋_GB2312" w:eastAsia="仿宋_GB2312" w:cs="仿宋_GB2312"/>
          <w:b/>
          <w:bCs/>
          <w:sz w:val="28"/>
          <w:szCs w:val="28"/>
          <w:highlight w:val="none"/>
        </w:rPr>
        <w:t>1.历史数据法</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证券公司可参照内部及行业公开的历史操作风险事件及损失情况，结合公司自身系统建设、流程优化、专业人员配备、风险限额指标、风险缓释措施等情况，综合设定操作风险压力情景参数。对于未造成实际损失的操作风险事件，可预估同类事件在压力下的损失金额，以完善统计样本。</w:t>
      </w:r>
    </w:p>
    <w:p>
      <w:pPr>
        <w:widowControl w:val="0"/>
        <w:tabs>
          <w:tab w:val="left" w:pos="1155"/>
        </w:tabs>
        <w:spacing w:after="0" w:line="360" w:lineRule="auto"/>
        <w:ind w:firstLine="573"/>
        <w:jc w:val="both"/>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2.监管指标法</w:t>
      </w:r>
    </w:p>
    <w:p>
      <w:pPr>
        <w:widowControl w:val="0"/>
        <w:tabs>
          <w:tab w:val="left" w:pos="1155"/>
        </w:tabs>
        <w:spacing w:after="0" w:line="360" w:lineRule="auto"/>
        <w:ind w:firstLine="573"/>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证券公司可参照操作风险资本准备占营业收入比例作为极端操作风险损失的基准情景，通过假定损失概率分布并取分位点作为压力情景下的操作风险损失比例参数。如某证券公司以近五年操作风险资本准备占营业收入的平均比例作为单侧标准正态分布函数</w:t>
      </w:r>
      <w:r>
        <w:rPr>
          <w:rFonts w:ascii="仿宋_GB2312" w:hAnsi="仿宋_GB2312" w:eastAsia="仿宋_GB2312" w:cs="仿宋_GB2312"/>
          <w:sz w:val="28"/>
          <w:szCs w:val="28"/>
          <w:highlight w:val="none"/>
        </w:rPr>
        <w:t>99.9</w:t>
      </w:r>
      <w:r>
        <w:rPr>
          <w:rFonts w:hint="eastAsia" w:ascii="仿宋_GB2312" w:hAnsi="仿宋_GB2312" w:eastAsia="仿宋_GB2312" w:cs="仿宋_GB2312"/>
          <w:sz w:val="28"/>
          <w:szCs w:val="28"/>
          <w:highlight w:val="none"/>
        </w:rPr>
        <w:t>%分位基准，并取50%、70%及90%分位点所对应的操作风险损失占营收比例作为压力情景参数。</w:t>
      </w:r>
    </w:p>
    <w:p>
      <w:pPr>
        <w:widowControl w:val="0"/>
        <w:tabs>
          <w:tab w:val="left" w:pos="1155"/>
        </w:tabs>
        <w:spacing w:after="0" w:line="360" w:lineRule="auto"/>
        <w:ind w:firstLine="573"/>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该方法主要适用于缺乏统计数据或历史数据参考性不强的情形。但由于该方法仅考虑了业务收入及监管标准法系数，而未考虑各公司内部管理、操作风险点、风险缓释措施等个体性差异，公司应根据自身实际情况，通过调整损失分布函数、分位点等方式，或引入其他相关模型参数，对该方法进行调整优化。</w:t>
      </w:r>
    </w:p>
    <w:p>
      <w:pPr>
        <w:keepNext w:val="0"/>
        <w:keepLines w:val="0"/>
        <w:pageBreakBefore w:val="0"/>
        <w:widowControl w:val="0"/>
        <w:tabs>
          <w:tab w:val="left" w:pos="1155"/>
        </w:tabs>
        <w:kinsoku/>
        <w:wordWrap/>
        <w:overflowPunct/>
        <w:topLinePunct w:val="0"/>
        <w:autoSpaceDE/>
        <w:autoSpaceDN/>
        <w:bidi w:val="0"/>
        <w:adjustRightInd/>
        <w:snapToGrid/>
        <w:spacing w:after="0" w:line="360" w:lineRule="auto"/>
        <w:ind w:firstLine="573"/>
        <w:jc w:val="both"/>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四</w:t>
      </w:r>
      <w:r>
        <w:rPr>
          <w:rFonts w:hint="eastAsia" w:ascii="仿宋_GB2312" w:hAnsi="仿宋_GB2312" w:eastAsia="仿宋_GB2312" w:cs="仿宋_GB2312"/>
          <w:b/>
          <w:bCs/>
          <w:sz w:val="28"/>
          <w:szCs w:val="28"/>
          <w:highlight w:val="none"/>
        </w:rPr>
        <w:t>）声誉风险</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声誉风险压力测试主要考虑公司在压力情景下发生</w:t>
      </w:r>
      <w:r>
        <w:rPr>
          <w:rFonts w:hint="eastAsia" w:ascii="仿宋_GB2312" w:hAnsi="仿宋_GB2312" w:eastAsia="仿宋_GB2312" w:cs="仿宋_GB2312"/>
          <w:color w:val="000000"/>
          <w:sz w:val="28"/>
          <w:szCs w:val="28"/>
          <w:highlight w:val="none"/>
        </w:rPr>
        <w:t>重大负面</w:t>
      </w:r>
      <w:r>
        <w:rPr>
          <w:rFonts w:hint="eastAsia" w:ascii="仿宋_GB2312" w:hAnsi="仿宋_GB2312" w:eastAsia="仿宋_GB2312" w:cs="仿宋_GB2312"/>
          <w:color w:val="000000"/>
          <w:sz w:val="28"/>
          <w:szCs w:val="28"/>
          <w:highlight w:val="none"/>
          <w:lang w:eastAsia="zh-CN"/>
        </w:rPr>
        <w:t>声誉事件，</w:t>
      </w:r>
      <w:r>
        <w:rPr>
          <w:rFonts w:hint="eastAsia" w:ascii="仿宋_GB2312" w:hAnsi="仿宋_GB2312" w:eastAsia="仿宋_GB2312" w:cs="仿宋_GB2312"/>
          <w:color w:val="000000"/>
          <w:sz w:val="28"/>
          <w:szCs w:val="28"/>
          <w:highlight w:val="none"/>
        </w:rPr>
        <w:t>造成证券公司重大损失、证券行业声誉损害</w:t>
      </w:r>
      <w:r>
        <w:rPr>
          <w:rFonts w:hint="eastAsia" w:ascii="仿宋_GB2312" w:hAnsi="仿宋_GB2312" w:eastAsia="仿宋_GB2312" w:cs="仿宋_GB2312"/>
          <w:color w:val="000000"/>
          <w:sz w:val="28"/>
          <w:szCs w:val="28"/>
          <w:highlight w:val="none"/>
          <w:lang w:eastAsia="zh-CN"/>
        </w:rPr>
        <w:t>等情形</w:t>
      </w:r>
      <w:r>
        <w:rPr>
          <w:rFonts w:hint="eastAsia" w:ascii="仿宋_GB2312" w:hAnsi="仿宋_GB2312" w:eastAsia="仿宋_GB2312" w:cs="仿宋_GB2312"/>
          <w:kern w:val="2"/>
          <w:sz w:val="28"/>
          <w:szCs w:val="28"/>
          <w:highlight w:val="none"/>
        </w:rPr>
        <w:t>。公司可参照自身或行业历史重大声誉风险事件所导致损失情况，设置压力情景参数。若声誉风险损失是由其它类型的风险事件（如操作风险事件）引发，在测算损失时应注意区分。</w:t>
      </w:r>
    </w:p>
    <w:p>
      <w:pPr>
        <w:widowControl w:val="0"/>
        <w:tabs>
          <w:tab w:val="left" w:pos="1155"/>
        </w:tabs>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如某证券公司发生系统故障并引发重大媒体舆情，面临经纪业务市占率下滑、经纪业务净收入下降等潜在风险。公司参照自身及同业历史同类事件所导致的业务规模下滑情况，结合对事件形势的审慎判断，综合设置压力情景参数，并根据基期的业务规模测算压力下的损失情况。其中，因系统故障所导致的直接损失归为操作风险损失，因负面舆情事件导致的直接或潜在损失归为声誉风险损失。</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五</w:t>
      </w:r>
      <w:r>
        <w:rPr>
          <w:rFonts w:hint="eastAsia" w:ascii="仿宋_GB2312" w:hAnsi="仿宋_GB2312" w:eastAsia="仿宋_GB2312" w:cs="仿宋_GB2312"/>
          <w:b/>
          <w:bCs/>
          <w:sz w:val="28"/>
          <w:szCs w:val="28"/>
          <w:highlight w:val="none"/>
        </w:rPr>
        <w:t>）经营风险</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经营风险压力测试主要考虑压力情景下证券经纪、投资银行、资产管理业务净收入发生下滑的情形。证券公司可结合公司自身及同业过往历史数据、行业盈利预测等情况，并结合市场环境判断设置压力情景参数。</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证券公司可根据自身及比照同业券商过往历史中的经纪业务、投行业务、资管业务在不同分位点的净收入变动幅度作为压力情景参数。并可结合市场及宏观因素（如GDP、核心权益类指数、两市日均交易额、IPO规模、集合/单一资管计划规模等），对压力情景参数进行优化调整。</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如某证券公司根据自身及比照的五家同业券商过往十年经纪业务、投行业务及资管业务的年度净收入变化情况，选取70%、80%、90%分位点跌幅，并结合市场及宏观因素、景气度分析等，设置经营风险压力情景参数。</w:t>
      </w:r>
    </w:p>
    <w:p>
      <w:pPr>
        <w:keepNext w:val="0"/>
        <w:keepLines w:val="0"/>
        <w:pageBreakBefore w:val="0"/>
        <w:widowControl w:val="0"/>
        <w:tabs>
          <w:tab w:val="left" w:pos="1155"/>
        </w:tabs>
        <w:kinsoku/>
        <w:wordWrap/>
        <w:overflowPunct/>
        <w:topLinePunct w:val="0"/>
        <w:autoSpaceDE/>
        <w:autoSpaceDN/>
        <w:bidi w:val="0"/>
        <w:adjustRightInd/>
        <w:snapToGrid/>
        <w:spacing w:after="0" w:line="360" w:lineRule="auto"/>
        <w:ind w:firstLine="573"/>
        <w:jc w:val="both"/>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六</w:t>
      </w:r>
      <w:r>
        <w:rPr>
          <w:rFonts w:hint="eastAsia" w:ascii="仿宋_GB2312" w:hAnsi="仿宋_GB2312" w:eastAsia="仿宋_GB2312" w:cs="仿宋_GB2312"/>
          <w:b/>
          <w:bCs/>
          <w:sz w:val="28"/>
          <w:szCs w:val="28"/>
          <w:highlight w:val="none"/>
        </w:rPr>
        <w:t>）流动性风险</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流动性风险压力测试主要考虑公司在压力情景下，无法以合理成本及时获得充足资金以偿付到期债务、履行支付义务或满足业务开展用资需求等而对公司造成损失。证券公司可结合自身资本安排（如法人透支额度、集团内部增资等）情况，考虑将融资成本上升、债务融资渠道中断或债券发行推迟持续时间等情形作为压力测试风险因子。</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融资成本上升情景，可综合考虑基准利率变动情景、公司自身信用资质情况等进行设定，如将融资成本轻、中、重度压力情景选择上升0.5%、1.0%、1.5%。</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公司融资渠道中断情景，可参考银保监会监管办法相关要求（流动性压力测试的生存期为1至3个月）并综合考虑融资市场的历史情况和公司的信用资质进行设定，如将融资渠道中断时间轻、中、重度压力情景选择为1M、2M、3M。</w:t>
      </w:r>
    </w:p>
    <w:tbl>
      <w:tblPr>
        <w:tblStyle w:val="16"/>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1258"/>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150" w:type="dxa"/>
            <w:vMerge w:val="restart"/>
            <w:shd w:val="clear" w:color="000000" w:fill="BFBFBF"/>
            <w:noWrap/>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风险因子</w:t>
            </w:r>
          </w:p>
        </w:tc>
        <w:tc>
          <w:tcPr>
            <w:tcW w:w="4184" w:type="dxa"/>
            <w:gridSpan w:val="3"/>
            <w:shd w:val="clear" w:color="000000" w:fill="BFBFBF"/>
            <w:noWrap/>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压力情景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0" w:type="dxa"/>
            <w:vMerge w:val="continue"/>
            <w:vAlign w:val="center"/>
          </w:tcPr>
          <w:p>
            <w:pPr>
              <w:spacing w:after="0" w:line="240" w:lineRule="auto"/>
              <w:jc w:val="center"/>
              <w:rPr>
                <w:rFonts w:ascii="仿宋_GB2312" w:hAnsi="仿宋_GB2312" w:eastAsia="仿宋_GB2312" w:cs="仿宋_GB2312"/>
                <w:b/>
                <w:bCs/>
                <w:color w:val="000000"/>
                <w:sz w:val="24"/>
                <w:szCs w:val="24"/>
                <w:highlight w:val="none"/>
              </w:rPr>
            </w:pPr>
          </w:p>
        </w:tc>
        <w:tc>
          <w:tcPr>
            <w:tcW w:w="1258" w:type="dxa"/>
            <w:shd w:val="clear" w:color="000000" w:fill="BFBFBF"/>
            <w:noWrap/>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轻度压力</w:t>
            </w:r>
          </w:p>
        </w:tc>
        <w:tc>
          <w:tcPr>
            <w:tcW w:w="1463" w:type="dxa"/>
            <w:shd w:val="clear" w:color="000000" w:fill="BFBFBF"/>
            <w:noWrap/>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中度压力</w:t>
            </w:r>
          </w:p>
        </w:tc>
        <w:tc>
          <w:tcPr>
            <w:tcW w:w="1463" w:type="dxa"/>
            <w:shd w:val="clear" w:color="000000" w:fill="BFBFBF"/>
            <w:noWrap/>
            <w:vAlign w:val="center"/>
          </w:tcPr>
          <w:p>
            <w:pPr>
              <w:spacing w:after="0" w:line="24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重度压力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150" w:type="dxa"/>
            <w:shd w:val="clear" w:color="auto" w:fill="auto"/>
            <w:noWrap/>
            <w:vAlign w:val="center"/>
          </w:tcPr>
          <w:p>
            <w:pPr>
              <w:spacing w:after="0" w:line="24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公司融资成本上升</w:t>
            </w:r>
          </w:p>
        </w:tc>
        <w:tc>
          <w:tcPr>
            <w:tcW w:w="1258" w:type="dxa"/>
            <w:shd w:val="clear" w:color="auto" w:fill="auto"/>
            <w:noWrap/>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0.50%</w:t>
            </w:r>
          </w:p>
        </w:tc>
        <w:tc>
          <w:tcPr>
            <w:tcW w:w="1463" w:type="dxa"/>
            <w:shd w:val="clear" w:color="auto" w:fill="auto"/>
            <w:noWrap/>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1.00%</w:t>
            </w:r>
          </w:p>
        </w:tc>
        <w:tc>
          <w:tcPr>
            <w:tcW w:w="1463" w:type="dxa"/>
            <w:shd w:val="clear" w:color="auto" w:fill="auto"/>
            <w:noWrap/>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150" w:type="dxa"/>
            <w:shd w:val="clear" w:color="auto" w:fill="auto"/>
            <w:noWrap/>
            <w:vAlign w:val="center"/>
          </w:tcPr>
          <w:p>
            <w:pPr>
              <w:spacing w:after="0" w:line="24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公司债务融资渠道中断（持续时间）</w:t>
            </w:r>
          </w:p>
        </w:tc>
        <w:tc>
          <w:tcPr>
            <w:tcW w:w="1258" w:type="dxa"/>
            <w:shd w:val="clear" w:color="auto" w:fill="auto"/>
            <w:noWrap/>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1M</w:t>
            </w:r>
          </w:p>
        </w:tc>
        <w:tc>
          <w:tcPr>
            <w:tcW w:w="1463" w:type="dxa"/>
            <w:shd w:val="clear" w:color="auto" w:fill="auto"/>
            <w:noWrap/>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2M</w:t>
            </w:r>
          </w:p>
        </w:tc>
        <w:tc>
          <w:tcPr>
            <w:tcW w:w="1463" w:type="dxa"/>
            <w:shd w:val="clear" w:color="auto" w:fill="auto"/>
            <w:noWrap/>
            <w:vAlign w:val="center"/>
          </w:tcPr>
          <w:p>
            <w:pPr>
              <w:spacing w:after="0" w:line="240" w:lineRule="auto"/>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3M</w:t>
            </w:r>
          </w:p>
        </w:tc>
      </w:tr>
    </w:tbl>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二、压力测试传导机制</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（一）综合收益及净利润传导机制</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证券公司可通过基期的业务规模与压力情景参数，测算各压力情景下的损失，进而导致对公司综合收益及净利润影响情况。其中，业务规模可结合测试基期实际规模及业务发展规划情况综合设定。</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在测算压力情景下的业务损失时，证券公司应考虑止损因素的影响。部分压力情景下业务损失突破内部止损限额时，可综合业务止损因素以及止损期间的冲击成本测算压力下损失，止损冲击成本可结合公司止损限期规划、历史止损情形和市场表现等情况进行设定。对于测试短期极端行情下损失，或标的流动性较差等情况，不应考虑止损因素。</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另外，证券公司还应考虑交易性账户、非交易性账户对综合收益及净利润的影响。非交易性账户持有期间的公允价值变动影响综合收益但不影响净利润，而交易性账户的公允价值变动同时影响净利润和综合收益。交易性和非交易性账户的信用违约损失将同时影响公司净利润和综合收益。</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1.自营投资业务</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利率类方向性业务方面，考虑压力情景下基础利率上升及信用债利差扩大，导致债券持仓公允价值损失。信用债券投资业务同时应考虑压力情景下债券违约造成的信用损失。</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利率类中性业务方面，考虑压力情景下公司多空端持仓债券利差发生不利变动，导致利率类套利策略组合公允价值损失。</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权益类方向性业务方面，考虑在压力情景下证券市场下跌，公司持仓证券市值下滑，导致公允价值变动损失。</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权益类中性业务方面，套利策略考虑在压力情景下多空持仓证券间的价差或基差等发生不利变动，使得策略组合公允价值发生损失；期权业务考虑在压力情景下因期权标的价格、波动率发生不利变动，导致期权业务组合公允价值损失。</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2.融资类业务</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融资类业务方面，考虑压力情景下客户所持担保品市值下跌导致信用风险敞口增大，违约概率增加、违约回收率减少带来的融资类业务信用损失率上升，并最终导致信用减值损失，进而影响公司综合收益及净利润。</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3.其他业务</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除自营投资业务、融资类业务，还应考虑公司在压力情景下，经纪业务、投资银行业务、资产管理等业务收入减少，融资成本和利息支出增加，操作风险损失增大，私募股权投资业务亏损等对综合收益及净利润的影响。</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（二）风险控制指标传导机制</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压力情景下监管风险控制指标的变化，可通过业务规模规划、业务损失，资本性变动规划以及流动性风险压力情景等进行综合测算。</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业务规模规划方面，若某项业务计划大幅扩张规模，应测算对风险资本准备、表内外资产等产生的影响，进而导致风险控制指标发生不利变动；业务损失方面，应测算各项业务在压力情景下发生损失，对公司资产负债造成的影响，进而导致公司净资本和流动性等监管风险控制指标的变化情况；资本性变动规划方面，应充分考虑对公司净资本产生重大影响的规划事项，如分红、向子公司增资、次级债等；流动性风险方面，应考虑压力情景下公司融资渠道中断时，公司依靠变现流动性资产得以维持正常经营的最短生存期以及对流动性风险控制指标的影响。</w:t>
      </w:r>
    </w:p>
    <w:p>
      <w:pPr>
        <w:widowControl w:val="0"/>
        <w:tabs>
          <w:tab w:val="left" w:pos="1155"/>
        </w:tabs>
        <w:spacing w:after="0" w:line="360" w:lineRule="auto"/>
        <w:ind w:firstLine="573"/>
        <w:jc w:val="both"/>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三、反向压力测试</w:t>
      </w:r>
    </w:p>
    <w:p>
      <w:pPr>
        <w:spacing w:after="0" w:line="360" w:lineRule="auto"/>
        <w:ind w:firstLine="573"/>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当压力测试结果显示风险情况不可承受（如无法满足公司管理目标、监管指标超限等），证券公司可通过反向压力测试，测算在公司可承受的最大压力范围。</w:t>
      </w:r>
    </w:p>
    <w:p>
      <w:pPr>
        <w:spacing w:after="0" w:line="360" w:lineRule="auto"/>
        <w:ind w:firstLine="573"/>
        <w:jc w:val="both"/>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如证券公司拟扩大某项投资组合规模，但压力测试结果显示将导致风控指标超过监管限额。因此公司开展反向压力测试，根据合理假设测算在满足监管指标前提下投资组合所能做到的最大规模，并通过设置合理的内部管控机制，保障业务经营满足监管要求。再如证券公司定期根据某项业务的内部损失限额，并结合合理压力情景，反向测算该业务开展的规模上限情况，确保业务风险持续整体可控、可承受。</w:t>
      </w:r>
    </w:p>
    <w:sectPr>
      <w:footerReference r:id="rId5" w:type="default"/>
      <w:pgSz w:w="12240" w:h="15840"/>
      <w:pgMar w:top="1440" w:right="1797" w:bottom="1440"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Noto Sans CJK JP Regular">
    <w:altName w:val="仿宋"/>
    <w:panose1 w:val="00000000000000000000"/>
    <w:charset w:val="00"/>
    <w:family w:val="swiss"/>
    <w:pitch w:val="default"/>
    <w:sig w:usb0="00000000" w:usb1="00000000" w:usb2="00000000" w:usb3="00000000" w:csb0="00000000" w:csb1="00000000"/>
  </w:font>
  <w:font w:name="..">
    <w:altName w:val="仿宋"/>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9592"/>
    </w:sdtPr>
    <w:sdtContent>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87BA8"/>
    <w:multiLevelType w:val="multilevel"/>
    <w:tmpl w:val="7E387BA8"/>
    <w:lvl w:ilvl="0" w:tentative="0">
      <w:start w:val="1"/>
      <w:numFmt w:val="japaneseCounting"/>
      <w:lvlText w:val="第%1条"/>
      <w:lvlJc w:val="left"/>
      <w:pPr>
        <w:ind w:left="2409" w:hanging="990"/>
      </w:pPr>
      <w:rPr>
        <w:rFonts w:hint="default"/>
        <w:b/>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NjY4ZDE3OTFjYTZmMzEwNWM0YmMwMDdkYWIwMjMifQ=="/>
    <w:docVar w:name="KSO_WPS_MARK_KEY" w:val="b5509690-149f-4907-a292-3f9d9400b528"/>
  </w:docVars>
  <w:rsids>
    <w:rsidRoot w:val="00B87DBD"/>
    <w:rsid w:val="000004D9"/>
    <w:rsid w:val="00001BBC"/>
    <w:rsid w:val="000038EE"/>
    <w:rsid w:val="00004865"/>
    <w:rsid w:val="00007284"/>
    <w:rsid w:val="00010479"/>
    <w:rsid w:val="00011DEC"/>
    <w:rsid w:val="000132D9"/>
    <w:rsid w:val="00013841"/>
    <w:rsid w:val="00014097"/>
    <w:rsid w:val="000152D1"/>
    <w:rsid w:val="0001579B"/>
    <w:rsid w:val="00016027"/>
    <w:rsid w:val="0001674D"/>
    <w:rsid w:val="000172E6"/>
    <w:rsid w:val="00017AA1"/>
    <w:rsid w:val="00017D1D"/>
    <w:rsid w:val="00021CCB"/>
    <w:rsid w:val="00022E49"/>
    <w:rsid w:val="000231B9"/>
    <w:rsid w:val="00024324"/>
    <w:rsid w:val="00024950"/>
    <w:rsid w:val="000254B7"/>
    <w:rsid w:val="000256BC"/>
    <w:rsid w:val="00025A3F"/>
    <w:rsid w:val="000260C7"/>
    <w:rsid w:val="00026BE4"/>
    <w:rsid w:val="000317C5"/>
    <w:rsid w:val="00033EE9"/>
    <w:rsid w:val="000355B2"/>
    <w:rsid w:val="000415F4"/>
    <w:rsid w:val="00042677"/>
    <w:rsid w:val="0004269E"/>
    <w:rsid w:val="00043170"/>
    <w:rsid w:val="00043AAE"/>
    <w:rsid w:val="00044137"/>
    <w:rsid w:val="000443FF"/>
    <w:rsid w:val="00045BCB"/>
    <w:rsid w:val="0004623C"/>
    <w:rsid w:val="0004727B"/>
    <w:rsid w:val="0005175C"/>
    <w:rsid w:val="000522F3"/>
    <w:rsid w:val="00053B93"/>
    <w:rsid w:val="00054F05"/>
    <w:rsid w:val="00055157"/>
    <w:rsid w:val="00056B47"/>
    <w:rsid w:val="00056BEB"/>
    <w:rsid w:val="000577C7"/>
    <w:rsid w:val="00062512"/>
    <w:rsid w:val="000645B4"/>
    <w:rsid w:val="0006471A"/>
    <w:rsid w:val="00065565"/>
    <w:rsid w:val="00065B86"/>
    <w:rsid w:val="0006732B"/>
    <w:rsid w:val="000708F7"/>
    <w:rsid w:val="000716E4"/>
    <w:rsid w:val="00071A96"/>
    <w:rsid w:val="000721DC"/>
    <w:rsid w:val="00072F38"/>
    <w:rsid w:val="00073CBD"/>
    <w:rsid w:val="00075007"/>
    <w:rsid w:val="00076C9F"/>
    <w:rsid w:val="00076F44"/>
    <w:rsid w:val="000805DF"/>
    <w:rsid w:val="00082A39"/>
    <w:rsid w:val="0008493F"/>
    <w:rsid w:val="000860CC"/>
    <w:rsid w:val="0008636F"/>
    <w:rsid w:val="00090421"/>
    <w:rsid w:val="0009071E"/>
    <w:rsid w:val="000910F4"/>
    <w:rsid w:val="00091C3F"/>
    <w:rsid w:val="00092505"/>
    <w:rsid w:val="000936FD"/>
    <w:rsid w:val="00094AE0"/>
    <w:rsid w:val="00095C5A"/>
    <w:rsid w:val="00097C51"/>
    <w:rsid w:val="000A043E"/>
    <w:rsid w:val="000A0F6A"/>
    <w:rsid w:val="000A16F6"/>
    <w:rsid w:val="000A17D8"/>
    <w:rsid w:val="000A1C07"/>
    <w:rsid w:val="000A283C"/>
    <w:rsid w:val="000A2AD0"/>
    <w:rsid w:val="000A2DCB"/>
    <w:rsid w:val="000A3ED1"/>
    <w:rsid w:val="000A4AFE"/>
    <w:rsid w:val="000A516F"/>
    <w:rsid w:val="000A52C0"/>
    <w:rsid w:val="000A5D9C"/>
    <w:rsid w:val="000A6069"/>
    <w:rsid w:val="000A64E2"/>
    <w:rsid w:val="000A69FE"/>
    <w:rsid w:val="000A74AB"/>
    <w:rsid w:val="000A7935"/>
    <w:rsid w:val="000B0FD3"/>
    <w:rsid w:val="000B395E"/>
    <w:rsid w:val="000B4B84"/>
    <w:rsid w:val="000B5CFF"/>
    <w:rsid w:val="000B5F3D"/>
    <w:rsid w:val="000B6146"/>
    <w:rsid w:val="000B71DC"/>
    <w:rsid w:val="000B72B0"/>
    <w:rsid w:val="000B764F"/>
    <w:rsid w:val="000B797F"/>
    <w:rsid w:val="000C1B32"/>
    <w:rsid w:val="000C2949"/>
    <w:rsid w:val="000C3187"/>
    <w:rsid w:val="000C47EC"/>
    <w:rsid w:val="000C49EE"/>
    <w:rsid w:val="000C5C7E"/>
    <w:rsid w:val="000C6455"/>
    <w:rsid w:val="000C73B8"/>
    <w:rsid w:val="000D0B48"/>
    <w:rsid w:val="000D14E4"/>
    <w:rsid w:val="000D188A"/>
    <w:rsid w:val="000D3B28"/>
    <w:rsid w:val="000D425F"/>
    <w:rsid w:val="000D456D"/>
    <w:rsid w:val="000D73FD"/>
    <w:rsid w:val="000E0571"/>
    <w:rsid w:val="000E1CB0"/>
    <w:rsid w:val="000E2CDC"/>
    <w:rsid w:val="000E3DFC"/>
    <w:rsid w:val="000E400F"/>
    <w:rsid w:val="000E4194"/>
    <w:rsid w:val="000E4EFB"/>
    <w:rsid w:val="000E6449"/>
    <w:rsid w:val="000E6C83"/>
    <w:rsid w:val="000F04CF"/>
    <w:rsid w:val="000F166C"/>
    <w:rsid w:val="000F16AE"/>
    <w:rsid w:val="000F1941"/>
    <w:rsid w:val="000F31F8"/>
    <w:rsid w:val="000F391F"/>
    <w:rsid w:val="000F3B08"/>
    <w:rsid w:val="000F3E73"/>
    <w:rsid w:val="000F40FF"/>
    <w:rsid w:val="000F5DCD"/>
    <w:rsid w:val="000F6187"/>
    <w:rsid w:val="000F6672"/>
    <w:rsid w:val="000F674E"/>
    <w:rsid w:val="0010219F"/>
    <w:rsid w:val="0010253E"/>
    <w:rsid w:val="00104ADC"/>
    <w:rsid w:val="00107A80"/>
    <w:rsid w:val="00107FDD"/>
    <w:rsid w:val="001103CD"/>
    <w:rsid w:val="001106D4"/>
    <w:rsid w:val="001107B6"/>
    <w:rsid w:val="00111C61"/>
    <w:rsid w:val="001131D8"/>
    <w:rsid w:val="00115AF7"/>
    <w:rsid w:val="00117C0F"/>
    <w:rsid w:val="001207EA"/>
    <w:rsid w:val="00120B31"/>
    <w:rsid w:val="00121CAD"/>
    <w:rsid w:val="0012338F"/>
    <w:rsid w:val="0012468B"/>
    <w:rsid w:val="00125141"/>
    <w:rsid w:val="0012689D"/>
    <w:rsid w:val="00126CAF"/>
    <w:rsid w:val="00130063"/>
    <w:rsid w:val="00130D88"/>
    <w:rsid w:val="00131A94"/>
    <w:rsid w:val="0013201A"/>
    <w:rsid w:val="0013355B"/>
    <w:rsid w:val="00133622"/>
    <w:rsid w:val="001408D1"/>
    <w:rsid w:val="0014137D"/>
    <w:rsid w:val="0014148C"/>
    <w:rsid w:val="001424ED"/>
    <w:rsid w:val="0014261C"/>
    <w:rsid w:val="0014373E"/>
    <w:rsid w:val="0014381E"/>
    <w:rsid w:val="00143EFA"/>
    <w:rsid w:val="001458C9"/>
    <w:rsid w:val="00147F0A"/>
    <w:rsid w:val="00154A0A"/>
    <w:rsid w:val="00154FB6"/>
    <w:rsid w:val="00155572"/>
    <w:rsid w:val="00156C2C"/>
    <w:rsid w:val="00157BF1"/>
    <w:rsid w:val="001600F8"/>
    <w:rsid w:val="00160807"/>
    <w:rsid w:val="001623DC"/>
    <w:rsid w:val="00162C67"/>
    <w:rsid w:val="0016323E"/>
    <w:rsid w:val="0016460F"/>
    <w:rsid w:val="00165E8B"/>
    <w:rsid w:val="001675EF"/>
    <w:rsid w:val="00167997"/>
    <w:rsid w:val="00170445"/>
    <w:rsid w:val="00171C9B"/>
    <w:rsid w:val="0017228F"/>
    <w:rsid w:val="00172F0F"/>
    <w:rsid w:val="00173412"/>
    <w:rsid w:val="00173460"/>
    <w:rsid w:val="00175A8B"/>
    <w:rsid w:val="00180A48"/>
    <w:rsid w:val="001812E6"/>
    <w:rsid w:val="00181FB5"/>
    <w:rsid w:val="0018242E"/>
    <w:rsid w:val="00183331"/>
    <w:rsid w:val="00183944"/>
    <w:rsid w:val="0018427C"/>
    <w:rsid w:val="00184F65"/>
    <w:rsid w:val="0018515F"/>
    <w:rsid w:val="0018537C"/>
    <w:rsid w:val="00185CF2"/>
    <w:rsid w:val="00186E52"/>
    <w:rsid w:val="00190FBB"/>
    <w:rsid w:val="001915D1"/>
    <w:rsid w:val="0019190E"/>
    <w:rsid w:val="001940E4"/>
    <w:rsid w:val="001A1D88"/>
    <w:rsid w:val="001A1EC4"/>
    <w:rsid w:val="001A3125"/>
    <w:rsid w:val="001A31A3"/>
    <w:rsid w:val="001A3B23"/>
    <w:rsid w:val="001A61C4"/>
    <w:rsid w:val="001A66C2"/>
    <w:rsid w:val="001B00DB"/>
    <w:rsid w:val="001B0846"/>
    <w:rsid w:val="001B09C6"/>
    <w:rsid w:val="001B0AC6"/>
    <w:rsid w:val="001B2BEB"/>
    <w:rsid w:val="001B3823"/>
    <w:rsid w:val="001B3909"/>
    <w:rsid w:val="001B4602"/>
    <w:rsid w:val="001B5779"/>
    <w:rsid w:val="001B5AD1"/>
    <w:rsid w:val="001B6657"/>
    <w:rsid w:val="001B6660"/>
    <w:rsid w:val="001C0928"/>
    <w:rsid w:val="001C097F"/>
    <w:rsid w:val="001C09DA"/>
    <w:rsid w:val="001C09E7"/>
    <w:rsid w:val="001C1552"/>
    <w:rsid w:val="001C2283"/>
    <w:rsid w:val="001C2857"/>
    <w:rsid w:val="001C3780"/>
    <w:rsid w:val="001C4507"/>
    <w:rsid w:val="001C4B45"/>
    <w:rsid w:val="001C5475"/>
    <w:rsid w:val="001C5A90"/>
    <w:rsid w:val="001C7CF6"/>
    <w:rsid w:val="001C7EC0"/>
    <w:rsid w:val="001D093E"/>
    <w:rsid w:val="001D12BF"/>
    <w:rsid w:val="001D1F38"/>
    <w:rsid w:val="001D2D39"/>
    <w:rsid w:val="001D2D66"/>
    <w:rsid w:val="001D4F03"/>
    <w:rsid w:val="001D5099"/>
    <w:rsid w:val="001D5431"/>
    <w:rsid w:val="001D5888"/>
    <w:rsid w:val="001D5C07"/>
    <w:rsid w:val="001D5CF2"/>
    <w:rsid w:val="001D6DC4"/>
    <w:rsid w:val="001D7BE0"/>
    <w:rsid w:val="001E11A9"/>
    <w:rsid w:val="001E1B9F"/>
    <w:rsid w:val="001E3368"/>
    <w:rsid w:val="001E351E"/>
    <w:rsid w:val="001E3986"/>
    <w:rsid w:val="001E40F7"/>
    <w:rsid w:val="001E4BD4"/>
    <w:rsid w:val="001E5415"/>
    <w:rsid w:val="001E54D8"/>
    <w:rsid w:val="001E61F5"/>
    <w:rsid w:val="001E6532"/>
    <w:rsid w:val="001F0410"/>
    <w:rsid w:val="001F179F"/>
    <w:rsid w:val="001F235C"/>
    <w:rsid w:val="001F349B"/>
    <w:rsid w:val="001F5570"/>
    <w:rsid w:val="00200230"/>
    <w:rsid w:val="00204250"/>
    <w:rsid w:val="00204D41"/>
    <w:rsid w:val="002064E2"/>
    <w:rsid w:val="00206A93"/>
    <w:rsid w:val="002131A6"/>
    <w:rsid w:val="002134CE"/>
    <w:rsid w:val="00215E48"/>
    <w:rsid w:val="00216738"/>
    <w:rsid w:val="002172E5"/>
    <w:rsid w:val="00217C13"/>
    <w:rsid w:val="00221C1B"/>
    <w:rsid w:val="00221EFF"/>
    <w:rsid w:val="00221FF9"/>
    <w:rsid w:val="002221E5"/>
    <w:rsid w:val="0022243A"/>
    <w:rsid w:val="00224E13"/>
    <w:rsid w:val="00227E41"/>
    <w:rsid w:val="00230AF6"/>
    <w:rsid w:val="00231996"/>
    <w:rsid w:val="0023251A"/>
    <w:rsid w:val="00233229"/>
    <w:rsid w:val="00233FFB"/>
    <w:rsid w:val="0023651A"/>
    <w:rsid w:val="002367DC"/>
    <w:rsid w:val="00236DF1"/>
    <w:rsid w:val="00237EFB"/>
    <w:rsid w:val="00243137"/>
    <w:rsid w:val="00243150"/>
    <w:rsid w:val="002436BF"/>
    <w:rsid w:val="00244B6F"/>
    <w:rsid w:val="002453E8"/>
    <w:rsid w:val="0024652C"/>
    <w:rsid w:val="00251325"/>
    <w:rsid w:val="00251E02"/>
    <w:rsid w:val="00252576"/>
    <w:rsid w:val="00252934"/>
    <w:rsid w:val="00252CEA"/>
    <w:rsid w:val="00253DE2"/>
    <w:rsid w:val="00254B01"/>
    <w:rsid w:val="00255B22"/>
    <w:rsid w:val="00255E73"/>
    <w:rsid w:val="00255FD1"/>
    <w:rsid w:val="002561D2"/>
    <w:rsid w:val="002568D9"/>
    <w:rsid w:val="002568E9"/>
    <w:rsid w:val="00256F0B"/>
    <w:rsid w:val="00260ECD"/>
    <w:rsid w:val="00261DFD"/>
    <w:rsid w:val="00262FA9"/>
    <w:rsid w:val="00263063"/>
    <w:rsid w:val="002630F6"/>
    <w:rsid w:val="00267453"/>
    <w:rsid w:val="00270715"/>
    <w:rsid w:val="00271B47"/>
    <w:rsid w:val="00272153"/>
    <w:rsid w:val="0027490C"/>
    <w:rsid w:val="00274BC9"/>
    <w:rsid w:val="00275359"/>
    <w:rsid w:val="002762FF"/>
    <w:rsid w:val="00277667"/>
    <w:rsid w:val="00282826"/>
    <w:rsid w:val="00284B98"/>
    <w:rsid w:val="0028503B"/>
    <w:rsid w:val="0028513E"/>
    <w:rsid w:val="00285E08"/>
    <w:rsid w:val="00286E14"/>
    <w:rsid w:val="00287390"/>
    <w:rsid w:val="00290EB0"/>
    <w:rsid w:val="002924EC"/>
    <w:rsid w:val="00292C48"/>
    <w:rsid w:val="00292F41"/>
    <w:rsid w:val="00295476"/>
    <w:rsid w:val="002955EF"/>
    <w:rsid w:val="00295DD5"/>
    <w:rsid w:val="00295F18"/>
    <w:rsid w:val="002962EB"/>
    <w:rsid w:val="00296AF5"/>
    <w:rsid w:val="00297026"/>
    <w:rsid w:val="00297087"/>
    <w:rsid w:val="002977F9"/>
    <w:rsid w:val="002A0114"/>
    <w:rsid w:val="002A0811"/>
    <w:rsid w:val="002A3552"/>
    <w:rsid w:val="002A566D"/>
    <w:rsid w:val="002A5F50"/>
    <w:rsid w:val="002A72B2"/>
    <w:rsid w:val="002A7EA2"/>
    <w:rsid w:val="002B0141"/>
    <w:rsid w:val="002B0D9B"/>
    <w:rsid w:val="002B1C10"/>
    <w:rsid w:val="002B308A"/>
    <w:rsid w:val="002B30C7"/>
    <w:rsid w:val="002B384C"/>
    <w:rsid w:val="002B3D2B"/>
    <w:rsid w:val="002B415C"/>
    <w:rsid w:val="002B6553"/>
    <w:rsid w:val="002B661F"/>
    <w:rsid w:val="002B6B95"/>
    <w:rsid w:val="002B716B"/>
    <w:rsid w:val="002B7453"/>
    <w:rsid w:val="002C0074"/>
    <w:rsid w:val="002C0905"/>
    <w:rsid w:val="002C20C4"/>
    <w:rsid w:val="002C272D"/>
    <w:rsid w:val="002C2B47"/>
    <w:rsid w:val="002C431F"/>
    <w:rsid w:val="002C4EDC"/>
    <w:rsid w:val="002C5003"/>
    <w:rsid w:val="002C53B7"/>
    <w:rsid w:val="002C555D"/>
    <w:rsid w:val="002C5635"/>
    <w:rsid w:val="002C59D5"/>
    <w:rsid w:val="002C5EC3"/>
    <w:rsid w:val="002C6E8D"/>
    <w:rsid w:val="002D01FB"/>
    <w:rsid w:val="002D1DE8"/>
    <w:rsid w:val="002D63F1"/>
    <w:rsid w:val="002D689E"/>
    <w:rsid w:val="002E1871"/>
    <w:rsid w:val="002E1936"/>
    <w:rsid w:val="002E1C9B"/>
    <w:rsid w:val="002E3137"/>
    <w:rsid w:val="002E3756"/>
    <w:rsid w:val="002E444E"/>
    <w:rsid w:val="002E4DB8"/>
    <w:rsid w:val="002E5083"/>
    <w:rsid w:val="002E727C"/>
    <w:rsid w:val="002E74D4"/>
    <w:rsid w:val="002E7BF7"/>
    <w:rsid w:val="002F0D06"/>
    <w:rsid w:val="002F1A3E"/>
    <w:rsid w:val="002F24D1"/>
    <w:rsid w:val="002F2532"/>
    <w:rsid w:val="002F29CE"/>
    <w:rsid w:val="002F2F50"/>
    <w:rsid w:val="002F37E1"/>
    <w:rsid w:val="002F3BBF"/>
    <w:rsid w:val="002F572A"/>
    <w:rsid w:val="002F5B03"/>
    <w:rsid w:val="002F6498"/>
    <w:rsid w:val="00300A3C"/>
    <w:rsid w:val="00301A57"/>
    <w:rsid w:val="00301EF4"/>
    <w:rsid w:val="0030430E"/>
    <w:rsid w:val="00304ABF"/>
    <w:rsid w:val="00305A66"/>
    <w:rsid w:val="00305CBD"/>
    <w:rsid w:val="003102D2"/>
    <w:rsid w:val="0031250D"/>
    <w:rsid w:val="0031445A"/>
    <w:rsid w:val="00317B99"/>
    <w:rsid w:val="00317D47"/>
    <w:rsid w:val="00320BBB"/>
    <w:rsid w:val="003219D1"/>
    <w:rsid w:val="0032280D"/>
    <w:rsid w:val="0032282F"/>
    <w:rsid w:val="003247CD"/>
    <w:rsid w:val="00326C4E"/>
    <w:rsid w:val="00326E21"/>
    <w:rsid w:val="003274D2"/>
    <w:rsid w:val="00331863"/>
    <w:rsid w:val="00332F0D"/>
    <w:rsid w:val="0033473D"/>
    <w:rsid w:val="003366B1"/>
    <w:rsid w:val="00336AEC"/>
    <w:rsid w:val="003372CE"/>
    <w:rsid w:val="00340AE2"/>
    <w:rsid w:val="003420EB"/>
    <w:rsid w:val="00342C7B"/>
    <w:rsid w:val="00343387"/>
    <w:rsid w:val="003458CA"/>
    <w:rsid w:val="00345BB7"/>
    <w:rsid w:val="00345E8A"/>
    <w:rsid w:val="00347E9F"/>
    <w:rsid w:val="00350067"/>
    <w:rsid w:val="00350548"/>
    <w:rsid w:val="00350E8F"/>
    <w:rsid w:val="00351885"/>
    <w:rsid w:val="0035427F"/>
    <w:rsid w:val="00354895"/>
    <w:rsid w:val="003554B7"/>
    <w:rsid w:val="00355FE5"/>
    <w:rsid w:val="003567D4"/>
    <w:rsid w:val="003577C9"/>
    <w:rsid w:val="003614AB"/>
    <w:rsid w:val="00364757"/>
    <w:rsid w:val="00364DFF"/>
    <w:rsid w:val="00365DD6"/>
    <w:rsid w:val="0036711E"/>
    <w:rsid w:val="0037000C"/>
    <w:rsid w:val="003707DE"/>
    <w:rsid w:val="00370D7E"/>
    <w:rsid w:val="0037163A"/>
    <w:rsid w:val="003717CC"/>
    <w:rsid w:val="0037359E"/>
    <w:rsid w:val="00374721"/>
    <w:rsid w:val="00374A67"/>
    <w:rsid w:val="00375F89"/>
    <w:rsid w:val="00381A40"/>
    <w:rsid w:val="00382073"/>
    <w:rsid w:val="0038302D"/>
    <w:rsid w:val="00383C8A"/>
    <w:rsid w:val="003845C3"/>
    <w:rsid w:val="00386869"/>
    <w:rsid w:val="003869BA"/>
    <w:rsid w:val="00386A36"/>
    <w:rsid w:val="003877E1"/>
    <w:rsid w:val="00387E37"/>
    <w:rsid w:val="003918D7"/>
    <w:rsid w:val="00394231"/>
    <w:rsid w:val="0039541E"/>
    <w:rsid w:val="003960E5"/>
    <w:rsid w:val="00396B3F"/>
    <w:rsid w:val="00396CF4"/>
    <w:rsid w:val="00396E59"/>
    <w:rsid w:val="00396EC5"/>
    <w:rsid w:val="003A08F2"/>
    <w:rsid w:val="003A1692"/>
    <w:rsid w:val="003A1BFA"/>
    <w:rsid w:val="003A280D"/>
    <w:rsid w:val="003A4649"/>
    <w:rsid w:val="003A51F0"/>
    <w:rsid w:val="003A615E"/>
    <w:rsid w:val="003A6775"/>
    <w:rsid w:val="003A75FF"/>
    <w:rsid w:val="003B0D1F"/>
    <w:rsid w:val="003B171B"/>
    <w:rsid w:val="003B2723"/>
    <w:rsid w:val="003B3C82"/>
    <w:rsid w:val="003B75D7"/>
    <w:rsid w:val="003B77CE"/>
    <w:rsid w:val="003C00DB"/>
    <w:rsid w:val="003C2612"/>
    <w:rsid w:val="003C27C0"/>
    <w:rsid w:val="003C2A50"/>
    <w:rsid w:val="003C4421"/>
    <w:rsid w:val="003C4BF4"/>
    <w:rsid w:val="003C5EDF"/>
    <w:rsid w:val="003C67C6"/>
    <w:rsid w:val="003C6987"/>
    <w:rsid w:val="003C7D08"/>
    <w:rsid w:val="003D1980"/>
    <w:rsid w:val="003D3791"/>
    <w:rsid w:val="003D4452"/>
    <w:rsid w:val="003D4A68"/>
    <w:rsid w:val="003D5E0D"/>
    <w:rsid w:val="003D6C47"/>
    <w:rsid w:val="003D78D1"/>
    <w:rsid w:val="003D7C3B"/>
    <w:rsid w:val="003E0178"/>
    <w:rsid w:val="003E1734"/>
    <w:rsid w:val="003E1BCE"/>
    <w:rsid w:val="003E3759"/>
    <w:rsid w:val="003E3CC3"/>
    <w:rsid w:val="003E3F04"/>
    <w:rsid w:val="003E435C"/>
    <w:rsid w:val="003E4AE6"/>
    <w:rsid w:val="003E4B44"/>
    <w:rsid w:val="003E72E3"/>
    <w:rsid w:val="003E73A5"/>
    <w:rsid w:val="003F083A"/>
    <w:rsid w:val="003F0F5F"/>
    <w:rsid w:val="003F18CC"/>
    <w:rsid w:val="003F237B"/>
    <w:rsid w:val="003F4FA5"/>
    <w:rsid w:val="003F5AD0"/>
    <w:rsid w:val="003F6FCC"/>
    <w:rsid w:val="004003A9"/>
    <w:rsid w:val="00400467"/>
    <w:rsid w:val="00401C9E"/>
    <w:rsid w:val="00403B92"/>
    <w:rsid w:val="00403E89"/>
    <w:rsid w:val="0040411B"/>
    <w:rsid w:val="00404AF1"/>
    <w:rsid w:val="00404D87"/>
    <w:rsid w:val="0040559E"/>
    <w:rsid w:val="00405693"/>
    <w:rsid w:val="00405A87"/>
    <w:rsid w:val="00406BFB"/>
    <w:rsid w:val="00406F93"/>
    <w:rsid w:val="00410040"/>
    <w:rsid w:val="004125D3"/>
    <w:rsid w:val="00412678"/>
    <w:rsid w:val="00412E19"/>
    <w:rsid w:val="00413DB9"/>
    <w:rsid w:val="00414DE6"/>
    <w:rsid w:val="0041582E"/>
    <w:rsid w:val="00415BA9"/>
    <w:rsid w:val="00416C38"/>
    <w:rsid w:val="00420639"/>
    <w:rsid w:val="00421DBF"/>
    <w:rsid w:val="004235AF"/>
    <w:rsid w:val="004238A7"/>
    <w:rsid w:val="00423E22"/>
    <w:rsid w:val="004240D8"/>
    <w:rsid w:val="0042425D"/>
    <w:rsid w:val="00426387"/>
    <w:rsid w:val="004267C8"/>
    <w:rsid w:val="004269B1"/>
    <w:rsid w:val="00431931"/>
    <w:rsid w:val="00431C13"/>
    <w:rsid w:val="0043357F"/>
    <w:rsid w:val="00434041"/>
    <w:rsid w:val="00434FCC"/>
    <w:rsid w:val="004356F8"/>
    <w:rsid w:val="00435BEA"/>
    <w:rsid w:val="00435CCB"/>
    <w:rsid w:val="004364D2"/>
    <w:rsid w:val="00436B31"/>
    <w:rsid w:val="00437B53"/>
    <w:rsid w:val="00441803"/>
    <w:rsid w:val="0044246C"/>
    <w:rsid w:val="004427F4"/>
    <w:rsid w:val="004438D9"/>
    <w:rsid w:val="00443AED"/>
    <w:rsid w:val="004518DC"/>
    <w:rsid w:val="00452D25"/>
    <w:rsid w:val="004545D8"/>
    <w:rsid w:val="004546EF"/>
    <w:rsid w:val="00454AD2"/>
    <w:rsid w:val="00455CC2"/>
    <w:rsid w:val="00455D7B"/>
    <w:rsid w:val="0045625D"/>
    <w:rsid w:val="00457271"/>
    <w:rsid w:val="00457FF6"/>
    <w:rsid w:val="004628B0"/>
    <w:rsid w:val="00463491"/>
    <w:rsid w:val="00463784"/>
    <w:rsid w:val="00464CF2"/>
    <w:rsid w:val="004667DF"/>
    <w:rsid w:val="00467FCB"/>
    <w:rsid w:val="0047151C"/>
    <w:rsid w:val="00472017"/>
    <w:rsid w:val="00474CF6"/>
    <w:rsid w:val="0047529F"/>
    <w:rsid w:val="00476F02"/>
    <w:rsid w:val="00477E33"/>
    <w:rsid w:val="00477E88"/>
    <w:rsid w:val="00483505"/>
    <w:rsid w:val="004836A5"/>
    <w:rsid w:val="00483BD1"/>
    <w:rsid w:val="004848E4"/>
    <w:rsid w:val="004849E8"/>
    <w:rsid w:val="004855CE"/>
    <w:rsid w:val="00485703"/>
    <w:rsid w:val="00487A66"/>
    <w:rsid w:val="00487D1F"/>
    <w:rsid w:val="00490019"/>
    <w:rsid w:val="0049105E"/>
    <w:rsid w:val="004914D3"/>
    <w:rsid w:val="00491DF4"/>
    <w:rsid w:val="00491E91"/>
    <w:rsid w:val="00493743"/>
    <w:rsid w:val="00494F87"/>
    <w:rsid w:val="00495B15"/>
    <w:rsid w:val="00496481"/>
    <w:rsid w:val="00496F46"/>
    <w:rsid w:val="004A0C6C"/>
    <w:rsid w:val="004A10B0"/>
    <w:rsid w:val="004A12D1"/>
    <w:rsid w:val="004A1976"/>
    <w:rsid w:val="004A1B78"/>
    <w:rsid w:val="004A3CA5"/>
    <w:rsid w:val="004A3F9B"/>
    <w:rsid w:val="004A485D"/>
    <w:rsid w:val="004A65D6"/>
    <w:rsid w:val="004A7F52"/>
    <w:rsid w:val="004B0E84"/>
    <w:rsid w:val="004B3359"/>
    <w:rsid w:val="004B387E"/>
    <w:rsid w:val="004B6023"/>
    <w:rsid w:val="004B6028"/>
    <w:rsid w:val="004B6D64"/>
    <w:rsid w:val="004B6FAA"/>
    <w:rsid w:val="004B7267"/>
    <w:rsid w:val="004B7B10"/>
    <w:rsid w:val="004C21A7"/>
    <w:rsid w:val="004C4A59"/>
    <w:rsid w:val="004C5B75"/>
    <w:rsid w:val="004C66B0"/>
    <w:rsid w:val="004C7F32"/>
    <w:rsid w:val="004D50E8"/>
    <w:rsid w:val="004D56C4"/>
    <w:rsid w:val="004D71F8"/>
    <w:rsid w:val="004D7DE8"/>
    <w:rsid w:val="004E24E3"/>
    <w:rsid w:val="004E3452"/>
    <w:rsid w:val="004E44BF"/>
    <w:rsid w:val="004E5406"/>
    <w:rsid w:val="004E6194"/>
    <w:rsid w:val="004E6398"/>
    <w:rsid w:val="004E6A05"/>
    <w:rsid w:val="004E76B1"/>
    <w:rsid w:val="004E7BD6"/>
    <w:rsid w:val="004F02DD"/>
    <w:rsid w:val="004F0AC7"/>
    <w:rsid w:val="004F1D59"/>
    <w:rsid w:val="00501625"/>
    <w:rsid w:val="0050267B"/>
    <w:rsid w:val="00504948"/>
    <w:rsid w:val="005052C3"/>
    <w:rsid w:val="00505F2C"/>
    <w:rsid w:val="00506EEB"/>
    <w:rsid w:val="00506F82"/>
    <w:rsid w:val="00507C5A"/>
    <w:rsid w:val="005101F7"/>
    <w:rsid w:val="00510567"/>
    <w:rsid w:val="00511882"/>
    <w:rsid w:val="00512089"/>
    <w:rsid w:val="005121EA"/>
    <w:rsid w:val="00512202"/>
    <w:rsid w:val="00512581"/>
    <w:rsid w:val="00513595"/>
    <w:rsid w:val="00514DF0"/>
    <w:rsid w:val="0051554D"/>
    <w:rsid w:val="00517EE1"/>
    <w:rsid w:val="00520127"/>
    <w:rsid w:val="00520B4D"/>
    <w:rsid w:val="00520BDD"/>
    <w:rsid w:val="00521CE9"/>
    <w:rsid w:val="00521F00"/>
    <w:rsid w:val="005220AF"/>
    <w:rsid w:val="005221D5"/>
    <w:rsid w:val="00525F09"/>
    <w:rsid w:val="00526047"/>
    <w:rsid w:val="00527706"/>
    <w:rsid w:val="005306BF"/>
    <w:rsid w:val="005307B4"/>
    <w:rsid w:val="00531CFD"/>
    <w:rsid w:val="00532617"/>
    <w:rsid w:val="00533487"/>
    <w:rsid w:val="00533C3E"/>
    <w:rsid w:val="005345F6"/>
    <w:rsid w:val="00535B33"/>
    <w:rsid w:val="005400C3"/>
    <w:rsid w:val="005400D7"/>
    <w:rsid w:val="00540518"/>
    <w:rsid w:val="005420EC"/>
    <w:rsid w:val="005430BA"/>
    <w:rsid w:val="00543370"/>
    <w:rsid w:val="005442F4"/>
    <w:rsid w:val="005444EC"/>
    <w:rsid w:val="0054712C"/>
    <w:rsid w:val="005555D2"/>
    <w:rsid w:val="0055578F"/>
    <w:rsid w:val="00555E8C"/>
    <w:rsid w:val="00556718"/>
    <w:rsid w:val="0055692F"/>
    <w:rsid w:val="00557B9D"/>
    <w:rsid w:val="0056027A"/>
    <w:rsid w:val="005605F6"/>
    <w:rsid w:val="00560604"/>
    <w:rsid w:val="00560638"/>
    <w:rsid w:val="00560B50"/>
    <w:rsid w:val="0056104F"/>
    <w:rsid w:val="0056356A"/>
    <w:rsid w:val="00563B0A"/>
    <w:rsid w:val="00564E15"/>
    <w:rsid w:val="0056542F"/>
    <w:rsid w:val="00565553"/>
    <w:rsid w:val="00565804"/>
    <w:rsid w:val="00565F43"/>
    <w:rsid w:val="00566374"/>
    <w:rsid w:val="0056670B"/>
    <w:rsid w:val="00566C5D"/>
    <w:rsid w:val="00567505"/>
    <w:rsid w:val="00570CCC"/>
    <w:rsid w:val="00571EA9"/>
    <w:rsid w:val="00572285"/>
    <w:rsid w:val="005726E5"/>
    <w:rsid w:val="00575BBF"/>
    <w:rsid w:val="00576381"/>
    <w:rsid w:val="005767A7"/>
    <w:rsid w:val="005770FC"/>
    <w:rsid w:val="0058056F"/>
    <w:rsid w:val="00580F8F"/>
    <w:rsid w:val="0058425E"/>
    <w:rsid w:val="00584F45"/>
    <w:rsid w:val="0058528C"/>
    <w:rsid w:val="005853B5"/>
    <w:rsid w:val="005877D1"/>
    <w:rsid w:val="00587E2A"/>
    <w:rsid w:val="0059144B"/>
    <w:rsid w:val="00591569"/>
    <w:rsid w:val="00591581"/>
    <w:rsid w:val="00591783"/>
    <w:rsid w:val="0059252A"/>
    <w:rsid w:val="00592ECA"/>
    <w:rsid w:val="005933D5"/>
    <w:rsid w:val="00594544"/>
    <w:rsid w:val="005952F2"/>
    <w:rsid w:val="00595D63"/>
    <w:rsid w:val="005A2B2F"/>
    <w:rsid w:val="005A3BC5"/>
    <w:rsid w:val="005A441F"/>
    <w:rsid w:val="005A4D7F"/>
    <w:rsid w:val="005A549F"/>
    <w:rsid w:val="005A65E1"/>
    <w:rsid w:val="005A783D"/>
    <w:rsid w:val="005B0763"/>
    <w:rsid w:val="005B3988"/>
    <w:rsid w:val="005B6D6A"/>
    <w:rsid w:val="005B7DE8"/>
    <w:rsid w:val="005C15E3"/>
    <w:rsid w:val="005C1F56"/>
    <w:rsid w:val="005C20A9"/>
    <w:rsid w:val="005C299C"/>
    <w:rsid w:val="005C417D"/>
    <w:rsid w:val="005C4245"/>
    <w:rsid w:val="005C5A15"/>
    <w:rsid w:val="005C5C6F"/>
    <w:rsid w:val="005C5CDA"/>
    <w:rsid w:val="005C6976"/>
    <w:rsid w:val="005C7296"/>
    <w:rsid w:val="005D11B8"/>
    <w:rsid w:val="005D1ACF"/>
    <w:rsid w:val="005D22B5"/>
    <w:rsid w:val="005D3F6E"/>
    <w:rsid w:val="005D405E"/>
    <w:rsid w:val="005D41CB"/>
    <w:rsid w:val="005D41E7"/>
    <w:rsid w:val="005D5FDE"/>
    <w:rsid w:val="005D6F68"/>
    <w:rsid w:val="005E05D5"/>
    <w:rsid w:val="005E0666"/>
    <w:rsid w:val="005E1AFC"/>
    <w:rsid w:val="005E46FE"/>
    <w:rsid w:val="005E6D48"/>
    <w:rsid w:val="005E713F"/>
    <w:rsid w:val="005E7460"/>
    <w:rsid w:val="005F152F"/>
    <w:rsid w:val="005F4A2C"/>
    <w:rsid w:val="005F4C89"/>
    <w:rsid w:val="005F4E42"/>
    <w:rsid w:val="005F615B"/>
    <w:rsid w:val="005F6200"/>
    <w:rsid w:val="00602243"/>
    <w:rsid w:val="00602EF3"/>
    <w:rsid w:val="00603A83"/>
    <w:rsid w:val="00603BB9"/>
    <w:rsid w:val="00605A4F"/>
    <w:rsid w:val="00605D9E"/>
    <w:rsid w:val="00605E84"/>
    <w:rsid w:val="00610BE7"/>
    <w:rsid w:val="00611B59"/>
    <w:rsid w:val="0061264B"/>
    <w:rsid w:val="0061265A"/>
    <w:rsid w:val="00612C5F"/>
    <w:rsid w:val="006136FF"/>
    <w:rsid w:val="006143EF"/>
    <w:rsid w:val="00614446"/>
    <w:rsid w:val="0061472D"/>
    <w:rsid w:val="0061623D"/>
    <w:rsid w:val="006209E6"/>
    <w:rsid w:val="006223E8"/>
    <w:rsid w:val="00623A35"/>
    <w:rsid w:val="00623B90"/>
    <w:rsid w:val="00624BB1"/>
    <w:rsid w:val="00625B89"/>
    <w:rsid w:val="00626918"/>
    <w:rsid w:val="006305F7"/>
    <w:rsid w:val="0063072F"/>
    <w:rsid w:val="00630EC8"/>
    <w:rsid w:val="00632499"/>
    <w:rsid w:val="00632A99"/>
    <w:rsid w:val="00632ADD"/>
    <w:rsid w:val="00633DDF"/>
    <w:rsid w:val="00634FC7"/>
    <w:rsid w:val="006352AE"/>
    <w:rsid w:val="0063608D"/>
    <w:rsid w:val="00636805"/>
    <w:rsid w:val="00636FC6"/>
    <w:rsid w:val="0063744B"/>
    <w:rsid w:val="00637841"/>
    <w:rsid w:val="00637F7E"/>
    <w:rsid w:val="00640123"/>
    <w:rsid w:val="00640BF9"/>
    <w:rsid w:val="00640D0E"/>
    <w:rsid w:val="0064170D"/>
    <w:rsid w:val="00641EFA"/>
    <w:rsid w:val="00642354"/>
    <w:rsid w:val="00643B60"/>
    <w:rsid w:val="00644660"/>
    <w:rsid w:val="00646E3A"/>
    <w:rsid w:val="00651629"/>
    <w:rsid w:val="006528A5"/>
    <w:rsid w:val="00652A3C"/>
    <w:rsid w:val="006533D1"/>
    <w:rsid w:val="00653A1E"/>
    <w:rsid w:val="00653BFC"/>
    <w:rsid w:val="00653DCD"/>
    <w:rsid w:val="006544B9"/>
    <w:rsid w:val="006545BD"/>
    <w:rsid w:val="0065529F"/>
    <w:rsid w:val="00655EFB"/>
    <w:rsid w:val="0065648F"/>
    <w:rsid w:val="0065737D"/>
    <w:rsid w:val="00657BC6"/>
    <w:rsid w:val="00661077"/>
    <w:rsid w:val="0066387B"/>
    <w:rsid w:val="006646AA"/>
    <w:rsid w:val="006650A9"/>
    <w:rsid w:val="0066602B"/>
    <w:rsid w:val="00666544"/>
    <w:rsid w:val="006675AC"/>
    <w:rsid w:val="006678DF"/>
    <w:rsid w:val="00671331"/>
    <w:rsid w:val="00671530"/>
    <w:rsid w:val="00671589"/>
    <w:rsid w:val="00671BD7"/>
    <w:rsid w:val="006726FD"/>
    <w:rsid w:val="00674626"/>
    <w:rsid w:val="00675520"/>
    <w:rsid w:val="00675823"/>
    <w:rsid w:val="00676B6E"/>
    <w:rsid w:val="006777CF"/>
    <w:rsid w:val="0068059A"/>
    <w:rsid w:val="00680BFD"/>
    <w:rsid w:val="00681162"/>
    <w:rsid w:val="006813DE"/>
    <w:rsid w:val="00681B83"/>
    <w:rsid w:val="00683FF4"/>
    <w:rsid w:val="00685E45"/>
    <w:rsid w:val="00686D87"/>
    <w:rsid w:val="00687489"/>
    <w:rsid w:val="00687C9D"/>
    <w:rsid w:val="006909DA"/>
    <w:rsid w:val="0069134B"/>
    <w:rsid w:val="00691D2D"/>
    <w:rsid w:val="00691E60"/>
    <w:rsid w:val="00692CF7"/>
    <w:rsid w:val="00693010"/>
    <w:rsid w:val="00693F7A"/>
    <w:rsid w:val="0069438C"/>
    <w:rsid w:val="00694E24"/>
    <w:rsid w:val="00696C5D"/>
    <w:rsid w:val="00697D7F"/>
    <w:rsid w:val="006A0836"/>
    <w:rsid w:val="006A1088"/>
    <w:rsid w:val="006A1D8F"/>
    <w:rsid w:val="006A322A"/>
    <w:rsid w:val="006A3AED"/>
    <w:rsid w:val="006A4AD6"/>
    <w:rsid w:val="006A6207"/>
    <w:rsid w:val="006B2510"/>
    <w:rsid w:val="006B2A9A"/>
    <w:rsid w:val="006B378A"/>
    <w:rsid w:val="006B382C"/>
    <w:rsid w:val="006C0B4A"/>
    <w:rsid w:val="006C1BE3"/>
    <w:rsid w:val="006C2212"/>
    <w:rsid w:val="006C2292"/>
    <w:rsid w:val="006C42AB"/>
    <w:rsid w:val="006C44DA"/>
    <w:rsid w:val="006D2E9B"/>
    <w:rsid w:val="006D30EA"/>
    <w:rsid w:val="006D3175"/>
    <w:rsid w:val="006D3E98"/>
    <w:rsid w:val="006D3F2F"/>
    <w:rsid w:val="006D4829"/>
    <w:rsid w:val="006D534B"/>
    <w:rsid w:val="006D56C4"/>
    <w:rsid w:val="006D58A5"/>
    <w:rsid w:val="006D63BD"/>
    <w:rsid w:val="006D67CA"/>
    <w:rsid w:val="006E2EF4"/>
    <w:rsid w:val="006E35CD"/>
    <w:rsid w:val="006E5F88"/>
    <w:rsid w:val="006E6A3B"/>
    <w:rsid w:val="006E79C6"/>
    <w:rsid w:val="006F079C"/>
    <w:rsid w:val="006F1621"/>
    <w:rsid w:val="006F2202"/>
    <w:rsid w:val="006F4CBB"/>
    <w:rsid w:val="006F56A5"/>
    <w:rsid w:val="006F5E2F"/>
    <w:rsid w:val="006F7CD6"/>
    <w:rsid w:val="006F7E91"/>
    <w:rsid w:val="00700722"/>
    <w:rsid w:val="00703251"/>
    <w:rsid w:val="00703422"/>
    <w:rsid w:val="0070524A"/>
    <w:rsid w:val="007053DB"/>
    <w:rsid w:val="007064B1"/>
    <w:rsid w:val="00706A74"/>
    <w:rsid w:val="00711A5B"/>
    <w:rsid w:val="00711E89"/>
    <w:rsid w:val="007125CD"/>
    <w:rsid w:val="00712C73"/>
    <w:rsid w:val="007135D8"/>
    <w:rsid w:val="0071536F"/>
    <w:rsid w:val="007173DA"/>
    <w:rsid w:val="007178C0"/>
    <w:rsid w:val="00720247"/>
    <w:rsid w:val="0072093B"/>
    <w:rsid w:val="00720C27"/>
    <w:rsid w:val="007210CE"/>
    <w:rsid w:val="00721219"/>
    <w:rsid w:val="00722CBE"/>
    <w:rsid w:val="00723911"/>
    <w:rsid w:val="00723EF2"/>
    <w:rsid w:val="00724B71"/>
    <w:rsid w:val="00724FC9"/>
    <w:rsid w:val="00725920"/>
    <w:rsid w:val="007261DC"/>
    <w:rsid w:val="00726852"/>
    <w:rsid w:val="007301A2"/>
    <w:rsid w:val="0073327F"/>
    <w:rsid w:val="0073396E"/>
    <w:rsid w:val="007352A2"/>
    <w:rsid w:val="0073576E"/>
    <w:rsid w:val="00736966"/>
    <w:rsid w:val="00737974"/>
    <w:rsid w:val="00740F85"/>
    <w:rsid w:val="0074251D"/>
    <w:rsid w:val="0074253B"/>
    <w:rsid w:val="00742D93"/>
    <w:rsid w:val="00742FEB"/>
    <w:rsid w:val="0074668D"/>
    <w:rsid w:val="0074772C"/>
    <w:rsid w:val="007506A1"/>
    <w:rsid w:val="00751D6C"/>
    <w:rsid w:val="00751EBF"/>
    <w:rsid w:val="00752DC1"/>
    <w:rsid w:val="00752FBE"/>
    <w:rsid w:val="00754E60"/>
    <w:rsid w:val="007561A7"/>
    <w:rsid w:val="00756222"/>
    <w:rsid w:val="00756CE7"/>
    <w:rsid w:val="007601C6"/>
    <w:rsid w:val="00760CEF"/>
    <w:rsid w:val="0076172D"/>
    <w:rsid w:val="00761AF1"/>
    <w:rsid w:val="00761FFA"/>
    <w:rsid w:val="00763506"/>
    <w:rsid w:val="007640EF"/>
    <w:rsid w:val="00764B2E"/>
    <w:rsid w:val="00764EBE"/>
    <w:rsid w:val="007676A7"/>
    <w:rsid w:val="0077051E"/>
    <w:rsid w:val="007707E1"/>
    <w:rsid w:val="00771533"/>
    <w:rsid w:val="00772137"/>
    <w:rsid w:val="007727F4"/>
    <w:rsid w:val="007760F4"/>
    <w:rsid w:val="0077681D"/>
    <w:rsid w:val="007771C7"/>
    <w:rsid w:val="0077753F"/>
    <w:rsid w:val="0078059B"/>
    <w:rsid w:val="007817E0"/>
    <w:rsid w:val="00781873"/>
    <w:rsid w:val="00781AC1"/>
    <w:rsid w:val="007843D6"/>
    <w:rsid w:val="00784B66"/>
    <w:rsid w:val="007857B9"/>
    <w:rsid w:val="00785A0E"/>
    <w:rsid w:val="00787456"/>
    <w:rsid w:val="00790C40"/>
    <w:rsid w:val="007915FF"/>
    <w:rsid w:val="007921DC"/>
    <w:rsid w:val="00792742"/>
    <w:rsid w:val="007961C5"/>
    <w:rsid w:val="007964A3"/>
    <w:rsid w:val="007967E4"/>
    <w:rsid w:val="00797D85"/>
    <w:rsid w:val="007A06C5"/>
    <w:rsid w:val="007A1CED"/>
    <w:rsid w:val="007A2552"/>
    <w:rsid w:val="007A3D49"/>
    <w:rsid w:val="007A4EE4"/>
    <w:rsid w:val="007A4FBC"/>
    <w:rsid w:val="007A771F"/>
    <w:rsid w:val="007B02F9"/>
    <w:rsid w:val="007B1F49"/>
    <w:rsid w:val="007B5DE9"/>
    <w:rsid w:val="007B6110"/>
    <w:rsid w:val="007C035E"/>
    <w:rsid w:val="007C0839"/>
    <w:rsid w:val="007C0D38"/>
    <w:rsid w:val="007C4E30"/>
    <w:rsid w:val="007C65E0"/>
    <w:rsid w:val="007C7F96"/>
    <w:rsid w:val="007D019E"/>
    <w:rsid w:val="007D08F2"/>
    <w:rsid w:val="007D0C59"/>
    <w:rsid w:val="007D123A"/>
    <w:rsid w:val="007D21D5"/>
    <w:rsid w:val="007D3480"/>
    <w:rsid w:val="007D366D"/>
    <w:rsid w:val="007D6B6E"/>
    <w:rsid w:val="007E0EF9"/>
    <w:rsid w:val="007E112B"/>
    <w:rsid w:val="007E3DB8"/>
    <w:rsid w:val="007E6809"/>
    <w:rsid w:val="007E686C"/>
    <w:rsid w:val="007E7BD5"/>
    <w:rsid w:val="007F0509"/>
    <w:rsid w:val="007F1722"/>
    <w:rsid w:val="007F2313"/>
    <w:rsid w:val="007F3A81"/>
    <w:rsid w:val="007F4360"/>
    <w:rsid w:val="007F4B7C"/>
    <w:rsid w:val="007F4B92"/>
    <w:rsid w:val="007F4D24"/>
    <w:rsid w:val="007F62BD"/>
    <w:rsid w:val="007F6A18"/>
    <w:rsid w:val="007F6F7A"/>
    <w:rsid w:val="00800ED7"/>
    <w:rsid w:val="00801091"/>
    <w:rsid w:val="00801C4C"/>
    <w:rsid w:val="0080285A"/>
    <w:rsid w:val="00803463"/>
    <w:rsid w:val="008046F6"/>
    <w:rsid w:val="0080485D"/>
    <w:rsid w:val="00804C03"/>
    <w:rsid w:val="00804DA7"/>
    <w:rsid w:val="0080650C"/>
    <w:rsid w:val="00807424"/>
    <w:rsid w:val="00810BE2"/>
    <w:rsid w:val="00810E00"/>
    <w:rsid w:val="00811EF4"/>
    <w:rsid w:val="00812042"/>
    <w:rsid w:val="00812B20"/>
    <w:rsid w:val="008142B9"/>
    <w:rsid w:val="0081476B"/>
    <w:rsid w:val="00815C98"/>
    <w:rsid w:val="00816579"/>
    <w:rsid w:val="0081753A"/>
    <w:rsid w:val="008176ED"/>
    <w:rsid w:val="00817F4C"/>
    <w:rsid w:val="00820943"/>
    <w:rsid w:val="00822570"/>
    <w:rsid w:val="00822A60"/>
    <w:rsid w:val="00822BA9"/>
    <w:rsid w:val="00824801"/>
    <w:rsid w:val="00825391"/>
    <w:rsid w:val="00825576"/>
    <w:rsid w:val="00825EF7"/>
    <w:rsid w:val="00826B36"/>
    <w:rsid w:val="00826B46"/>
    <w:rsid w:val="00834C3D"/>
    <w:rsid w:val="008355B8"/>
    <w:rsid w:val="0083561B"/>
    <w:rsid w:val="008367DC"/>
    <w:rsid w:val="00840C66"/>
    <w:rsid w:val="00840CF6"/>
    <w:rsid w:val="00846E56"/>
    <w:rsid w:val="00847C76"/>
    <w:rsid w:val="00850A8D"/>
    <w:rsid w:val="00850AF1"/>
    <w:rsid w:val="00850F9F"/>
    <w:rsid w:val="008518FE"/>
    <w:rsid w:val="00851ADD"/>
    <w:rsid w:val="00851EAA"/>
    <w:rsid w:val="00852F65"/>
    <w:rsid w:val="008547A9"/>
    <w:rsid w:val="00854BF1"/>
    <w:rsid w:val="00855F87"/>
    <w:rsid w:val="008571C6"/>
    <w:rsid w:val="00861279"/>
    <w:rsid w:val="0086243E"/>
    <w:rsid w:val="00862741"/>
    <w:rsid w:val="0086341E"/>
    <w:rsid w:val="008637AD"/>
    <w:rsid w:val="008637F1"/>
    <w:rsid w:val="0086480F"/>
    <w:rsid w:val="008702F0"/>
    <w:rsid w:val="0087126F"/>
    <w:rsid w:val="00871E83"/>
    <w:rsid w:val="0087256B"/>
    <w:rsid w:val="008741B2"/>
    <w:rsid w:val="00876E1A"/>
    <w:rsid w:val="008823B5"/>
    <w:rsid w:val="008829BC"/>
    <w:rsid w:val="00883726"/>
    <w:rsid w:val="00883B21"/>
    <w:rsid w:val="00883EF4"/>
    <w:rsid w:val="0088516D"/>
    <w:rsid w:val="008858B8"/>
    <w:rsid w:val="008873A0"/>
    <w:rsid w:val="00890025"/>
    <w:rsid w:val="00892404"/>
    <w:rsid w:val="00892C59"/>
    <w:rsid w:val="00893486"/>
    <w:rsid w:val="00893493"/>
    <w:rsid w:val="00894CFB"/>
    <w:rsid w:val="00895A06"/>
    <w:rsid w:val="00895A16"/>
    <w:rsid w:val="008962D2"/>
    <w:rsid w:val="0089648B"/>
    <w:rsid w:val="008972B4"/>
    <w:rsid w:val="00897A94"/>
    <w:rsid w:val="00897D61"/>
    <w:rsid w:val="008A0012"/>
    <w:rsid w:val="008A18C3"/>
    <w:rsid w:val="008A1D7C"/>
    <w:rsid w:val="008A1F16"/>
    <w:rsid w:val="008A24E4"/>
    <w:rsid w:val="008A259A"/>
    <w:rsid w:val="008A359C"/>
    <w:rsid w:val="008A3EF8"/>
    <w:rsid w:val="008A5061"/>
    <w:rsid w:val="008A59AD"/>
    <w:rsid w:val="008A6C71"/>
    <w:rsid w:val="008A7D17"/>
    <w:rsid w:val="008B0F03"/>
    <w:rsid w:val="008B2914"/>
    <w:rsid w:val="008B2954"/>
    <w:rsid w:val="008B427F"/>
    <w:rsid w:val="008B4AE4"/>
    <w:rsid w:val="008B5417"/>
    <w:rsid w:val="008B5AD0"/>
    <w:rsid w:val="008B6523"/>
    <w:rsid w:val="008C01FC"/>
    <w:rsid w:val="008C08A5"/>
    <w:rsid w:val="008C2834"/>
    <w:rsid w:val="008C486E"/>
    <w:rsid w:val="008C4DC6"/>
    <w:rsid w:val="008C54CE"/>
    <w:rsid w:val="008C5F55"/>
    <w:rsid w:val="008D2363"/>
    <w:rsid w:val="008D3130"/>
    <w:rsid w:val="008D5529"/>
    <w:rsid w:val="008D5F45"/>
    <w:rsid w:val="008D7209"/>
    <w:rsid w:val="008E166B"/>
    <w:rsid w:val="008E2172"/>
    <w:rsid w:val="008E2760"/>
    <w:rsid w:val="008E2F53"/>
    <w:rsid w:val="008E3B38"/>
    <w:rsid w:val="008E3DCF"/>
    <w:rsid w:val="008E3F33"/>
    <w:rsid w:val="008E55F1"/>
    <w:rsid w:val="008F0A28"/>
    <w:rsid w:val="008F10B5"/>
    <w:rsid w:val="008F1113"/>
    <w:rsid w:val="008F16DA"/>
    <w:rsid w:val="008F1B87"/>
    <w:rsid w:val="008F5048"/>
    <w:rsid w:val="008F572A"/>
    <w:rsid w:val="008F62FC"/>
    <w:rsid w:val="008F7AD2"/>
    <w:rsid w:val="00900793"/>
    <w:rsid w:val="00901453"/>
    <w:rsid w:val="00902AC5"/>
    <w:rsid w:val="009038C3"/>
    <w:rsid w:val="0090409C"/>
    <w:rsid w:val="009047A4"/>
    <w:rsid w:val="009059A1"/>
    <w:rsid w:val="00905C56"/>
    <w:rsid w:val="0090621D"/>
    <w:rsid w:val="00907F28"/>
    <w:rsid w:val="00913FB7"/>
    <w:rsid w:val="009145BC"/>
    <w:rsid w:val="009153EB"/>
    <w:rsid w:val="009166D6"/>
    <w:rsid w:val="0092072D"/>
    <w:rsid w:val="00920FA5"/>
    <w:rsid w:val="00921303"/>
    <w:rsid w:val="009221B1"/>
    <w:rsid w:val="00922CDB"/>
    <w:rsid w:val="009236D3"/>
    <w:rsid w:val="00924103"/>
    <w:rsid w:val="00924DAF"/>
    <w:rsid w:val="00927077"/>
    <w:rsid w:val="0093088E"/>
    <w:rsid w:val="00931C46"/>
    <w:rsid w:val="00932E8C"/>
    <w:rsid w:val="0093496D"/>
    <w:rsid w:val="00936EF5"/>
    <w:rsid w:val="0093745D"/>
    <w:rsid w:val="009377CA"/>
    <w:rsid w:val="00941C8C"/>
    <w:rsid w:val="00942140"/>
    <w:rsid w:val="00942896"/>
    <w:rsid w:val="009440BF"/>
    <w:rsid w:val="009452D4"/>
    <w:rsid w:val="00946426"/>
    <w:rsid w:val="009476C5"/>
    <w:rsid w:val="00947D68"/>
    <w:rsid w:val="009513A2"/>
    <w:rsid w:val="009520F1"/>
    <w:rsid w:val="0095221B"/>
    <w:rsid w:val="009522D6"/>
    <w:rsid w:val="00952EDA"/>
    <w:rsid w:val="0095466E"/>
    <w:rsid w:val="00955407"/>
    <w:rsid w:val="00955BFA"/>
    <w:rsid w:val="00956D54"/>
    <w:rsid w:val="00957AD5"/>
    <w:rsid w:val="00962116"/>
    <w:rsid w:val="00963BDB"/>
    <w:rsid w:val="0096586C"/>
    <w:rsid w:val="00966207"/>
    <w:rsid w:val="009667BA"/>
    <w:rsid w:val="0096724D"/>
    <w:rsid w:val="0096733F"/>
    <w:rsid w:val="00967962"/>
    <w:rsid w:val="00970784"/>
    <w:rsid w:val="009713CC"/>
    <w:rsid w:val="00972267"/>
    <w:rsid w:val="0097601E"/>
    <w:rsid w:val="0097610B"/>
    <w:rsid w:val="009806EC"/>
    <w:rsid w:val="00981715"/>
    <w:rsid w:val="0098527D"/>
    <w:rsid w:val="00987266"/>
    <w:rsid w:val="0099121A"/>
    <w:rsid w:val="009916B3"/>
    <w:rsid w:val="00991A8E"/>
    <w:rsid w:val="00991C3E"/>
    <w:rsid w:val="0099202C"/>
    <w:rsid w:val="009939C4"/>
    <w:rsid w:val="009950B9"/>
    <w:rsid w:val="009976C4"/>
    <w:rsid w:val="00997A52"/>
    <w:rsid w:val="009A154A"/>
    <w:rsid w:val="009A21F7"/>
    <w:rsid w:val="009A2D97"/>
    <w:rsid w:val="009A3297"/>
    <w:rsid w:val="009A375D"/>
    <w:rsid w:val="009B2991"/>
    <w:rsid w:val="009B35B2"/>
    <w:rsid w:val="009B3AC7"/>
    <w:rsid w:val="009B4524"/>
    <w:rsid w:val="009B5E75"/>
    <w:rsid w:val="009B749F"/>
    <w:rsid w:val="009C0422"/>
    <w:rsid w:val="009C092F"/>
    <w:rsid w:val="009C1378"/>
    <w:rsid w:val="009C1714"/>
    <w:rsid w:val="009C17C0"/>
    <w:rsid w:val="009C2C9A"/>
    <w:rsid w:val="009C36C9"/>
    <w:rsid w:val="009C3A90"/>
    <w:rsid w:val="009C3C18"/>
    <w:rsid w:val="009C4018"/>
    <w:rsid w:val="009C404F"/>
    <w:rsid w:val="009C6D0B"/>
    <w:rsid w:val="009D0239"/>
    <w:rsid w:val="009D03C7"/>
    <w:rsid w:val="009D0C1E"/>
    <w:rsid w:val="009D10FB"/>
    <w:rsid w:val="009D24BE"/>
    <w:rsid w:val="009D2C54"/>
    <w:rsid w:val="009D6251"/>
    <w:rsid w:val="009D628D"/>
    <w:rsid w:val="009D7F87"/>
    <w:rsid w:val="009E08F3"/>
    <w:rsid w:val="009E1A4B"/>
    <w:rsid w:val="009E2281"/>
    <w:rsid w:val="009E23DD"/>
    <w:rsid w:val="009E3816"/>
    <w:rsid w:val="009E4682"/>
    <w:rsid w:val="009E48F1"/>
    <w:rsid w:val="009E53B4"/>
    <w:rsid w:val="009E5A1C"/>
    <w:rsid w:val="009E5B0E"/>
    <w:rsid w:val="009E6779"/>
    <w:rsid w:val="009E6997"/>
    <w:rsid w:val="009E6E65"/>
    <w:rsid w:val="009E71FB"/>
    <w:rsid w:val="009F0110"/>
    <w:rsid w:val="009F0CFD"/>
    <w:rsid w:val="009F0E62"/>
    <w:rsid w:val="009F22E0"/>
    <w:rsid w:val="009F3049"/>
    <w:rsid w:val="009F384B"/>
    <w:rsid w:val="009F5439"/>
    <w:rsid w:val="009F5707"/>
    <w:rsid w:val="009F5985"/>
    <w:rsid w:val="009F65B5"/>
    <w:rsid w:val="00A013BA"/>
    <w:rsid w:val="00A01CD0"/>
    <w:rsid w:val="00A02D3D"/>
    <w:rsid w:val="00A0340A"/>
    <w:rsid w:val="00A04021"/>
    <w:rsid w:val="00A04ECF"/>
    <w:rsid w:val="00A053B8"/>
    <w:rsid w:val="00A056CF"/>
    <w:rsid w:val="00A05D61"/>
    <w:rsid w:val="00A06693"/>
    <w:rsid w:val="00A06C78"/>
    <w:rsid w:val="00A0744F"/>
    <w:rsid w:val="00A0797D"/>
    <w:rsid w:val="00A10635"/>
    <w:rsid w:val="00A12213"/>
    <w:rsid w:val="00A14CF2"/>
    <w:rsid w:val="00A1565A"/>
    <w:rsid w:val="00A163F2"/>
    <w:rsid w:val="00A1772A"/>
    <w:rsid w:val="00A17984"/>
    <w:rsid w:val="00A2131A"/>
    <w:rsid w:val="00A220F0"/>
    <w:rsid w:val="00A227BF"/>
    <w:rsid w:val="00A23451"/>
    <w:rsid w:val="00A236F3"/>
    <w:rsid w:val="00A2416B"/>
    <w:rsid w:val="00A24D35"/>
    <w:rsid w:val="00A25173"/>
    <w:rsid w:val="00A30128"/>
    <w:rsid w:val="00A302C7"/>
    <w:rsid w:val="00A3171D"/>
    <w:rsid w:val="00A31AE0"/>
    <w:rsid w:val="00A324C9"/>
    <w:rsid w:val="00A336A7"/>
    <w:rsid w:val="00A35DCE"/>
    <w:rsid w:val="00A35FC7"/>
    <w:rsid w:val="00A36C73"/>
    <w:rsid w:val="00A3756D"/>
    <w:rsid w:val="00A4046B"/>
    <w:rsid w:val="00A41B15"/>
    <w:rsid w:val="00A4354A"/>
    <w:rsid w:val="00A44026"/>
    <w:rsid w:val="00A44329"/>
    <w:rsid w:val="00A44FE6"/>
    <w:rsid w:val="00A45BF6"/>
    <w:rsid w:val="00A46D25"/>
    <w:rsid w:val="00A47153"/>
    <w:rsid w:val="00A50B92"/>
    <w:rsid w:val="00A50F00"/>
    <w:rsid w:val="00A52909"/>
    <w:rsid w:val="00A52963"/>
    <w:rsid w:val="00A53557"/>
    <w:rsid w:val="00A5368F"/>
    <w:rsid w:val="00A5469D"/>
    <w:rsid w:val="00A54DA6"/>
    <w:rsid w:val="00A607DA"/>
    <w:rsid w:val="00A6199B"/>
    <w:rsid w:val="00A626C2"/>
    <w:rsid w:val="00A628C2"/>
    <w:rsid w:val="00A66583"/>
    <w:rsid w:val="00A6686A"/>
    <w:rsid w:val="00A66C1A"/>
    <w:rsid w:val="00A70516"/>
    <w:rsid w:val="00A7106D"/>
    <w:rsid w:val="00A7163C"/>
    <w:rsid w:val="00A71738"/>
    <w:rsid w:val="00A71BAC"/>
    <w:rsid w:val="00A73ED2"/>
    <w:rsid w:val="00A745FE"/>
    <w:rsid w:val="00A74A83"/>
    <w:rsid w:val="00A75093"/>
    <w:rsid w:val="00A761D1"/>
    <w:rsid w:val="00A7657F"/>
    <w:rsid w:val="00A76C89"/>
    <w:rsid w:val="00A83786"/>
    <w:rsid w:val="00A84D33"/>
    <w:rsid w:val="00A86E46"/>
    <w:rsid w:val="00A87DFF"/>
    <w:rsid w:val="00A918B6"/>
    <w:rsid w:val="00A91AAE"/>
    <w:rsid w:val="00A929FB"/>
    <w:rsid w:val="00A92BE8"/>
    <w:rsid w:val="00A94177"/>
    <w:rsid w:val="00A948C3"/>
    <w:rsid w:val="00A94DEE"/>
    <w:rsid w:val="00A94DF6"/>
    <w:rsid w:val="00A94F7C"/>
    <w:rsid w:val="00A9569E"/>
    <w:rsid w:val="00A9710E"/>
    <w:rsid w:val="00AA330B"/>
    <w:rsid w:val="00AA5750"/>
    <w:rsid w:val="00AA60AA"/>
    <w:rsid w:val="00AA682B"/>
    <w:rsid w:val="00AB1A5B"/>
    <w:rsid w:val="00AB2137"/>
    <w:rsid w:val="00AB2B13"/>
    <w:rsid w:val="00AB31CF"/>
    <w:rsid w:val="00AB3805"/>
    <w:rsid w:val="00AB3F95"/>
    <w:rsid w:val="00AB607E"/>
    <w:rsid w:val="00AB6622"/>
    <w:rsid w:val="00AC2B39"/>
    <w:rsid w:val="00AC31D0"/>
    <w:rsid w:val="00AC52E8"/>
    <w:rsid w:val="00AC6035"/>
    <w:rsid w:val="00AC7493"/>
    <w:rsid w:val="00AD0B26"/>
    <w:rsid w:val="00AD23B8"/>
    <w:rsid w:val="00AD46EE"/>
    <w:rsid w:val="00AD48D8"/>
    <w:rsid w:val="00AD62AE"/>
    <w:rsid w:val="00AD78AB"/>
    <w:rsid w:val="00AE26B3"/>
    <w:rsid w:val="00AE3799"/>
    <w:rsid w:val="00AE3EE7"/>
    <w:rsid w:val="00AE453A"/>
    <w:rsid w:val="00AE50C9"/>
    <w:rsid w:val="00AE553B"/>
    <w:rsid w:val="00AE5D36"/>
    <w:rsid w:val="00AE648C"/>
    <w:rsid w:val="00AE688C"/>
    <w:rsid w:val="00AE7769"/>
    <w:rsid w:val="00AF03E1"/>
    <w:rsid w:val="00AF1C6B"/>
    <w:rsid w:val="00AF1C98"/>
    <w:rsid w:val="00AF26B2"/>
    <w:rsid w:val="00AF2F74"/>
    <w:rsid w:val="00AF7CAE"/>
    <w:rsid w:val="00B001B3"/>
    <w:rsid w:val="00B006E6"/>
    <w:rsid w:val="00B01714"/>
    <w:rsid w:val="00B02A27"/>
    <w:rsid w:val="00B031D9"/>
    <w:rsid w:val="00B03220"/>
    <w:rsid w:val="00B03361"/>
    <w:rsid w:val="00B055AB"/>
    <w:rsid w:val="00B06BF6"/>
    <w:rsid w:val="00B073A3"/>
    <w:rsid w:val="00B079C1"/>
    <w:rsid w:val="00B07F7C"/>
    <w:rsid w:val="00B1148A"/>
    <w:rsid w:val="00B11809"/>
    <w:rsid w:val="00B1184B"/>
    <w:rsid w:val="00B13C8F"/>
    <w:rsid w:val="00B140F1"/>
    <w:rsid w:val="00B14B36"/>
    <w:rsid w:val="00B15511"/>
    <w:rsid w:val="00B155BC"/>
    <w:rsid w:val="00B165A4"/>
    <w:rsid w:val="00B16BF2"/>
    <w:rsid w:val="00B21E97"/>
    <w:rsid w:val="00B229BF"/>
    <w:rsid w:val="00B22E41"/>
    <w:rsid w:val="00B23011"/>
    <w:rsid w:val="00B24CC7"/>
    <w:rsid w:val="00B25F07"/>
    <w:rsid w:val="00B308A3"/>
    <w:rsid w:val="00B310EE"/>
    <w:rsid w:val="00B316CE"/>
    <w:rsid w:val="00B3307B"/>
    <w:rsid w:val="00B33EEB"/>
    <w:rsid w:val="00B34C4C"/>
    <w:rsid w:val="00B34CDF"/>
    <w:rsid w:val="00B3580B"/>
    <w:rsid w:val="00B371AE"/>
    <w:rsid w:val="00B374F6"/>
    <w:rsid w:val="00B378D9"/>
    <w:rsid w:val="00B4069B"/>
    <w:rsid w:val="00B40ED5"/>
    <w:rsid w:val="00B42A0E"/>
    <w:rsid w:val="00B43F0C"/>
    <w:rsid w:val="00B44775"/>
    <w:rsid w:val="00B45134"/>
    <w:rsid w:val="00B50F95"/>
    <w:rsid w:val="00B51211"/>
    <w:rsid w:val="00B51716"/>
    <w:rsid w:val="00B52D9D"/>
    <w:rsid w:val="00B55B97"/>
    <w:rsid w:val="00B55F09"/>
    <w:rsid w:val="00B57CDA"/>
    <w:rsid w:val="00B608BF"/>
    <w:rsid w:val="00B60A2E"/>
    <w:rsid w:val="00B618B7"/>
    <w:rsid w:val="00B62AD2"/>
    <w:rsid w:val="00B62C2E"/>
    <w:rsid w:val="00B64255"/>
    <w:rsid w:val="00B647CB"/>
    <w:rsid w:val="00B64AD0"/>
    <w:rsid w:val="00B65741"/>
    <w:rsid w:val="00B679E1"/>
    <w:rsid w:val="00B70438"/>
    <w:rsid w:val="00B71897"/>
    <w:rsid w:val="00B73F35"/>
    <w:rsid w:val="00B7749A"/>
    <w:rsid w:val="00B821A2"/>
    <w:rsid w:val="00B84404"/>
    <w:rsid w:val="00B84DB5"/>
    <w:rsid w:val="00B8749F"/>
    <w:rsid w:val="00B87728"/>
    <w:rsid w:val="00B87DBD"/>
    <w:rsid w:val="00B900C8"/>
    <w:rsid w:val="00B90576"/>
    <w:rsid w:val="00B909C8"/>
    <w:rsid w:val="00B93ABC"/>
    <w:rsid w:val="00B93D07"/>
    <w:rsid w:val="00B95548"/>
    <w:rsid w:val="00B95719"/>
    <w:rsid w:val="00B961AA"/>
    <w:rsid w:val="00B9672B"/>
    <w:rsid w:val="00B976C9"/>
    <w:rsid w:val="00BA16FA"/>
    <w:rsid w:val="00BA2971"/>
    <w:rsid w:val="00BA2F09"/>
    <w:rsid w:val="00BA2FE6"/>
    <w:rsid w:val="00BA47EF"/>
    <w:rsid w:val="00BA50F4"/>
    <w:rsid w:val="00BA52A4"/>
    <w:rsid w:val="00BA6C68"/>
    <w:rsid w:val="00BA720E"/>
    <w:rsid w:val="00BA7289"/>
    <w:rsid w:val="00BB0B51"/>
    <w:rsid w:val="00BB1C50"/>
    <w:rsid w:val="00BB2137"/>
    <w:rsid w:val="00BB2242"/>
    <w:rsid w:val="00BB2A25"/>
    <w:rsid w:val="00BB2E17"/>
    <w:rsid w:val="00BB3AF9"/>
    <w:rsid w:val="00BB3EC4"/>
    <w:rsid w:val="00BB55D0"/>
    <w:rsid w:val="00BB5A2B"/>
    <w:rsid w:val="00BB5D22"/>
    <w:rsid w:val="00BB6321"/>
    <w:rsid w:val="00BB6C3C"/>
    <w:rsid w:val="00BB7651"/>
    <w:rsid w:val="00BB7B21"/>
    <w:rsid w:val="00BC005C"/>
    <w:rsid w:val="00BC028C"/>
    <w:rsid w:val="00BC10E6"/>
    <w:rsid w:val="00BC122F"/>
    <w:rsid w:val="00BC1656"/>
    <w:rsid w:val="00BC1A5C"/>
    <w:rsid w:val="00BC49D2"/>
    <w:rsid w:val="00BC6557"/>
    <w:rsid w:val="00BC6772"/>
    <w:rsid w:val="00BD209E"/>
    <w:rsid w:val="00BD4003"/>
    <w:rsid w:val="00BD60F5"/>
    <w:rsid w:val="00BD68E6"/>
    <w:rsid w:val="00BD6CC9"/>
    <w:rsid w:val="00BD70DE"/>
    <w:rsid w:val="00BD7357"/>
    <w:rsid w:val="00BD7C6B"/>
    <w:rsid w:val="00BE0043"/>
    <w:rsid w:val="00BE12C5"/>
    <w:rsid w:val="00BE1AB6"/>
    <w:rsid w:val="00BE39B6"/>
    <w:rsid w:val="00BE53CA"/>
    <w:rsid w:val="00BE55FB"/>
    <w:rsid w:val="00BE564A"/>
    <w:rsid w:val="00BE57A6"/>
    <w:rsid w:val="00BE77A2"/>
    <w:rsid w:val="00BF1FBF"/>
    <w:rsid w:val="00BF2945"/>
    <w:rsid w:val="00BF2DC0"/>
    <w:rsid w:val="00BF31AF"/>
    <w:rsid w:val="00BF35A3"/>
    <w:rsid w:val="00BF5FDB"/>
    <w:rsid w:val="00BF6F47"/>
    <w:rsid w:val="00BF7140"/>
    <w:rsid w:val="00BF7D2C"/>
    <w:rsid w:val="00C02804"/>
    <w:rsid w:val="00C03906"/>
    <w:rsid w:val="00C04EC4"/>
    <w:rsid w:val="00C05F98"/>
    <w:rsid w:val="00C0634A"/>
    <w:rsid w:val="00C07606"/>
    <w:rsid w:val="00C07724"/>
    <w:rsid w:val="00C07BFC"/>
    <w:rsid w:val="00C10641"/>
    <w:rsid w:val="00C11181"/>
    <w:rsid w:val="00C122AF"/>
    <w:rsid w:val="00C12565"/>
    <w:rsid w:val="00C1362A"/>
    <w:rsid w:val="00C13A4B"/>
    <w:rsid w:val="00C14F0E"/>
    <w:rsid w:val="00C1598C"/>
    <w:rsid w:val="00C164B8"/>
    <w:rsid w:val="00C16715"/>
    <w:rsid w:val="00C214D9"/>
    <w:rsid w:val="00C235C8"/>
    <w:rsid w:val="00C2728A"/>
    <w:rsid w:val="00C27354"/>
    <w:rsid w:val="00C27BF6"/>
    <w:rsid w:val="00C306A9"/>
    <w:rsid w:val="00C33AFD"/>
    <w:rsid w:val="00C3466F"/>
    <w:rsid w:val="00C356F3"/>
    <w:rsid w:val="00C35F97"/>
    <w:rsid w:val="00C3624F"/>
    <w:rsid w:val="00C37331"/>
    <w:rsid w:val="00C3774C"/>
    <w:rsid w:val="00C37FC4"/>
    <w:rsid w:val="00C40069"/>
    <w:rsid w:val="00C407E3"/>
    <w:rsid w:val="00C40E95"/>
    <w:rsid w:val="00C425E3"/>
    <w:rsid w:val="00C437E5"/>
    <w:rsid w:val="00C43C17"/>
    <w:rsid w:val="00C43C5B"/>
    <w:rsid w:val="00C44AE4"/>
    <w:rsid w:val="00C45690"/>
    <w:rsid w:val="00C45779"/>
    <w:rsid w:val="00C45FEC"/>
    <w:rsid w:val="00C46D00"/>
    <w:rsid w:val="00C4732E"/>
    <w:rsid w:val="00C47B26"/>
    <w:rsid w:val="00C50CAB"/>
    <w:rsid w:val="00C51D39"/>
    <w:rsid w:val="00C5201C"/>
    <w:rsid w:val="00C53789"/>
    <w:rsid w:val="00C563D8"/>
    <w:rsid w:val="00C56D98"/>
    <w:rsid w:val="00C609BF"/>
    <w:rsid w:val="00C612B9"/>
    <w:rsid w:val="00C62818"/>
    <w:rsid w:val="00C65ABB"/>
    <w:rsid w:val="00C6636F"/>
    <w:rsid w:val="00C67E75"/>
    <w:rsid w:val="00C70436"/>
    <w:rsid w:val="00C70C3A"/>
    <w:rsid w:val="00C71164"/>
    <w:rsid w:val="00C71BAC"/>
    <w:rsid w:val="00C72553"/>
    <w:rsid w:val="00C72F4F"/>
    <w:rsid w:val="00C73A07"/>
    <w:rsid w:val="00C75CC6"/>
    <w:rsid w:val="00C766FB"/>
    <w:rsid w:val="00C76B4B"/>
    <w:rsid w:val="00C8039E"/>
    <w:rsid w:val="00C80CA3"/>
    <w:rsid w:val="00C825A6"/>
    <w:rsid w:val="00C82C84"/>
    <w:rsid w:val="00C841E3"/>
    <w:rsid w:val="00C8625E"/>
    <w:rsid w:val="00C90CB5"/>
    <w:rsid w:val="00C922A8"/>
    <w:rsid w:val="00C92D8D"/>
    <w:rsid w:val="00C94462"/>
    <w:rsid w:val="00C94B79"/>
    <w:rsid w:val="00C958F5"/>
    <w:rsid w:val="00C97A58"/>
    <w:rsid w:val="00CA1753"/>
    <w:rsid w:val="00CA471E"/>
    <w:rsid w:val="00CA4AED"/>
    <w:rsid w:val="00CA5A19"/>
    <w:rsid w:val="00CA7DCF"/>
    <w:rsid w:val="00CB20B6"/>
    <w:rsid w:val="00CB2177"/>
    <w:rsid w:val="00CB22A0"/>
    <w:rsid w:val="00CB39B1"/>
    <w:rsid w:val="00CB6087"/>
    <w:rsid w:val="00CB6BE5"/>
    <w:rsid w:val="00CB6EF2"/>
    <w:rsid w:val="00CB7172"/>
    <w:rsid w:val="00CC0B36"/>
    <w:rsid w:val="00CC3424"/>
    <w:rsid w:val="00CC3A7D"/>
    <w:rsid w:val="00CC5922"/>
    <w:rsid w:val="00CC60AF"/>
    <w:rsid w:val="00CD0881"/>
    <w:rsid w:val="00CD31B8"/>
    <w:rsid w:val="00CD4602"/>
    <w:rsid w:val="00CD4D94"/>
    <w:rsid w:val="00CD5A85"/>
    <w:rsid w:val="00CE0D9A"/>
    <w:rsid w:val="00CE1943"/>
    <w:rsid w:val="00CE3B69"/>
    <w:rsid w:val="00CE40D2"/>
    <w:rsid w:val="00CE44B3"/>
    <w:rsid w:val="00CE5786"/>
    <w:rsid w:val="00CE60A1"/>
    <w:rsid w:val="00CE6518"/>
    <w:rsid w:val="00CE7A51"/>
    <w:rsid w:val="00CF0771"/>
    <w:rsid w:val="00CF1745"/>
    <w:rsid w:val="00CF1D19"/>
    <w:rsid w:val="00CF21FD"/>
    <w:rsid w:val="00CF493E"/>
    <w:rsid w:val="00CF495A"/>
    <w:rsid w:val="00D010F4"/>
    <w:rsid w:val="00D023B9"/>
    <w:rsid w:val="00D05A5F"/>
    <w:rsid w:val="00D05A7F"/>
    <w:rsid w:val="00D05BCB"/>
    <w:rsid w:val="00D06F85"/>
    <w:rsid w:val="00D070FB"/>
    <w:rsid w:val="00D074BD"/>
    <w:rsid w:val="00D07AA4"/>
    <w:rsid w:val="00D07F17"/>
    <w:rsid w:val="00D100C9"/>
    <w:rsid w:val="00D10679"/>
    <w:rsid w:val="00D12935"/>
    <w:rsid w:val="00D16EE8"/>
    <w:rsid w:val="00D20790"/>
    <w:rsid w:val="00D21473"/>
    <w:rsid w:val="00D21FA1"/>
    <w:rsid w:val="00D2322B"/>
    <w:rsid w:val="00D24E95"/>
    <w:rsid w:val="00D2530C"/>
    <w:rsid w:val="00D2653A"/>
    <w:rsid w:val="00D2668D"/>
    <w:rsid w:val="00D26BE1"/>
    <w:rsid w:val="00D27014"/>
    <w:rsid w:val="00D2764D"/>
    <w:rsid w:val="00D279B8"/>
    <w:rsid w:val="00D30385"/>
    <w:rsid w:val="00D31950"/>
    <w:rsid w:val="00D328D3"/>
    <w:rsid w:val="00D32E65"/>
    <w:rsid w:val="00D40665"/>
    <w:rsid w:val="00D40B4B"/>
    <w:rsid w:val="00D42781"/>
    <w:rsid w:val="00D42A55"/>
    <w:rsid w:val="00D42E5F"/>
    <w:rsid w:val="00D43C42"/>
    <w:rsid w:val="00D44E57"/>
    <w:rsid w:val="00D45013"/>
    <w:rsid w:val="00D45102"/>
    <w:rsid w:val="00D522C3"/>
    <w:rsid w:val="00D52D78"/>
    <w:rsid w:val="00D53355"/>
    <w:rsid w:val="00D5375B"/>
    <w:rsid w:val="00D53E66"/>
    <w:rsid w:val="00D5417B"/>
    <w:rsid w:val="00D546CD"/>
    <w:rsid w:val="00D54BF7"/>
    <w:rsid w:val="00D54F80"/>
    <w:rsid w:val="00D5540E"/>
    <w:rsid w:val="00D557C9"/>
    <w:rsid w:val="00D57C1A"/>
    <w:rsid w:val="00D57CDF"/>
    <w:rsid w:val="00D60258"/>
    <w:rsid w:val="00D60BDB"/>
    <w:rsid w:val="00D624E6"/>
    <w:rsid w:val="00D6293C"/>
    <w:rsid w:val="00D63CA0"/>
    <w:rsid w:val="00D64F27"/>
    <w:rsid w:val="00D650F1"/>
    <w:rsid w:val="00D67B7D"/>
    <w:rsid w:val="00D70017"/>
    <w:rsid w:val="00D71F1E"/>
    <w:rsid w:val="00D727C2"/>
    <w:rsid w:val="00D72FC1"/>
    <w:rsid w:val="00D74752"/>
    <w:rsid w:val="00D75A23"/>
    <w:rsid w:val="00D75FF0"/>
    <w:rsid w:val="00D77921"/>
    <w:rsid w:val="00D800DA"/>
    <w:rsid w:val="00D8011D"/>
    <w:rsid w:val="00D80928"/>
    <w:rsid w:val="00D81FEC"/>
    <w:rsid w:val="00D82458"/>
    <w:rsid w:val="00D8758A"/>
    <w:rsid w:val="00D91460"/>
    <w:rsid w:val="00D91F8C"/>
    <w:rsid w:val="00D926E2"/>
    <w:rsid w:val="00D93485"/>
    <w:rsid w:val="00D94052"/>
    <w:rsid w:val="00D94082"/>
    <w:rsid w:val="00D94BFE"/>
    <w:rsid w:val="00D97DB0"/>
    <w:rsid w:val="00DA2330"/>
    <w:rsid w:val="00DA2F53"/>
    <w:rsid w:val="00DA30DB"/>
    <w:rsid w:val="00DA4E3E"/>
    <w:rsid w:val="00DA5225"/>
    <w:rsid w:val="00DA52F6"/>
    <w:rsid w:val="00DA6280"/>
    <w:rsid w:val="00DA63B7"/>
    <w:rsid w:val="00DA6CE8"/>
    <w:rsid w:val="00DA6D84"/>
    <w:rsid w:val="00DB00EB"/>
    <w:rsid w:val="00DB22E1"/>
    <w:rsid w:val="00DB2648"/>
    <w:rsid w:val="00DB28AA"/>
    <w:rsid w:val="00DC1C0E"/>
    <w:rsid w:val="00DC3962"/>
    <w:rsid w:val="00DC5E82"/>
    <w:rsid w:val="00DD014B"/>
    <w:rsid w:val="00DD030D"/>
    <w:rsid w:val="00DD0FBD"/>
    <w:rsid w:val="00DD19E9"/>
    <w:rsid w:val="00DD22D0"/>
    <w:rsid w:val="00DD28BB"/>
    <w:rsid w:val="00DD3413"/>
    <w:rsid w:val="00DD39F6"/>
    <w:rsid w:val="00DD3FFF"/>
    <w:rsid w:val="00DD4647"/>
    <w:rsid w:val="00DD4AD2"/>
    <w:rsid w:val="00DD5F62"/>
    <w:rsid w:val="00DD72A3"/>
    <w:rsid w:val="00DE19F6"/>
    <w:rsid w:val="00DE20A8"/>
    <w:rsid w:val="00DE2C6F"/>
    <w:rsid w:val="00DE35CC"/>
    <w:rsid w:val="00DE3E8A"/>
    <w:rsid w:val="00DE3FA5"/>
    <w:rsid w:val="00DE4CCC"/>
    <w:rsid w:val="00DE533C"/>
    <w:rsid w:val="00DE6032"/>
    <w:rsid w:val="00DE6CBB"/>
    <w:rsid w:val="00DF1613"/>
    <w:rsid w:val="00DF31F9"/>
    <w:rsid w:val="00DF48AA"/>
    <w:rsid w:val="00DF698B"/>
    <w:rsid w:val="00DF6BAD"/>
    <w:rsid w:val="00E00B76"/>
    <w:rsid w:val="00E04675"/>
    <w:rsid w:val="00E04C23"/>
    <w:rsid w:val="00E05F11"/>
    <w:rsid w:val="00E06495"/>
    <w:rsid w:val="00E06B74"/>
    <w:rsid w:val="00E07D98"/>
    <w:rsid w:val="00E11009"/>
    <w:rsid w:val="00E120C6"/>
    <w:rsid w:val="00E12326"/>
    <w:rsid w:val="00E14BD2"/>
    <w:rsid w:val="00E16CE6"/>
    <w:rsid w:val="00E17822"/>
    <w:rsid w:val="00E21E56"/>
    <w:rsid w:val="00E22213"/>
    <w:rsid w:val="00E22742"/>
    <w:rsid w:val="00E228AF"/>
    <w:rsid w:val="00E22B24"/>
    <w:rsid w:val="00E22BFA"/>
    <w:rsid w:val="00E24301"/>
    <w:rsid w:val="00E24746"/>
    <w:rsid w:val="00E24B26"/>
    <w:rsid w:val="00E24EED"/>
    <w:rsid w:val="00E25635"/>
    <w:rsid w:val="00E30DE9"/>
    <w:rsid w:val="00E31B2C"/>
    <w:rsid w:val="00E33A36"/>
    <w:rsid w:val="00E37212"/>
    <w:rsid w:val="00E4020A"/>
    <w:rsid w:val="00E40566"/>
    <w:rsid w:val="00E40A61"/>
    <w:rsid w:val="00E419D6"/>
    <w:rsid w:val="00E42DD1"/>
    <w:rsid w:val="00E44F0E"/>
    <w:rsid w:val="00E470C5"/>
    <w:rsid w:val="00E51E96"/>
    <w:rsid w:val="00E52453"/>
    <w:rsid w:val="00E52E4D"/>
    <w:rsid w:val="00E533DC"/>
    <w:rsid w:val="00E53765"/>
    <w:rsid w:val="00E5493B"/>
    <w:rsid w:val="00E56668"/>
    <w:rsid w:val="00E569F3"/>
    <w:rsid w:val="00E570C9"/>
    <w:rsid w:val="00E57611"/>
    <w:rsid w:val="00E60170"/>
    <w:rsid w:val="00E618EA"/>
    <w:rsid w:val="00E64E43"/>
    <w:rsid w:val="00E6535B"/>
    <w:rsid w:val="00E65FCE"/>
    <w:rsid w:val="00E66974"/>
    <w:rsid w:val="00E66B16"/>
    <w:rsid w:val="00E671F3"/>
    <w:rsid w:val="00E67C2F"/>
    <w:rsid w:val="00E70041"/>
    <w:rsid w:val="00E7036C"/>
    <w:rsid w:val="00E72A92"/>
    <w:rsid w:val="00E7578F"/>
    <w:rsid w:val="00E7595A"/>
    <w:rsid w:val="00E767CA"/>
    <w:rsid w:val="00E76F3F"/>
    <w:rsid w:val="00E77883"/>
    <w:rsid w:val="00E81A85"/>
    <w:rsid w:val="00E8351D"/>
    <w:rsid w:val="00E84942"/>
    <w:rsid w:val="00E84E82"/>
    <w:rsid w:val="00E86866"/>
    <w:rsid w:val="00E868C0"/>
    <w:rsid w:val="00E9601F"/>
    <w:rsid w:val="00E960C9"/>
    <w:rsid w:val="00E96CE3"/>
    <w:rsid w:val="00E97C8D"/>
    <w:rsid w:val="00EA0A2A"/>
    <w:rsid w:val="00EA0FD5"/>
    <w:rsid w:val="00EA288B"/>
    <w:rsid w:val="00EA36B4"/>
    <w:rsid w:val="00EA3BAA"/>
    <w:rsid w:val="00EA3ED3"/>
    <w:rsid w:val="00EA472D"/>
    <w:rsid w:val="00EA4AA0"/>
    <w:rsid w:val="00EA53AB"/>
    <w:rsid w:val="00EA556F"/>
    <w:rsid w:val="00EA5F6F"/>
    <w:rsid w:val="00EA69F4"/>
    <w:rsid w:val="00EA739D"/>
    <w:rsid w:val="00EB285F"/>
    <w:rsid w:val="00EB3497"/>
    <w:rsid w:val="00EB502C"/>
    <w:rsid w:val="00EB747C"/>
    <w:rsid w:val="00EB75EE"/>
    <w:rsid w:val="00EC0D27"/>
    <w:rsid w:val="00EC1C05"/>
    <w:rsid w:val="00EC52D8"/>
    <w:rsid w:val="00EC6BFB"/>
    <w:rsid w:val="00ED011F"/>
    <w:rsid w:val="00ED042B"/>
    <w:rsid w:val="00ED45CC"/>
    <w:rsid w:val="00ED52C4"/>
    <w:rsid w:val="00ED6028"/>
    <w:rsid w:val="00ED6AC0"/>
    <w:rsid w:val="00ED74D7"/>
    <w:rsid w:val="00ED762F"/>
    <w:rsid w:val="00ED79FA"/>
    <w:rsid w:val="00ED7A21"/>
    <w:rsid w:val="00ED7D51"/>
    <w:rsid w:val="00ED7F6E"/>
    <w:rsid w:val="00EE236B"/>
    <w:rsid w:val="00EE3738"/>
    <w:rsid w:val="00EE4E62"/>
    <w:rsid w:val="00EE5E84"/>
    <w:rsid w:val="00EE78F6"/>
    <w:rsid w:val="00EF0219"/>
    <w:rsid w:val="00EF214D"/>
    <w:rsid w:val="00EF2253"/>
    <w:rsid w:val="00EF5EF2"/>
    <w:rsid w:val="00EF6799"/>
    <w:rsid w:val="00EF6D1C"/>
    <w:rsid w:val="00EF6F36"/>
    <w:rsid w:val="00EF7058"/>
    <w:rsid w:val="00EF7161"/>
    <w:rsid w:val="00EF7B78"/>
    <w:rsid w:val="00F00460"/>
    <w:rsid w:val="00F00ECC"/>
    <w:rsid w:val="00F02549"/>
    <w:rsid w:val="00F03790"/>
    <w:rsid w:val="00F05D02"/>
    <w:rsid w:val="00F11F57"/>
    <w:rsid w:val="00F123A5"/>
    <w:rsid w:val="00F13943"/>
    <w:rsid w:val="00F1441E"/>
    <w:rsid w:val="00F14882"/>
    <w:rsid w:val="00F16020"/>
    <w:rsid w:val="00F16061"/>
    <w:rsid w:val="00F165C9"/>
    <w:rsid w:val="00F17064"/>
    <w:rsid w:val="00F17E53"/>
    <w:rsid w:val="00F17F6D"/>
    <w:rsid w:val="00F21ED0"/>
    <w:rsid w:val="00F22343"/>
    <w:rsid w:val="00F231DD"/>
    <w:rsid w:val="00F233AF"/>
    <w:rsid w:val="00F23FFA"/>
    <w:rsid w:val="00F24AE4"/>
    <w:rsid w:val="00F24EDC"/>
    <w:rsid w:val="00F25D33"/>
    <w:rsid w:val="00F30089"/>
    <w:rsid w:val="00F3141D"/>
    <w:rsid w:val="00F31F7F"/>
    <w:rsid w:val="00F32EB9"/>
    <w:rsid w:val="00F33385"/>
    <w:rsid w:val="00F33ED9"/>
    <w:rsid w:val="00F340B2"/>
    <w:rsid w:val="00F374C8"/>
    <w:rsid w:val="00F40B18"/>
    <w:rsid w:val="00F40F11"/>
    <w:rsid w:val="00F41058"/>
    <w:rsid w:val="00F419AD"/>
    <w:rsid w:val="00F41C67"/>
    <w:rsid w:val="00F421C0"/>
    <w:rsid w:val="00F430CA"/>
    <w:rsid w:val="00F43412"/>
    <w:rsid w:val="00F43D83"/>
    <w:rsid w:val="00F445ED"/>
    <w:rsid w:val="00F44683"/>
    <w:rsid w:val="00F46998"/>
    <w:rsid w:val="00F47696"/>
    <w:rsid w:val="00F47978"/>
    <w:rsid w:val="00F507EA"/>
    <w:rsid w:val="00F5465D"/>
    <w:rsid w:val="00F55ED6"/>
    <w:rsid w:val="00F5651B"/>
    <w:rsid w:val="00F57B38"/>
    <w:rsid w:val="00F57E24"/>
    <w:rsid w:val="00F612E1"/>
    <w:rsid w:val="00F658C4"/>
    <w:rsid w:val="00F6620E"/>
    <w:rsid w:val="00F663B5"/>
    <w:rsid w:val="00F66871"/>
    <w:rsid w:val="00F674D0"/>
    <w:rsid w:val="00F676C8"/>
    <w:rsid w:val="00F71664"/>
    <w:rsid w:val="00F75521"/>
    <w:rsid w:val="00F75D23"/>
    <w:rsid w:val="00F80F22"/>
    <w:rsid w:val="00F80FAD"/>
    <w:rsid w:val="00F823EF"/>
    <w:rsid w:val="00F82F8A"/>
    <w:rsid w:val="00F82F90"/>
    <w:rsid w:val="00F8353F"/>
    <w:rsid w:val="00F83C85"/>
    <w:rsid w:val="00F842AE"/>
    <w:rsid w:val="00F8502A"/>
    <w:rsid w:val="00F85CBB"/>
    <w:rsid w:val="00F86CCD"/>
    <w:rsid w:val="00F87F11"/>
    <w:rsid w:val="00F90777"/>
    <w:rsid w:val="00F91EFC"/>
    <w:rsid w:val="00F933A3"/>
    <w:rsid w:val="00F94A7B"/>
    <w:rsid w:val="00F95751"/>
    <w:rsid w:val="00F96401"/>
    <w:rsid w:val="00F97C7A"/>
    <w:rsid w:val="00F97D1A"/>
    <w:rsid w:val="00FA0E69"/>
    <w:rsid w:val="00FA3170"/>
    <w:rsid w:val="00FA3974"/>
    <w:rsid w:val="00FA3A13"/>
    <w:rsid w:val="00FA4530"/>
    <w:rsid w:val="00FA5215"/>
    <w:rsid w:val="00FA5D5F"/>
    <w:rsid w:val="00FA5DA1"/>
    <w:rsid w:val="00FA7056"/>
    <w:rsid w:val="00FA7D04"/>
    <w:rsid w:val="00FB12C7"/>
    <w:rsid w:val="00FB1AD2"/>
    <w:rsid w:val="00FB209A"/>
    <w:rsid w:val="00FB2728"/>
    <w:rsid w:val="00FB2C5E"/>
    <w:rsid w:val="00FB51F7"/>
    <w:rsid w:val="00FB5DCA"/>
    <w:rsid w:val="00FB6919"/>
    <w:rsid w:val="00FC058D"/>
    <w:rsid w:val="00FC16B1"/>
    <w:rsid w:val="00FC2143"/>
    <w:rsid w:val="00FC276C"/>
    <w:rsid w:val="00FC2917"/>
    <w:rsid w:val="00FC30B9"/>
    <w:rsid w:val="00FC3225"/>
    <w:rsid w:val="00FC5E99"/>
    <w:rsid w:val="00FC688F"/>
    <w:rsid w:val="00FC7AA1"/>
    <w:rsid w:val="00FC7C35"/>
    <w:rsid w:val="00FD19C1"/>
    <w:rsid w:val="00FD2D47"/>
    <w:rsid w:val="00FD30C9"/>
    <w:rsid w:val="00FD3B43"/>
    <w:rsid w:val="00FD4141"/>
    <w:rsid w:val="00FD6FEC"/>
    <w:rsid w:val="00FD71E6"/>
    <w:rsid w:val="00FE14A5"/>
    <w:rsid w:val="00FE15B2"/>
    <w:rsid w:val="00FE1BCC"/>
    <w:rsid w:val="00FE3027"/>
    <w:rsid w:val="00FE56EB"/>
    <w:rsid w:val="00FE58AD"/>
    <w:rsid w:val="00FF023D"/>
    <w:rsid w:val="00FF0263"/>
    <w:rsid w:val="00FF03D7"/>
    <w:rsid w:val="00FF1714"/>
    <w:rsid w:val="00FF1BAA"/>
    <w:rsid w:val="00FF2DED"/>
    <w:rsid w:val="00FF4BB0"/>
    <w:rsid w:val="00FF4CF7"/>
    <w:rsid w:val="00FF560D"/>
    <w:rsid w:val="00FF5AD6"/>
    <w:rsid w:val="00FF64AE"/>
    <w:rsid w:val="17F13B56"/>
    <w:rsid w:val="1A2658B2"/>
    <w:rsid w:val="1C4D1CFC"/>
    <w:rsid w:val="26215F4F"/>
    <w:rsid w:val="26C3D57D"/>
    <w:rsid w:val="27EFAA41"/>
    <w:rsid w:val="29323B08"/>
    <w:rsid w:val="2E4722CA"/>
    <w:rsid w:val="2FDBE290"/>
    <w:rsid w:val="3D3EC85D"/>
    <w:rsid w:val="3FDD4733"/>
    <w:rsid w:val="3FF65174"/>
    <w:rsid w:val="3FF744AE"/>
    <w:rsid w:val="439D4A0F"/>
    <w:rsid w:val="46505177"/>
    <w:rsid w:val="4ADC2866"/>
    <w:rsid w:val="4EB946C7"/>
    <w:rsid w:val="4F764B55"/>
    <w:rsid w:val="65C15EE3"/>
    <w:rsid w:val="6807494D"/>
    <w:rsid w:val="6C1B20C5"/>
    <w:rsid w:val="6EA445F4"/>
    <w:rsid w:val="6EF10193"/>
    <w:rsid w:val="6F4F95A2"/>
    <w:rsid w:val="70E17439"/>
    <w:rsid w:val="73F92CEC"/>
    <w:rsid w:val="744D4525"/>
    <w:rsid w:val="75AF8986"/>
    <w:rsid w:val="76EEB49D"/>
    <w:rsid w:val="7A4686B6"/>
    <w:rsid w:val="7B357DF2"/>
    <w:rsid w:val="7BF7B41F"/>
    <w:rsid w:val="7BFFA577"/>
    <w:rsid w:val="7BFFD14D"/>
    <w:rsid w:val="7D0C527F"/>
    <w:rsid w:val="7EBD3D76"/>
    <w:rsid w:val="7F19626C"/>
    <w:rsid w:val="7FEFE9E6"/>
    <w:rsid w:val="ACF2002D"/>
    <w:rsid w:val="B7F9189B"/>
    <w:rsid w:val="BCFF5D87"/>
    <w:rsid w:val="DBBD8492"/>
    <w:rsid w:val="DCCA5721"/>
    <w:rsid w:val="DEBFAB12"/>
    <w:rsid w:val="DFBFEE9D"/>
    <w:rsid w:val="EFF004F2"/>
    <w:rsid w:val="F7B7E472"/>
    <w:rsid w:val="F7D496EA"/>
    <w:rsid w:val="F7F73296"/>
    <w:rsid w:val="FBFB9734"/>
    <w:rsid w:val="FEFDF89E"/>
    <w:rsid w:val="FF7F5FD2"/>
    <w:rsid w:val="FFDD39E8"/>
    <w:rsid w:val="FFEF3887"/>
    <w:rsid w:val="FFEFE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style>
  <w:style w:type="paragraph" w:styleId="6">
    <w:name w:val="Plain Text"/>
    <w:basedOn w:val="1"/>
    <w:link w:val="38"/>
    <w:unhideWhenUsed/>
    <w:qFormat/>
    <w:uiPriority w:val="0"/>
    <w:pPr>
      <w:widowControl w:val="0"/>
      <w:spacing w:after="0" w:line="240" w:lineRule="auto"/>
      <w:jc w:val="both"/>
    </w:pPr>
    <w:rPr>
      <w:rFonts w:ascii="宋体" w:hAnsi="Courier New" w:eastAsia="宋体" w:cs="Courier New"/>
      <w:kern w:val="2"/>
      <w:sz w:val="21"/>
      <w:szCs w:val="21"/>
    </w:rPr>
  </w:style>
  <w:style w:type="paragraph" w:styleId="7">
    <w:name w:val="Date"/>
    <w:basedOn w:val="1"/>
    <w:next w:val="1"/>
    <w:link w:val="42"/>
    <w:semiHidden/>
    <w:unhideWhenUsed/>
    <w:qFormat/>
    <w:uiPriority w:val="99"/>
    <w:pPr>
      <w:ind w:left="100" w:leftChars="2500"/>
    </w:pPr>
  </w:style>
  <w:style w:type="paragraph" w:styleId="8">
    <w:name w:val="Body Text Indent 2"/>
    <w:basedOn w:val="1"/>
    <w:link w:val="24"/>
    <w:qFormat/>
    <w:uiPriority w:val="0"/>
    <w:pPr>
      <w:widowControl w:val="0"/>
      <w:spacing w:after="0" w:line="620" w:lineRule="exact"/>
      <w:ind w:firstLine="592" w:firstLineChars="200"/>
      <w:jc w:val="both"/>
    </w:pPr>
    <w:rPr>
      <w:rFonts w:ascii="仿宋_GB2312" w:hAnsi="Times New Roman" w:eastAsia="仿宋_GB2312" w:cs="Times New Roman"/>
      <w:spacing w:val="-12"/>
      <w:kern w:val="2"/>
      <w:sz w:val="32"/>
      <w:szCs w:val="24"/>
    </w:rPr>
  </w:style>
  <w:style w:type="paragraph" w:styleId="9">
    <w:name w:val="Balloon Text"/>
    <w:basedOn w:val="1"/>
    <w:link w:val="28"/>
    <w:semiHidden/>
    <w:unhideWhenUsed/>
    <w:qFormat/>
    <w:uiPriority w:val="99"/>
    <w:pPr>
      <w:spacing w:after="0" w:line="240" w:lineRule="auto"/>
    </w:pPr>
    <w:rPr>
      <w:sz w:val="18"/>
      <w:szCs w:val="18"/>
    </w:rPr>
  </w:style>
  <w:style w:type="paragraph" w:styleId="10">
    <w:name w:val="footer"/>
    <w:basedOn w:val="1"/>
    <w:link w:val="23"/>
    <w:unhideWhenUsed/>
    <w:qFormat/>
    <w:uiPriority w:val="99"/>
    <w:pPr>
      <w:tabs>
        <w:tab w:val="center" w:pos="4153"/>
        <w:tab w:val="right" w:pos="8306"/>
      </w:tabs>
      <w:snapToGrid w:val="0"/>
      <w:spacing w:line="240" w:lineRule="auto"/>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unhideWhenUsed/>
    <w:qFormat/>
    <w:uiPriority w:val="39"/>
    <w:pPr>
      <w:ind w:left="420" w:leftChars="200"/>
    </w:pPr>
  </w:style>
  <w:style w:type="paragraph" w:styleId="13">
    <w:name w:val="toc 9"/>
    <w:basedOn w:val="1"/>
    <w:next w:val="1"/>
    <w:semiHidden/>
    <w:qFormat/>
    <w:uiPriority w:val="0"/>
    <w:pPr>
      <w:widowControl w:val="0"/>
      <w:spacing w:after="0" w:line="240" w:lineRule="auto"/>
      <w:ind w:left="3360" w:leftChars="1600"/>
      <w:jc w:val="both"/>
    </w:pPr>
    <w:rPr>
      <w:rFonts w:ascii="Times New Roman" w:hAnsi="Times New Roman" w:eastAsia="宋体" w:cs="Times New Roman"/>
      <w:kern w:val="2"/>
      <w:sz w:val="21"/>
      <w:szCs w:val="24"/>
    </w:rPr>
  </w:style>
  <w:style w:type="paragraph" w:styleId="14">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rPr>
  </w:style>
  <w:style w:type="paragraph" w:styleId="15">
    <w:name w:val="annotation subject"/>
    <w:basedOn w:val="5"/>
    <w:next w:val="5"/>
    <w:link w:val="27"/>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1"/>
    <w:qFormat/>
    <w:uiPriority w:val="99"/>
    <w:rPr>
      <w:sz w:val="18"/>
      <w:szCs w:val="18"/>
    </w:rPr>
  </w:style>
  <w:style w:type="character" w:customStyle="1" w:styleId="23">
    <w:name w:val="页脚 字符"/>
    <w:basedOn w:val="18"/>
    <w:link w:val="10"/>
    <w:qFormat/>
    <w:uiPriority w:val="99"/>
    <w:rPr>
      <w:sz w:val="18"/>
      <w:szCs w:val="18"/>
    </w:rPr>
  </w:style>
  <w:style w:type="character" w:customStyle="1" w:styleId="24">
    <w:name w:val="正文文本缩进 2 字符"/>
    <w:basedOn w:val="18"/>
    <w:link w:val="8"/>
    <w:qFormat/>
    <w:uiPriority w:val="0"/>
    <w:rPr>
      <w:rFonts w:ascii="仿宋_GB2312" w:hAnsi="Times New Roman" w:eastAsia="仿宋_GB2312" w:cs="Times New Roman"/>
      <w:spacing w:val="-12"/>
      <w:kern w:val="2"/>
      <w:sz w:val="32"/>
      <w:szCs w:val="24"/>
    </w:rPr>
  </w:style>
  <w:style w:type="character" w:customStyle="1" w:styleId="25">
    <w:name w:val="标题 2 字符"/>
    <w:basedOn w:val="18"/>
    <w:link w:val="3"/>
    <w:qFormat/>
    <w:uiPriority w:val="9"/>
    <w:rPr>
      <w:rFonts w:asciiTheme="majorHAnsi" w:hAnsiTheme="majorHAnsi" w:eastAsiaTheme="majorEastAsia" w:cstheme="majorBidi"/>
      <w:b/>
      <w:bCs/>
      <w:sz w:val="32"/>
      <w:szCs w:val="32"/>
    </w:rPr>
  </w:style>
  <w:style w:type="character" w:customStyle="1" w:styleId="26">
    <w:name w:val="批注文字 字符"/>
    <w:basedOn w:val="18"/>
    <w:link w:val="5"/>
    <w:qFormat/>
    <w:uiPriority w:val="99"/>
  </w:style>
  <w:style w:type="character" w:customStyle="1" w:styleId="27">
    <w:name w:val="批注主题 字符"/>
    <w:basedOn w:val="26"/>
    <w:link w:val="15"/>
    <w:semiHidden/>
    <w:qFormat/>
    <w:uiPriority w:val="99"/>
    <w:rPr>
      <w:b/>
      <w:bCs/>
    </w:rPr>
  </w:style>
  <w:style w:type="character" w:customStyle="1" w:styleId="28">
    <w:name w:val="批注框文本 字符"/>
    <w:basedOn w:val="18"/>
    <w:link w:val="9"/>
    <w:semiHidden/>
    <w:qFormat/>
    <w:uiPriority w:val="99"/>
    <w:rPr>
      <w:sz w:val="18"/>
      <w:szCs w:val="18"/>
    </w:rPr>
  </w:style>
  <w:style w:type="character" w:customStyle="1" w:styleId="29">
    <w:name w:val="标题 1 字符"/>
    <w:basedOn w:val="18"/>
    <w:link w:val="2"/>
    <w:qFormat/>
    <w:uiPriority w:val="9"/>
    <w:rPr>
      <w:b/>
      <w:bCs/>
      <w:kern w:val="44"/>
      <w:sz w:val="44"/>
      <w:szCs w:val="44"/>
    </w:rPr>
  </w:style>
  <w:style w:type="paragraph" w:customStyle="1" w:styleId="30">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styleId="31">
    <w:name w:val="List Paragraph"/>
    <w:basedOn w:val="1"/>
    <w:link w:val="37"/>
    <w:qFormat/>
    <w:uiPriority w:val="34"/>
    <w:pPr>
      <w:ind w:firstLine="420" w:firstLineChars="200"/>
    </w:pPr>
  </w:style>
  <w:style w:type="paragraph" w:customStyle="1" w:styleId="32">
    <w:name w:val="doc-a"/>
    <w:basedOn w:val="1"/>
    <w:semiHidden/>
    <w:qFormat/>
    <w:uiPriority w:val="99"/>
    <w:pPr>
      <w:spacing w:before="100" w:beforeAutospacing="1" w:after="100" w:afterAutospacing="1" w:line="240" w:lineRule="auto"/>
      <w:ind w:firstLine="480"/>
    </w:pPr>
    <w:rPr>
      <w:rFonts w:ascii="微软雅黑" w:hAnsi="微软雅黑" w:eastAsia="微软雅黑" w:cs="宋体"/>
      <w:sz w:val="21"/>
      <w:szCs w:val="21"/>
    </w:rPr>
  </w:style>
  <w:style w:type="character" w:customStyle="1" w:styleId="33">
    <w:name w:val="其他_"/>
    <w:basedOn w:val="18"/>
    <w:link w:val="34"/>
    <w:qFormat/>
    <w:locked/>
    <w:uiPriority w:val="0"/>
    <w:rPr>
      <w:rFonts w:ascii="宋体" w:hAnsi="宋体" w:eastAsia="宋体" w:cs="宋体"/>
      <w:sz w:val="18"/>
      <w:szCs w:val="18"/>
      <w:shd w:val="clear" w:color="auto" w:fill="FFFFFF"/>
      <w:lang w:val="zh-CN" w:bidi="zh-CN"/>
    </w:rPr>
  </w:style>
  <w:style w:type="paragraph" w:customStyle="1" w:styleId="34">
    <w:name w:val="其他"/>
    <w:basedOn w:val="1"/>
    <w:link w:val="33"/>
    <w:qFormat/>
    <w:uiPriority w:val="0"/>
    <w:pPr>
      <w:widowControl w:val="0"/>
      <w:shd w:val="clear" w:color="auto" w:fill="FFFFFF"/>
      <w:spacing w:after="0" w:line="240" w:lineRule="auto"/>
    </w:pPr>
    <w:rPr>
      <w:rFonts w:ascii="宋体" w:hAnsi="宋体" w:eastAsia="宋体" w:cs="宋体"/>
      <w:sz w:val="18"/>
      <w:szCs w:val="18"/>
      <w:lang w:val="zh-CN" w:bidi="zh-CN"/>
    </w:rPr>
  </w:style>
  <w:style w:type="character" w:customStyle="1" w:styleId="35">
    <w:name w:val="表格标题_"/>
    <w:basedOn w:val="18"/>
    <w:link w:val="36"/>
    <w:qFormat/>
    <w:locked/>
    <w:uiPriority w:val="0"/>
    <w:rPr>
      <w:rFonts w:ascii="宋体" w:hAnsi="宋体" w:eastAsia="宋体" w:cs="宋体"/>
      <w:sz w:val="18"/>
      <w:szCs w:val="18"/>
      <w:shd w:val="clear" w:color="auto" w:fill="FFFFFF"/>
      <w:lang w:val="zh-CN" w:bidi="zh-CN"/>
    </w:rPr>
  </w:style>
  <w:style w:type="paragraph" w:customStyle="1" w:styleId="36">
    <w:name w:val="表格标题"/>
    <w:basedOn w:val="1"/>
    <w:link w:val="35"/>
    <w:qFormat/>
    <w:uiPriority w:val="0"/>
    <w:pPr>
      <w:widowControl w:val="0"/>
      <w:shd w:val="clear" w:color="auto" w:fill="FFFFFF"/>
      <w:spacing w:after="0" w:line="240" w:lineRule="auto"/>
    </w:pPr>
    <w:rPr>
      <w:rFonts w:ascii="宋体" w:hAnsi="宋体" w:eastAsia="宋体" w:cs="宋体"/>
      <w:sz w:val="18"/>
      <w:szCs w:val="18"/>
      <w:lang w:val="zh-CN" w:bidi="zh-CN"/>
    </w:rPr>
  </w:style>
  <w:style w:type="character" w:customStyle="1" w:styleId="37">
    <w:name w:val="列表段落 字符"/>
    <w:link w:val="31"/>
    <w:qFormat/>
    <w:uiPriority w:val="34"/>
  </w:style>
  <w:style w:type="character" w:customStyle="1" w:styleId="38">
    <w:name w:val="纯文本 字符"/>
    <w:basedOn w:val="18"/>
    <w:link w:val="6"/>
    <w:qFormat/>
    <w:uiPriority w:val="0"/>
    <w:rPr>
      <w:rFonts w:ascii="宋体" w:hAnsi="Courier New" w:eastAsia="宋体" w:cs="Courier New"/>
      <w:kern w:val="2"/>
      <w:sz w:val="21"/>
      <w:szCs w:val="21"/>
    </w:rPr>
  </w:style>
  <w:style w:type="paragraph" w:customStyle="1" w:styleId="39">
    <w:name w:val="Table Paragraph"/>
    <w:basedOn w:val="1"/>
    <w:qFormat/>
    <w:uiPriority w:val="0"/>
    <w:pPr>
      <w:widowControl w:val="0"/>
      <w:autoSpaceDE w:val="0"/>
      <w:autoSpaceDN w:val="0"/>
      <w:spacing w:before="100" w:beforeAutospacing="1" w:after="100" w:afterAutospacing="1" w:line="240" w:lineRule="auto"/>
      <w:ind w:left="107"/>
    </w:pPr>
    <w:rPr>
      <w:rFonts w:ascii="Noto Sans CJK JP Regular" w:hAnsi="Noto Sans CJK JP Regular" w:eastAsia="宋体" w:cs="宋体"/>
    </w:rPr>
  </w:style>
  <w:style w:type="paragraph" w:customStyle="1" w:styleId="40">
    <w:name w:val="Default"/>
    <w:qFormat/>
    <w:uiPriority w:val="0"/>
    <w:pPr>
      <w:autoSpaceDE w:val="0"/>
      <w:autoSpaceDN w:val="0"/>
      <w:adjustRightInd w:val="0"/>
      <w:spacing w:after="160" w:line="259" w:lineRule="auto"/>
    </w:pPr>
    <w:rPr>
      <w:rFonts w:ascii=".." w:eastAsia=".." w:cs=".." w:hAnsiTheme="minorHAnsi"/>
      <w:color w:val="000000"/>
      <w:sz w:val="24"/>
      <w:szCs w:val="24"/>
      <w:lang w:val="en-US" w:eastAsia="zh-CN" w:bidi="ar-SA"/>
    </w:rPr>
  </w:style>
  <w:style w:type="character" w:customStyle="1" w:styleId="41">
    <w:name w:val="Unresolved Mention1"/>
    <w:basedOn w:val="18"/>
    <w:semiHidden/>
    <w:unhideWhenUsed/>
    <w:qFormat/>
    <w:uiPriority w:val="99"/>
    <w:rPr>
      <w:color w:val="808080"/>
      <w:shd w:val="clear" w:color="auto" w:fill="E6E6E6"/>
    </w:rPr>
  </w:style>
  <w:style w:type="character" w:customStyle="1" w:styleId="42">
    <w:name w:val="日期 字符"/>
    <w:basedOn w:val="18"/>
    <w:link w:val="7"/>
    <w:semiHidden/>
    <w:qFormat/>
    <w:uiPriority w:val="99"/>
  </w:style>
  <w:style w:type="paragraph" w:customStyle="1" w:styleId="43">
    <w:name w:val="修订1"/>
    <w:hidden/>
    <w:semiHidden/>
    <w:qFormat/>
    <w:uiPriority w:val="99"/>
    <w:rPr>
      <w:rFonts w:asciiTheme="minorHAnsi" w:hAnsiTheme="minorHAnsi" w:eastAsiaTheme="minorEastAsia" w:cstheme="minorBidi"/>
      <w:sz w:val="22"/>
      <w:szCs w:val="22"/>
      <w:lang w:val="en-US" w:eastAsia="zh-CN" w:bidi="ar-SA"/>
    </w:rPr>
  </w:style>
  <w:style w:type="paragraph" w:customStyle="1" w:styleId="44">
    <w:name w:val="修订2"/>
    <w:hidden/>
    <w:semiHidden/>
    <w:qFormat/>
    <w:uiPriority w:val="99"/>
    <w:rPr>
      <w:rFonts w:asciiTheme="minorHAnsi" w:hAnsiTheme="minorHAnsi" w:eastAsiaTheme="minorEastAsia" w:cstheme="minorBidi"/>
      <w:sz w:val="22"/>
      <w:szCs w:val="22"/>
      <w:lang w:val="en-US" w:eastAsia="zh-CN" w:bidi="ar-SA"/>
    </w:rPr>
  </w:style>
  <w:style w:type="paragraph" w:customStyle="1" w:styleId="45">
    <w:name w:val="修订3"/>
    <w:hidden/>
    <w:semiHidden/>
    <w:qFormat/>
    <w:uiPriority w:val="99"/>
    <w:rPr>
      <w:rFonts w:asciiTheme="minorHAnsi" w:hAnsiTheme="minorHAnsi" w:eastAsiaTheme="minorEastAsia" w:cstheme="minorBidi"/>
      <w:sz w:val="22"/>
      <w:szCs w:val="22"/>
      <w:lang w:val="en-US" w:eastAsia="zh-CN" w:bidi="ar-SA"/>
    </w:rPr>
  </w:style>
  <w:style w:type="paragraph" w:customStyle="1" w:styleId="46">
    <w:name w:val="Revision"/>
    <w:hidden/>
    <w:semiHidden/>
    <w:qFormat/>
    <w:uiPriority w:val="99"/>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2051</Words>
  <Characters>11694</Characters>
  <Lines>97</Lines>
  <Paragraphs>27</Paragraphs>
  <TotalTime>220</TotalTime>
  <ScaleCrop>false</ScaleCrop>
  <LinksUpToDate>false</LinksUpToDate>
  <CharactersWithSpaces>13718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2023-03-21T00:12:00Z</dcterms:created>
  <dc:creator>Hailey Wang</dc:creator>
  <cp:lastModifiedBy> </cp:lastModifiedBy>
  <cp:lastPrinted>2023-01-18T08:38:00Z</cp:lastPrinted>
  <dcterms:modified xsi:type="dcterms:W3CDTF">2023-07-21T10:03:21Z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0C37F70887C64377BD47E57B78D96D3C</vt:lpwstr>
  </property>
  <property fmtid="{D5CDD505-2E9C-101B-9397-08002B2CF9AE}" pid="4" name="_KSOProductBuildMID">
    <vt:lpwstr>SVWMI6GE796Q0V9GQPR8PL057ZD0O7VREO0XTJDAXGHRTGCTZRBRICJVFYRTPC8RXXMXSOLKZI678HNJQEFTRFF78RF0WILBAXOOKHB3B5E6D8BD87DDAE42CDC10256438C030B</vt:lpwstr>
  </property>
  <property fmtid="{D5CDD505-2E9C-101B-9397-08002B2CF9AE}" pid="5" name="_KSOProductBuildSID">
    <vt:lpwstr>CKWMQ6GO797Q0T9GRQR8RL007NL0O7GREN0XOJDBXFF8TGCTZMBRRCJFFY9HP88RXJM69OLIZI678IEJQEFTRF8D89Q0WI5B8NOOQHB378A1F55800F60E3AD26B2C461C10C76D</vt:lpwstr>
  </property>
</Properties>
</file>