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60" w:lineRule="auto"/>
        <w:ind w:firstLine="573"/>
        <w:jc w:val="center"/>
        <w:rPr>
          <w:rFonts w:ascii="方正小标宋简体" w:hAnsi="微软雅黑" w:eastAsia="方正小标宋简体" w:cs="宋体"/>
          <w:color w:val="000000" w:themeColor="text1"/>
          <w:sz w:val="36"/>
          <w:szCs w:val="36"/>
          <w:highlight w:val="none"/>
          <w14:textFill>
            <w14:solidFill>
              <w14:schemeClr w14:val="tx1"/>
            </w14:solidFill>
          </w14:textFill>
        </w:rPr>
      </w:pPr>
      <w:r>
        <w:rPr>
          <w:rFonts w:hint="eastAsia" w:ascii="方正小标宋简体" w:hAnsi="微软雅黑" w:eastAsia="方正小标宋简体" w:cs="宋体"/>
          <w:color w:val="000000" w:themeColor="text1"/>
          <w:sz w:val="36"/>
          <w:szCs w:val="36"/>
          <w:highlight w:val="none"/>
          <w14:textFill>
            <w14:solidFill>
              <w14:schemeClr w14:val="tx1"/>
            </w14:solidFill>
          </w14:textFill>
        </w:rPr>
        <w:t>证券公司压力测试指引</w:t>
      </w:r>
    </w:p>
    <w:p>
      <w:pPr>
        <w:adjustRightInd w:val="0"/>
        <w:snapToGrid w:val="0"/>
        <w:spacing w:before="100" w:beforeAutospacing="1" w:after="100" w:afterAutospacing="1" w:line="360" w:lineRule="auto"/>
        <w:ind w:firstLine="573"/>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第一章 总则</w:t>
      </w:r>
    </w:p>
    <w:p>
      <w:pPr>
        <w:pStyle w:val="31"/>
        <w:numPr>
          <w:ilvl w:val="0"/>
          <w:numId w:val="1"/>
        </w:numPr>
        <w:adjustRightInd w:val="0"/>
        <w:snapToGrid w:val="0"/>
        <w:spacing w:after="0" w:line="360" w:lineRule="auto"/>
        <w:ind w:left="0" w:firstLine="573" w:firstLineChars="0"/>
        <w:jc w:val="both"/>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rPr>
        <w:t xml:space="preserve"> 为指导证券公司建立健全压力测试机制，提高风险管理水平，根据《中华人民共和国证券法》《证券公司监督管理条例》《证券公司风险控制指标管理办法》《证券公司全面风险管理规范》等法律法规和自律规则，制定本指引。</w:t>
      </w:r>
    </w:p>
    <w:p>
      <w:pPr>
        <w:shd w:val="clear" w:color="auto" w:fill="FFFFFF"/>
        <w:spacing w:after="0" w:line="360" w:lineRule="auto"/>
        <w:ind w:firstLine="573"/>
        <w:jc w:val="both"/>
        <w:rPr>
          <w:rFonts w:ascii="仿宋_GB2312" w:hAnsi="宋体" w:eastAsia="仿宋_GB2312" w:cs="宋体"/>
          <w:color w:val="000000"/>
          <w:sz w:val="28"/>
          <w:szCs w:val="28"/>
          <w:highlight w:val="none"/>
        </w:rPr>
      </w:pPr>
      <w:r>
        <w:rPr>
          <w:rFonts w:hint="eastAsia" w:ascii="仿宋_GB2312" w:hAnsi="宋体" w:eastAsia="仿宋_GB2312" w:cs="宋体"/>
          <w:b/>
          <w:bCs/>
          <w:color w:val="000000"/>
          <w:sz w:val="28"/>
          <w:szCs w:val="28"/>
          <w:highlight w:val="none"/>
        </w:rPr>
        <w:t>第二条</w:t>
      </w:r>
      <w:r>
        <w:rPr>
          <w:rFonts w:hint="eastAsia" w:ascii="仿宋_GB2312" w:hAnsi="宋体" w:eastAsia="仿宋_GB2312" w:cs="宋体"/>
          <w:color w:val="000000"/>
          <w:sz w:val="28"/>
          <w:szCs w:val="28"/>
          <w:highlight w:val="none"/>
        </w:rPr>
        <w:t> 证券公司应当建立压力测试机制，确保在压力情景下风险可测、可控、可承受，保障可持续经营。</w:t>
      </w:r>
    </w:p>
    <w:p>
      <w:pPr>
        <w:shd w:val="clear" w:color="auto" w:fill="FFFFFF"/>
        <w:spacing w:after="0" w:line="360" w:lineRule="auto"/>
        <w:ind w:firstLine="573"/>
        <w:jc w:val="both"/>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rPr>
        <w:t>本指引所称压力测试，是指证券公司采用以定量分析为主的风险分析方法，测算压力情景下净资本和流动性等风险控制指标、财务指标、证券公司内部风险限额及业务指标的变化情况，评估风险承受能力，并采取必要应对措施的过程。</w:t>
      </w:r>
    </w:p>
    <w:p>
      <w:pPr>
        <w:shd w:val="clear" w:color="auto" w:fill="FFFFFF"/>
        <w:spacing w:after="0" w:line="360" w:lineRule="auto"/>
        <w:ind w:firstLine="573"/>
        <w:jc w:val="both"/>
        <w:rPr>
          <w:rFonts w:ascii="仿宋_GB2312" w:hAnsi="宋体" w:eastAsia="仿宋_GB2312" w:cs="宋体"/>
          <w:color w:val="000000"/>
          <w:sz w:val="28"/>
          <w:szCs w:val="28"/>
          <w:highlight w:val="none"/>
        </w:rPr>
      </w:pPr>
      <w:r>
        <w:rPr>
          <w:rFonts w:hint="eastAsia" w:ascii="仿宋_GB2312" w:hAnsi="宋体" w:eastAsia="仿宋_GB2312" w:cs="宋体"/>
          <w:color w:val="000000"/>
          <w:sz w:val="28"/>
          <w:szCs w:val="28"/>
          <w:highlight w:val="none"/>
        </w:rPr>
        <w:t>本指引所称压力情景包括证券公司内外部经营环境发生极端变化或出现突发事件，开展重大业务以及进行利润分配等情形。</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第三条</w:t>
      </w:r>
      <w:r>
        <w:rPr>
          <w:rFonts w:hint="eastAsia" w:ascii="仿宋_GB2312" w:hAnsi="仿宋_GB2312" w:eastAsia="仿宋_GB2312" w:cs="仿宋_GB2312"/>
          <w:color w:val="000000"/>
          <w:sz w:val="28"/>
          <w:szCs w:val="28"/>
          <w:highlight w:val="none"/>
        </w:rPr>
        <w:t> 证券公司开展压力测试，应当遵循以下原则：</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（一）全面性原则：证券公司压力测试应当全面覆盖公司各个业务领域、所有子公司以及比照子公司管理的各类孙公司（以下简称“子公司”）的各类风险，并充分考虑各类风险间的相关性。</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（二）实践性原则：证券公司开展压力测试的流程与方法应当具备针对性和可操作性，与经营管理实践紧密结合，压力测试结果应当在风险管理和经营决策中得到有效应用。</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（三）审慎性原则：证券公司开展压力测试所选用的风险因素、数量模型、情景假设应当审慎合理，符合行业和公司实际，以利于科学分析各类风险的特征及其对各项业务的影响。</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（四）前瞻性原则：证券公司开展压力测试应当综合考虑宏观经济运行周期、行业发展变化趋势以及公司发展战略规划，</w:t>
      </w:r>
      <w:bookmarkStart w:id="0" w:name="_Hlk117782470"/>
      <w:r>
        <w:rPr>
          <w:rFonts w:hint="eastAsia" w:ascii="仿宋_GB2312" w:hAnsi="仿宋_GB2312" w:eastAsia="仿宋_GB2312" w:cs="仿宋_GB2312"/>
          <w:color w:val="000000"/>
          <w:sz w:val="28"/>
          <w:szCs w:val="28"/>
          <w:highlight w:val="none"/>
        </w:rPr>
        <w:t>合理预见各种可能出现的极端不利情况和风险。</w:t>
      </w:r>
    </w:p>
    <w:p>
      <w:pPr>
        <w:shd w:val="clear" w:color="auto" w:fill="FFFFFF"/>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b/>
          <w:bCs/>
          <w:color w:val="000000"/>
          <w:sz w:val="28"/>
          <w:szCs w:val="28"/>
          <w:highlight w:val="none"/>
        </w:rPr>
        <w:t>第四条</w:t>
      </w:r>
      <w:r>
        <w:rPr>
          <w:rFonts w:hint="eastAsia" w:ascii="仿宋_GB2312" w:hAnsi="仿宋_GB2312" w:eastAsia="仿宋_GB2312" w:cs="仿宋_GB2312"/>
          <w:color w:val="000000"/>
          <w:sz w:val="28"/>
          <w:szCs w:val="28"/>
          <w:highlight w:val="none"/>
        </w:rPr>
        <w:t> </w:t>
      </w:r>
      <w:r>
        <w:rPr>
          <w:rFonts w:hint="eastAsia" w:ascii="仿宋_GB2312" w:hAnsi="仿宋_GB2312" w:eastAsia="仿宋_GB2312" w:cs="仿宋_GB2312"/>
          <w:sz w:val="28"/>
          <w:szCs w:val="28"/>
          <w:highlight w:val="none"/>
          <w:lang w:eastAsia="zh-CN"/>
        </w:rPr>
        <w:t>中国证券业协会（以下简称“协会”）组建压力测试专家组，专家</w:t>
      </w:r>
      <w:r>
        <w:rPr>
          <w:rFonts w:hint="eastAsia" w:ascii="仿宋_GB2312" w:hAnsi="仿宋_GB2312" w:eastAsia="仿宋_GB2312" w:cs="仿宋_GB2312"/>
          <w:sz w:val="28"/>
          <w:szCs w:val="28"/>
          <w:highlight w:val="none"/>
        </w:rPr>
        <w:t>组成员主要由协会风险管理相关专业委员会专家及来自监管机构、自律组织的专家组成，总人数不低于10人</w:t>
      </w:r>
      <w:r>
        <w:rPr>
          <w:rFonts w:hint="eastAsia" w:ascii="仿宋_GB2312" w:hAnsi="仿宋_GB2312" w:eastAsia="仿宋_GB2312" w:cs="仿宋_GB2312"/>
          <w:sz w:val="28"/>
          <w:szCs w:val="28"/>
          <w:highlight w:val="none"/>
          <w:lang w:eastAsia="zh-CN"/>
        </w:rPr>
        <w:t>。专家组</w:t>
      </w:r>
      <w:r>
        <w:rPr>
          <w:rFonts w:hint="default" w:ascii="仿宋_GB2312" w:hAnsi="仿宋_GB2312" w:eastAsia="仿宋_GB2312" w:cs="仿宋_GB2312"/>
          <w:sz w:val="28"/>
          <w:szCs w:val="28"/>
          <w:highlight w:val="none"/>
          <w:lang w:val="en" w:eastAsia="zh-CN"/>
        </w:rPr>
        <w:t>可以</w:t>
      </w:r>
      <w:r>
        <w:rPr>
          <w:rFonts w:hint="eastAsia" w:ascii="仿宋_GB2312" w:hAnsi="仿宋_GB2312" w:eastAsia="仿宋_GB2312" w:cs="仿宋_GB2312"/>
          <w:sz w:val="28"/>
          <w:szCs w:val="28"/>
          <w:highlight w:val="none"/>
          <w:lang w:eastAsia="zh-CN"/>
        </w:rPr>
        <w:t>对行业</w:t>
      </w:r>
      <w:r>
        <w:rPr>
          <w:rFonts w:hint="eastAsia" w:ascii="仿宋_GB2312" w:hAnsi="仿宋_GB2312" w:eastAsia="仿宋_GB2312" w:cs="仿宋_GB2312"/>
          <w:sz w:val="28"/>
          <w:szCs w:val="28"/>
          <w:highlight w:val="none"/>
        </w:rPr>
        <w:t>压力测试</w:t>
      </w:r>
      <w:r>
        <w:rPr>
          <w:rFonts w:hint="eastAsia" w:ascii="仿宋_GB2312" w:hAnsi="仿宋_GB2312" w:eastAsia="仿宋_GB2312" w:cs="仿宋_GB2312"/>
          <w:sz w:val="28"/>
          <w:szCs w:val="28"/>
          <w:highlight w:val="none"/>
          <w:lang w:eastAsia="zh-CN"/>
        </w:rPr>
        <w:t>工作方案提出建议，包括但不限于</w:t>
      </w:r>
      <w:r>
        <w:rPr>
          <w:rFonts w:hint="eastAsia" w:ascii="仿宋_GB2312" w:hAnsi="仿宋_GB2312" w:eastAsia="仿宋_GB2312" w:cs="仿宋_GB2312"/>
          <w:sz w:val="28"/>
          <w:szCs w:val="28"/>
          <w:highlight w:val="none"/>
        </w:rPr>
        <w:t>压力测试情景、参数指标和传导机制</w:t>
      </w:r>
      <w:r>
        <w:rPr>
          <w:rFonts w:hint="eastAsia" w:ascii="仿宋_GB2312" w:hAnsi="仿宋_GB2312" w:eastAsia="仿宋_GB2312" w:cs="仿宋_GB2312"/>
          <w:sz w:val="28"/>
          <w:szCs w:val="28"/>
          <w:highlight w:val="none"/>
          <w:lang w:eastAsia="zh-CN"/>
        </w:rPr>
        <w:t>等；对压力测试结果做出</w:t>
      </w:r>
      <w:r>
        <w:rPr>
          <w:rFonts w:hint="eastAsia" w:ascii="仿宋_GB2312" w:hAnsi="仿宋_GB2312" w:eastAsia="仿宋_GB2312" w:cs="仿宋_GB2312"/>
          <w:sz w:val="28"/>
          <w:szCs w:val="28"/>
          <w:highlight w:val="none"/>
          <w:lang w:val="en-US" w:eastAsia="zh-CN"/>
        </w:rPr>
        <w:t>综合研判，提出压力测试工作改进建议等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协会根据专家组意见建议提出</w:t>
      </w:r>
      <w:r>
        <w:rPr>
          <w:rFonts w:hint="eastAsia" w:ascii="仿宋_GB2312" w:hAnsi="仿宋_GB2312" w:eastAsia="仿宋_GB2312" w:cs="仿宋_GB2312"/>
          <w:sz w:val="28"/>
          <w:szCs w:val="28"/>
          <w:highlight w:val="none"/>
        </w:rPr>
        <w:t>综合压力测试</w:t>
      </w:r>
      <w:r>
        <w:rPr>
          <w:rFonts w:hint="eastAsia" w:ascii="仿宋_GB2312" w:hAnsi="仿宋_GB2312" w:eastAsia="仿宋_GB2312" w:cs="仿宋_GB2312"/>
          <w:sz w:val="28"/>
          <w:szCs w:val="28"/>
          <w:highlight w:val="none"/>
          <w:lang w:eastAsia="zh-CN"/>
        </w:rPr>
        <w:t>或</w:t>
      </w:r>
      <w:r>
        <w:rPr>
          <w:rFonts w:hint="eastAsia" w:ascii="仿宋_GB2312" w:hAnsi="仿宋_GB2312" w:eastAsia="仿宋_GB2312" w:cs="仿宋_GB2312"/>
          <w:sz w:val="28"/>
          <w:szCs w:val="28"/>
          <w:highlight w:val="none"/>
        </w:rPr>
        <w:t>专项压力测试</w:t>
      </w:r>
      <w:r>
        <w:rPr>
          <w:rFonts w:hint="eastAsia" w:ascii="仿宋_GB2312" w:hAnsi="仿宋_GB2312" w:eastAsia="仿宋_GB2312" w:cs="仿宋_GB2312"/>
          <w:sz w:val="28"/>
          <w:szCs w:val="28"/>
          <w:highlight w:val="none"/>
          <w:lang w:eastAsia="zh-CN"/>
        </w:rPr>
        <w:t>工作要求。</w:t>
      </w:r>
    </w:p>
    <w:bookmarkEnd w:id="0"/>
    <w:p>
      <w:pPr>
        <w:adjustRightInd w:val="0"/>
        <w:snapToGrid w:val="0"/>
        <w:spacing w:before="100" w:beforeAutospacing="1" w:after="100" w:afterAutospacing="1" w:line="360" w:lineRule="auto"/>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第二章  压力测试的基本保障</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rPr>
        <w:t>第五条</w:t>
      </w:r>
      <w:r>
        <w:rPr>
          <w:rFonts w:hint="eastAsia" w:ascii="仿宋_GB2312" w:hAnsi="仿宋_GB2312" w:eastAsia="仿宋_GB2312" w:cs="仿宋_GB2312"/>
          <w:color w:val="000000"/>
          <w:sz w:val="28"/>
          <w:szCs w:val="28"/>
          <w:highlight w:val="none"/>
        </w:rPr>
        <w:t> 证券公司董事会或者经理层应当高度重视并积极指导压力测试工作，确定压力测试的组织架构，指派公司高级管理人员分管压力测试工作，指定专门部门和专业人员负责实施压力测试。公司其他相关部门、分支机构和子公司应当积极配合，共同开展压力测试工作，或</w:t>
      </w:r>
      <w:r>
        <w:rPr>
          <w:rFonts w:hint="eastAsia" w:ascii="仿宋_GB2312" w:hAnsi="仿宋_GB2312" w:eastAsia="仿宋_GB2312" w:cs="仿宋_GB2312"/>
          <w:color w:val="000000"/>
          <w:sz w:val="28"/>
          <w:szCs w:val="28"/>
          <w:highlight w:val="none"/>
          <w:u w:val="none"/>
        </w:rPr>
        <w:t>根据自身业务和管理需要自主开展压力测试工作。</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第六条</w:t>
      </w:r>
      <w:r>
        <w:rPr>
          <w:rFonts w:hint="eastAsia" w:ascii="仿宋_GB2312" w:hAnsi="仿宋_GB2312" w:eastAsia="仿宋_GB2312" w:cs="仿宋_GB2312"/>
          <w:color w:val="000000"/>
          <w:sz w:val="28"/>
          <w:szCs w:val="28"/>
          <w:highlight w:val="none"/>
        </w:rPr>
        <w:t> 证券公司应当建立和完善压力测试的相关制度，制度应当包括压力测试的职责</w:t>
      </w:r>
      <w:r>
        <w:rPr>
          <w:rFonts w:hint="eastAsia" w:ascii="仿宋_GB2312" w:hAnsi="仿宋_GB2312" w:eastAsia="仿宋_GB2312" w:cs="仿宋_GB2312"/>
          <w:color w:val="000000"/>
          <w:sz w:val="28"/>
          <w:szCs w:val="28"/>
          <w:highlight w:val="none"/>
          <w:lang w:eastAsia="zh-CN"/>
        </w:rPr>
        <w:t>分工</w:t>
      </w:r>
      <w:r>
        <w:rPr>
          <w:rFonts w:hint="eastAsia" w:ascii="仿宋_GB2312" w:hAnsi="仿宋_GB2312" w:eastAsia="仿宋_GB2312" w:cs="仿宋_GB2312"/>
          <w:color w:val="000000"/>
          <w:sz w:val="28"/>
          <w:szCs w:val="28"/>
          <w:highlight w:val="none"/>
        </w:rPr>
        <w:t>、触发机制、实施流程及方法、报告路径、结果应用、检查评估等内容。</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第七条 </w:t>
      </w:r>
      <w:r>
        <w:rPr>
          <w:rFonts w:hint="eastAsia" w:ascii="仿宋_GB2312" w:hAnsi="仿宋_GB2312" w:eastAsia="仿宋_GB2312" w:cs="仿宋_GB2312"/>
          <w:color w:val="000000"/>
          <w:sz w:val="28"/>
          <w:szCs w:val="28"/>
          <w:highlight w:val="none"/>
        </w:rPr>
        <w:t>证券公司在压力测试中所使用的市场数据、财务数据、业务数据等各种内外部数据来源应当合法、真实、准确、完整。</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第八条</w:t>
      </w:r>
      <w:r>
        <w:rPr>
          <w:rFonts w:hint="eastAsia" w:ascii="仿宋_GB2312" w:hAnsi="仿宋_GB2312" w:eastAsia="仿宋_GB2312" w:cs="仿宋_GB2312"/>
          <w:color w:val="000000"/>
          <w:sz w:val="28"/>
          <w:szCs w:val="28"/>
          <w:highlight w:val="none"/>
        </w:rPr>
        <w:t> 证券公司压力测试应当选用适当的数量模型。数量模型应当采用科学合理的计量方法和估值技术，并具备理论基础和实务依据，考虑外部环境、行业现状及公司自身业务特点等要素，合理运用定性方法作为数量模型的补充，综合专家经验和判断，定期或不定期进行评估与验证</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以提高数量模型的有效性。数量模型的建立和修改应当根据公司决策机制履行相关审批程序。</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第九条 </w:t>
      </w:r>
      <w:r>
        <w:rPr>
          <w:rFonts w:hint="eastAsia" w:ascii="仿宋_GB2312" w:hAnsi="仿宋_GB2312" w:eastAsia="仿宋_GB2312" w:cs="仿宋_GB2312"/>
          <w:color w:val="000000"/>
          <w:sz w:val="28"/>
          <w:szCs w:val="28"/>
          <w:highlight w:val="none"/>
        </w:rPr>
        <w:t>证券公司应当为压力测试工作提供必要的信息技术保障，在数据管理、模型开发、情景设置、测试实施、结果分析</w:t>
      </w:r>
      <w:r>
        <w:rPr>
          <w:rFonts w:hint="eastAsia" w:ascii="仿宋_GB2312" w:hAnsi="仿宋_GB2312" w:eastAsia="仿宋_GB2312" w:cs="仿宋_GB2312"/>
          <w:color w:val="000000"/>
          <w:sz w:val="28"/>
          <w:szCs w:val="28"/>
          <w:highlight w:val="none"/>
          <w:lang w:eastAsia="zh-CN"/>
        </w:rPr>
        <w:t>与报告</w:t>
      </w:r>
      <w:r>
        <w:rPr>
          <w:rFonts w:hint="eastAsia" w:ascii="仿宋_GB2312" w:hAnsi="仿宋_GB2312" w:eastAsia="仿宋_GB2312" w:cs="仿宋_GB2312"/>
          <w:color w:val="000000"/>
          <w:sz w:val="28"/>
          <w:szCs w:val="28"/>
          <w:highlight w:val="none"/>
        </w:rPr>
        <w:t>等环节给予信息技术支持，结合自身情况逐步提升压力测试工作系统化水平，以提高压力测试的质量和效率。</w:t>
      </w:r>
    </w:p>
    <w:p>
      <w:pPr>
        <w:adjustRightInd w:val="0"/>
        <w:snapToGrid w:val="0"/>
        <w:spacing w:before="100" w:beforeAutospacing="1" w:after="100" w:afterAutospacing="1" w:line="360" w:lineRule="auto"/>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第三章  压力测试流程和方法</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第十条</w:t>
      </w:r>
      <w:r>
        <w:rPr>
          <w:rFonts w:hint="eastAsia" w:ascii="仿宋_GB2312" w:hAnsi="仿宋_GB2312" w:eastAsia="仿宋_GB2312" w:cs="仿宋_GB2312"/>
          <w:color w:val="000000"/>
          <w:sz w:val="28"/>
          <w:szCs w:val="28"/>
          <w:highlight w:val="none"/>
        </w:rPr>
        <w:t> 证券公司开展压力测试一般包括以下主要步骤：</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（一）确定测试目的，选择测试对象；</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（二）制定测试方案，确定测试方法；</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（三）设置测试情景，确定风险因素；</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（四）明确传导模型，收集测试数据；</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（五）实施压力测试，分析报告测试结果；</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（六）制定和执行应对措施。</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第十一条</w:t>
      </w:r>
      <w:r>
        <w:rPr>
          <w:rFonts w:hint="eastAsia" w:ascii="仿宋_GB2312" w:hAnsi="仿宋_GB2312" w:eastAsia="仿宋_GB2312" w:cs="仿宋_GB2312"/>
          <w:color w:val="000000"/>
          <w:sz w:val="28"/>
          <w:szCs w:val="28"/>
          <w:highlight w:val="none"/>
        </w:rPr>
        <w:t> 证券公司压力测试方案的制定应当充分与公司相关部门沟通，证券公司压力测试方案一般包括测试目的、测试对象、测试方法、压力情景、风险因素、传导模型、测试区间、测试数据、测试频率、参与部门等要素。</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第十二条 </w:t>
      </w:r>
      <w:r>
        <w:rPr>
          <w:rFonts w:hint="eastAsia" w:ascii="仿宋_GB2312" w:hAnsi="仿宋_GB2312" w:eastAsia="仿宋_GB2312" w:cs="仿宋_GB2312"/>
          <w:color w:val="000000"/>
          <w:sz w:val="28"/>
          <w:szCs w:val="28"/>
          <w:highlight w:val="none"/>
        </w:rPr>
        <w:t>证券公司压力测试包括综合压力测试和专项压力测试。综合压力测试的对象包括但不限于净资本</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流动性等风险控制指标和整体财务指标；专项压力测试的对象根据专项压力测试的目的予以选择。</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证券公司在压力测试过程中，可进一步运用反向压力测试方法对导致测试对象超限、预警或重大不利变动的因素进行分析，并研究应对措施。反向压力测试是从已知的压力测试结果出发，反向寻找公司资产质量、盈利、资本和流动性可能承受的极端压力情景，适于开展反向压力测试的领域包括高风险业务线、未经历过严重压力的新产品和新业务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第十三条</w:t>
      </w:r>
      <w:r>
        <w:rPr>
          <w:rFonts w:hint="eastAsia" w:ascii="仿宋_GB2312" w:hAnsi="仿宋_GB2312" w:eastAsia="仿宋_GB2312" w:cs="仿宋_GB2312"/>
          <w:color w:val="000000"/>
          <w:sz w:val="28"/>
          <w:szCs w:val="28"/>
          <w:highlight w:val="none"/>
        </w:rPr>
        <w:t> 证券公司压力测试根据不同的压力情景可采用敏感性分析和情景分析等方法。</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本指引所称敏感性分析是指测试单个重要风险因素或少数几项关系密切因素发生变化时的压力情景对证券公司的影响；情景分析是指测试多种风险因素同时变化或某些不利事件发生时的压力情景对证券公司的影响。</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第十四条 </w:t>
      </w:r>
      <w:r>
        <w:rPr>
          <w:rFonts w:hint="eastAsia" w:ascii="仿宋_GB2312" w:hAnsi="仿宋_GB2312" w:eastAsia="仿宋_GB2312" w:cs="仿宋_GB2312"/>
          <w:color w:val="000000"/>
          <w:sz w:val="28"/>
          <w:szCs w:val="28"/>
          <w:highlight w:val="none"/>
        </w:rPr>
        <w:t>证券公司在设置压力情景时，可采取历史情景法、假设情景法或者二者相结合的方法。历史情景法是指模拟历史上重大风险事件或重大压力情景，假设情景法是指基于经验判断或数量模型模拟未来可预见的极端不利情况。证券公司可结合具体业务风险因</w:t>
      </w:r>
      <w:r>
        <w:rPr>
          <w:rFonts w:hint="eastAsia" w:ascii="仿宋_GB2312" w:hAnsi="仿宋_GB2312" w:eastAsia="仿宋_GB2312" w:cs="仿宋_GB2312"/>
          <w:color w:val="000000"/>
          <w:sz w:val="28"/>
          <w:szCs w:val="28"/>
          <w:highlight w:val="none"/>
          <w:lang w:eastAsia="zh-CN"/>
        </w:rPr>
        <w:t>子</w:t>
      </w:r>
      <w:r>
        <w:rPr>
          <w:rFonts w:hint="eastAsia" w:ascii="仿宋_GB2312" w:hAnsi="仿宋_GB2312" w:eastAsia="仿宋_GB2312" w:cs="仿宋_GB2312"/>
          <w:color w:val="000000"/>
          <w:sz w:val="28"/>
          <w:szCs w:val="28"/>
          <w:highlight w:val="none"/>
        </w:rPr>
        <w:t>，采用数量模型及专家判断设置相关压力情景及参数。</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证券公司可根据风险因素的严重程度设置多个压力情景，一般包括轻度、中度和重度压力情景等。情景设置应定期或不定期进行检查回顾，若发现压力情景显著弱于市场或已</w:t>
      </w:r>
      <w:r>
        <w:rPr>
          <w:rFonts w:hint="eastAsia" w:ascii="仿宋_GB2312" w:hAnsi="仿宋_GB2312" w:eastAsia="仿宋_GB2312" w:cs="仿宋_GB2312"/>
          <w:color w:val="000000"/>
          <w:sz w:val="28"/>
          <w:szCs w:val="28"/>
          <w:highlight w:val="none"/>
          <w:lang w:eastAsia="zh-CN"/>
        </w:rPr>
        <w:t>实际</w:t>
      </w:r>
      <w:r>
        <w:rPr>
          <w:rFonts w:hint="eastAsia" w:ascii="仿宋_GB2312" w:hAnsi="仿宋_GB2312" w:eastAsia="仿宋_GB2312" w:cs="仿宋_GB2312"/>
          <w:color w:val="000000"/>
          <w:sz w:val="28"/>
          <w:szCs w:val="28"/>
          <w:highlight w:val="none"/>
        </w:rPr>
        <w:t>发生的</w:t>
      </w:r>
      <w:r>
        <w:rPr>
          <w:rFonts w:hint="eastAsia" w:ascii="仿宋_GB2312" w:hAnsi="仿宋_GB2312" w:eastAsia="仿宋_GB2312" w:cs="仿宋_GB2312"/>
          <w:color w:val="000000"/>
          <w:sz w:val="28"/>
          <w:szCs w:val="28"/>
          <w:highlight w:val="none"/>
          <w:lang w:eastAsia="zh-CN"/>
        </w:rPr>
        <w:t>最不利</w:t>
      </w:r>
      <w:r>
        <w:rPr>
          <w:rFonts w:hint="eastAsia" w:ascii="仿宋_GB2312" w:hAnsi="仿宋_GB2312" w:eastAsia="仿宋_GB2312" w:cs="仿宋_GB2312"/>
          <w:color w:val="000000"/>
          <w:sz w:val="28"/>
          <w:szCs w:val="28"/>
          <w:highlight w:val="none"/>
        </w:rPr>
        <w:t>情况，应重点分析并在未来压力测试情景设置中予以适当调整。</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第十五条</w:t>
      </w:r>
      <w:r>
        <w:rPr>
          <w:rFonts w:hint="eastAsia" w:ascii="仿宋_GB2312" w:hAnsi="仿宋_GB2312" w:eastAsia="仿宋_GB2312" w:cs="仿宋_GB2312"/>
          <w:color w:val="000000"/>
          <w:sz w:val="28"/>
          <w:szCs w:val="28"/>
          <w:highlight w:val="none"/>
        </w:rPr>
        <w:t> 压力测试应当涵盖证券公司面临的主要风险，包括经营风险、市场风险、信用风险、操作风险、</w:t>
      </w:r>
      <w:r>
        <w:rPr>
          <w:rFonts w:hint="eastAsia" w:ascii="仿宋_GB2312" w:hAnsi="仿宋_GB2312" w:eastAsia="仿宋_GB2312" w:cs="仿宋_GB2312"/>
          <w:color w:val="000000"/>
          <w:sz w:val="28"/>
          <w:szCs w:val="28"/>
          <w:highlight w:val="none"/>
          <w:lang w:eastAsia="zh-CN"/>
        </w:rPr>
        <w:t>声誉风险、</w:t>
      </w:r>
      <w:r>
        <w:rPr>
          <w:rFonts w:hint="eastAsia" w:ascii="仿宋_GB2312" w:hAnsi="仿宋_GB2312" w:eastAsia="仿宋_GB2312" w:cs="仿宋_GB2312"/>
          <w:color w:val="000000"/>
          <w:sz w:val="28"/>
          <w:szCs w:val="28"/>
          <w:highlight w:val="none"/>
        </w:rPr>
        <w:t>法律合规风险、流动性风险等风险类型。证券公司应当根据上述风险类型科学审慎地确定相应的风险因素，并考虑不同风险因素之间的相互作用和共同影响，风险因素的变化情况一般包括：</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（一）经营风险因素：证券交易量大幅下降、经纪业务佣金费率快速下滑、资产管理、投资银行、融资融券、股票质押等主要业务规模大幅变动等；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（二）市场风险因素：利率或信用价差大幅变动、权益市场、汇率大幅波动、商品市场的大幅波动等，可参考资产价格在不同置信区间下的历史不利变动，并适度增加变动幅度；</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（三）信用风险因素：违约事件发生、信用评级下调、信用类业务违约率或违约损失率上升等，并充分考虑违约资产以及担保品处置周期等特殊因素；</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（四）操作风险因素：信息系统重大故障、业务流程设计失效、人员重大操作失误、外部事件造成重大损失等；</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eastAsia="zh-CN"/>
        </w:rPr>
        <w:t>五</w:t>
      </w:r>
      <w:r>
        <w:rPr>
          <w:rFonts w:hint="eastAsia" w:ascii="仿宋_GB2312" w:hAnsi="仿宋_GB2312" w:eastAsia="仿宋_GB2312" w:cs="仿宋_GB2312"/>
          <w:color w:val="000000"/>
          <w:sz w:val="28"/>
          <w:szCs w:val="28"/>
          <w:highlight w:val="none"/>
        </w:rPr>
        <w:t>）声誉风险因素：发生重大负面</w:t>
      </w:r>
      <w:r>
        <w:rPr>
          <w:rFonts w:hint="eastAsia" w:ascii="仿宋_GB2312" w:hAnsi="仿宋_GB2312" w:eastAsia="仿宋_GB2312" w:cs="仿宋_GB2312"/>
          <w:color w:val="000000"/>
          <w:sz w:val="28"/>
          <w:szCs w:val="28"/>
          <w:highlight w:val="none"/>
          <w:lang w:eastAsia="zh-CN"/>
        </w:rPr>
        <w:t>声誉事件，</w:t>
      </w:r>
      <w:r>
        <w:rPr>
          <w:rFonts w:hint="eastAsia" w:ascii="仿宋_GB2312" w:hAnsi="仿宋_GB2312" w:eastAsia="仿宋_GB2312" w:cs="仿宋_GB2312"/>
          <w:color w:val="000000"/>
          <w:sz w:val="28"/>
          <w:szCs w:val="28"/>
          <w:highlight w:val="none"/>
        </w:rPr>
        <w:t>造成证券公司重大损失、证券行业声誉损害等。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eastAsia="zh-CN"/>
        </w:rPr>
        <w:t>六</w:t>
      </w:r>
      <w:r>
        <w:rPr>
          <w:rFonts w:hint="eastAsia" w:ascii="仿宋_GB2312" w:hAnsi="仿宋_GB2312" w:eastAsia="仿宋_GB2312" w:cs="仿宋_GB2312"/>
          <w:color w:val="000000"/>
          <w:sz w:val="28"/>
          <w:szCs w:val="28"/>
          <w:highlight w:val="none"/>
        </w:rPr>
        <w:t>）法律合规风险因素：发生违法违规事件、监管处罚导致部分业务资格暂停、诉讼案件或有赔偿等；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eastAsia="zh-CN"/>
        </w:rPr>
        <w:t>七</w:t>
      </w:r>
      <w:r>
        <w:rPr>
          <w:rFonts w:hint="eastAsia" w:ascii="仿宋_GB2312" w:hAnsi="仿宋_GB2312" w:eastAsia="仿宋_GB2312" w:cs="仿宋_GB2312"/>
          <w:color w:val="000000"/>
          <w:sz w:val="28"/>
          <w:szCs w:val="28"/>
          <w:highlight w:val="none"/>
        </w:rPr>
        <w:t>）流动性风险因素：融资成本持续高企、融资渠道受限、出现大额资金缺口、负债集中到期或赎回、金融资产变现困难以及可能导致流动性风险的其他因素。</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在考虑以上风险因素不利变动时，可同步考虑宏观经济风险因素的先导性作用，包括但不限于国际经济及政治不利因素、国内经济增速放缓，</w:t>
      </w:r>
      <w:r>
        <w:rPr>
          <w:rFonts w:hint="eastAsia" w:ascii="仿宋_GB2312" w:hAnsi="仿宋_GB2312" w:eastAsia="仿宋_GB2312" w:cs="仿宋_GB2312"/>
          <w:color w:val="auto"/>
          <w:sz w:val="28"/>
          <w:szCs w:val="28"/>
          <w:highlight w:val="none"/>
        </w:rPr>
        <w:t>如</w:t>
      </w:r>
      <w:r>
        <w:rPr>
          <w:rFonts w:hint="eastAsia" w:ascii="仿宋_GB2312" w:hAnsi="仿宋_GB2312" w:eastAsia="仿宋_GB2312" w:cs="仿宋_GB2312"/>
          <w:color w:val="auto"/>
          <w:sz w:val="28"/>
          <w:szCs w:val="28"/>
          <w:highlight w:val="none"/>
          <w:lang w:eastAsia="zh-CN"/>
        </w:rPr>
        <w:t>国内生产总值（</w:t>
      </w:r>
      <w:r>
        <w:rPr>
          <w:rFonts w:hint="eastAsia" w:ascii="仿宋_GB2312" w:hAnsi="仿宋_GB2312" w:eastAsia="仿宋_GB2312" w:cs="仿宋_GB2312"/>
          <w:color w:val="auto"/>
          <w:sz w:val="28"/>
          <w:szCs w:val="28"/>
          <w:highlight w:val="none"/>
        </w:rPr>
        <w:t>GDP</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增速下降、失业率</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UE</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上升、居民消费价格指数</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CPI</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000000"/>
          <w:sz w:val="28"/>
          <w:szCs w:val="28"/>
          <w:highlight w:val="none"/>
        </w:rPr>
        <w:t>等指标出现大幅波动对证券公司经营、市场、信用等相关风险的传导及影响。</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第十六条 </w:t>
      </w:r>
      <w:r>
        <w:rPr>
          <w:rFonts w:hint="eastAsia" w:ascii="仿宋_GB2312" w:hAnsi="仿宋_GB2312" w:eastAsia="仿宋_GB2312" w:cs="仿宋_GB2312"/>
          <w:color w:val="000000"/>
          <w:sz w:val="28"/>
          <w:szCs w:val="28"/>
          <w:highlight w:val="none"/>
        </w:rPr>
        <w:t>证券公司应当在审慎评估的基础上，根据风险及业务情况，</w:t>
      </w:r>
      <w:r>
        <w:rPr>
          <w:rFonts w:hint="eastAsia" w:ascii="仿宋_GB2312" w:hAnsi="仿宋_GB2312" w:eastAsia="仿宋_GB2312" w:cs="仿宋_GB2312"/>
          <w:sz w:val="28"/>
          <w:szCs w:val="28"/>
          <w:highlight w:val="none"/>
        </w:rPr>
        <w:t>充分分析利用内外部数据</w:t>
      </w:r>
      <w:r>
        <w:rPr>
          <w:rFonts w:hint="eastAsia" w:ascii="仿宋_GB2312" w:hAnsi="仿宋_GB2312" w:eastAsia="仿宋_GB2312" w:cs="仿宋_GB2312"/>
          <w:color w:val="000000"/>
          <w:sz w:val="28"/>
          <w:szCs w:val="28"/>
          <w:highlight w:val="none"/>
        </w:rPr>
        <w:t>，采用科学合理的计量方法和估值技术，细化完善风险</w:t>
      </w:r>
      <w:r>
        <w:rPr>
          <w:rFonts w:hint="eastAsia" w:ascii="仿宋_GB2312" w:hAnsi="仿宋_GB2312" w:eastAsia="仿宋_GB2312" w:cs="仿宋_GB2312"/>
          <w:color w:val="000000"/>
          <w:sz w:val="28"/>
          <w:szCs w:val="28"/>
          <w:highlight w:val="none"/>
          <w:lang w:eastAsia="zh-CN"/>
        </w:rPr>
        <w:t>因子</w:t>
      </w:r>
      <w:r>
        <w:rPr>
          <w:rFonts w:hint="eastAsia" w:ascii="仿宋_GB2312" w:hAnsi="仿宋_GB2312" w:eastAsia="仿宋_GB2312" w:cs="仿宋_GB2312"/>
          <w:color w:val="000000"/>
          <w:sz w:val="28"/>
          <w:szCs w:val="28"/>
          <w:highlight w:val="none"/>
        </w:rPr>
        <w:t>参数及传导模型，科学审慎设置压力情景及数据范围，充分反映对证券公司财务、风控指标的影响，提高对各类风险预测、预警、预防能力。</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u w:val="none"/>
          <w:lang w:eastAsia="zh-CN"/>
        </w:rPr>
      </w:pPr>
      <w:r>
        <w:rPr>
          <w:rFonts w:hint="eastAsia" w:ascii="仿宋_GB2312" w:hAnsi="仿宋_GB2312" w:eastAsia="仿宋_GB2312" w:cs="仿宋_GB2312"/>
          <w:color w:val="000000"/>
          <w:sz w:val="28"/>
          <w:szCs w:val="28"/>
          <w:highlight w:val="none"/>
          <w:u w:val="none"/>
          <w:lang w:eastAsia="zh-CN"/>
        </w:rPr>
        <w:t>证券公司在设置及完善压力测试情景参数及传导模型时，可根据需要参考附件《证券公司压力测试案例参考》。</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第十七条 </w:t>
      </w:r>
      <w:bookmarkStart w:id="1" w:name="_Hlk114668481"/>
      <w:r>
        <w:rPr>
          <w:rFonts w:hint="eastAsia" w:ascii="仿宋_GB2312" w:hAnsi="仿宋_GB2312" w:eastAsia="仿宋_GB2312" w:cs="仿宋_GB2312"/>
          <w:color w:val="000000"/>
          <w:sz w:val="28"/>
          <w:szCs w:val="28"/>
          <w:highlight w:val="none"/>
        </w:rPr>
        <w:t>证券公司应当</w:t>
      </w:r>
      <w:bookmarkEnd w:id="1"/>
      <w:r>
        <w:rPr>
          <w:rFonts w:hint="eastAsia" w:ascii="仿宋_GB2312" w:hAnsi="仿宋_GB2312" w:eastAsia="仿宋_GB2312" w:cs="仿宋_GB2312"/>
          <w:color w:val="000000"/>
          <w:sz w:val="28"/>
          <w:szCs w:val="28"/>
          <w:highlight w:val="none"/>
        </w:rPr>
        <w:t>建立常态化的压力测试机制，健全压力测试触发机制，根据市场变化、业务规模和风险水平情况，定期或不定期开展综合压力测试和专项压力测试。</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第十八条 </w:t>
      </w:r>
      <w:r>
        <w:rPr>
          <w:rFonts w:hint="eastAsia" w:ascii="仿宋_GB2312" w:hAnsi="仿宋_GB2312" w:eastAsia="仿宋_GB2312" w:cs="仿宋_GB2312"/>
          <w:color w:val="000000"/>
          <w:sz w:val="28"/>
          <w:szCs w:val="28"/>
          <w:highlight w:val="none"/>
        </w:rPr>
        <w:t>证券公司综合压力测试应当每年至少开展一次。年度综合压力测试应当以上年度经营情况为基础，结合本年度预算和经营计划完成。</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第十九条</w:t>
      </w:r>
      <w:r>
        <w:rPr>
          <w:rFonts w:hint="eastAsia" w:ascii="仿宋_GB2312" w:hAnsi="仿宋_GB2312" w:eastAsia="仿宋_GB2312" w:cs="仿宋_GB2312"/>
          <w:color w:val="000000"/>
          <w:sz w:val="28"/>
          <w:szCs w:val="28"/>
          <w:highlight w:val="none"/>
        </w:rPr>
        <w:t> 证券公司开展综合压力测试时，应当确保压力测试覆盖全面，充分考虑影响母公司与子公司、表内资产与表外资产、交易性金融资产与非交易性金融资产等因素；针对存在潜在重大风险的业务领域，应设置有针对性的压力情景和风险参数，以全面反映压力情景对证券公司的不利影响。</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第二十条</w:t>
      </w:r>
      <w:r>
        <w:rPr>
          <w:rFonts w:ascii="Calibri" w:hAnsi="Calibri" w:eastAsia="仿宋_GB2312" w:cs="Calibri"/>
          <w:color w:val="000000"/>
          <w:sz w:val="28"/>
          <w:szCs w:val="28"/>
          <w:highlight w:val="none"/>
        </w:rPr>
        <w:t> </w:t>
      </w:r>
      <w:r>
        <w:rPr>
          <w:rFonts w:hint="eastAsia" w:ascii="仿宋_GB2312" w:hAnsi="仿宋_GB2312" w:eastAsia="仿宋_GB2312" w:cs="仿宋_GB2312"/>
          <w:color w:val="000000"/>
          <w:sz w:val="28"/>
          <w:szCs w:val="28"/>
          <w:highlight w:val="none"/>
        </w:rPr>
        <w:t>证券公司应当设置</w:t>
      </w:r>
      <w:r>
        <w:rPr>
          <w:rFonts w:hint="eastAsia" w:ascii="仿宋_GB2312" w:hAnsi="仿宋_GB2312" w:eastAsia="仿宋_GB2312" w:cs="仿宋_GB2312"/>
          <w:color w:val="000000"/>
          <w:sz w:val="28"/>
          <w:szCs w:val="28"/>
          <w:highlight w:val="none"/>
          <w:lang w:eastAsia="zh-CN"/>
        </w:rPr>
        <w:t>压力测试</w:t>
      </w:r>
      <w:r>
        <w:rPr>
          <w:rFonts w:hint="eastAsia" w:ascii="仿宋_GB2312" w:hAnsi="仿宋_GB2312" w:eastAsia="仿宋_GB2312" w:cs="仿宋_GB2312"/>
          <w:color w:val="000000"/>
          <w:sz w:val="28"/>
          <w:szCs w:val="28"/>
          <w:highlight w:val="none"/>
        </w:rPr>
        <w:t>主动触发</w:t>
      </w:r>
      <w:r>
        <w:rPr>
          <w:rFonts w:hint="eastAsia" w:ascii="仿宋_GB2312" w:hAnsi="仿宋_GB2312" w:eastAsia="仿宋_GB2312" w:cs="仿宋_GB2312"/>
          <w:color w:val="000000"/>
          <w:sz w:val="28"/>
          <w:szCs w:val="28"/>
          <w:highlight w:val="none"/>
          <w:lang w:eastAsia="zh-CN"/>
        </w:rPr>
        <w:t>机制</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eastAsia="zh-CN"/>
        </w:rPr>
        <w:t>及时开展专项压力测试或根据管理需要开展综合压力测试，</w:t>
      </w:r>
      <w:r>
        <w:rPr>
          <w:rFonts w:hint="eastAsia" w:ascii="仿宋_GB2312" w:hAnsi="仿宋_GB2312" w:eastAsia="仿宋_GB2312" w:cs="仿宋_GB2312"/>
          <w:color w:val="000000"/>
          <w:sz w:val="28"/>
          <w:szCs w:val="28"/>
          <w:highlight w:val="none"/>
        </w:rPr>
        <w:t>识别潜在风险并有效防范化解，提高压力测试的针对性和有效性。</w:t>
      </w:r>
      <w:r>
        <w:rPr>
          <w:rFonts w:hint="eastAsia" w:ascii="仿宋_GB2312" w:hAnsi="仿宋_GB2312" w:eastAsia="仿宋_GB2312" w:cs="仿宋_GB2312"/>
          <w:color w:val="000000"/>
          <w:sz w:val="28"/>
          <w:szCs w:val="28"/>
          <w:highlight w:val="none"/>
          <w:lang w:eastAsia="zh-CN"/>
        </w:rPr>
        <w:t>主动触发情景包含但不限于</w:t>
      </w:r>
      <w:r>
        <w:rPr>
          <w:rFonts w:hint="eastAsia" w:ascii="仿宋_GB2312" w:hAnsi="仿宋_GB2312" w:eastAsia="仿宋_GB2312" w:cs="仿宋_GB2312"/>
          <w:color w:val="000000"/>
          <w:sz w:val="28"/>
          <w:szCs w:val="28"/>
          <w:highlight w:val="none"/>
        </w:rPr>
        <w:t>：</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可能导致净资本和流动性等风险控制指标发生明显不利变化或接近预警线的情形：重大对外投资或收购、重大对外担保、重大固定资产投资、对子公司增资、利润分配或其他重大资本性支出、证券公司分类评价结果负向调整、负债集中到期或赎回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（二）确定重大业务规模和开展重大创新业务：确定经营计划和业务规模、确定自营投资规模限额、开展重大创新业务、承担重大包销责任等；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（三）预期或已经出现重大内部风险状况：自营投资</w:t>
      </w:r>
      <w:r>
        <w:rPr>
          <w:rFonts w:hint="eastAsia" w:ascii="仿宋_GB2312" w:hAnsi="仿宋_GB2312" w:eastAsia="仿宋_GB2312" w:cs="仿宋_GB2312"/>
          <w:color w:val="000000"/>
          <w:sz w:val="28"/>
          <w:szCs w:val="28"/>
          <w:highlight w:val="none"/>
          <w:lang w:eastAsia="zh-CN"/>
        </w:rPr>
        <w:t>业务</w:t>
      </w:r>
      <w:r>
        <w:rPr>
          <w:rFonts w:hint="eastAsia" w:ascii="仿宋_GB2312" w:hAnsi="仿宋_GB2312" w:eastAsia="仿宋_GB2312" w:cs="仿宋_GB2312"/>
          <w:color w:val="000000"/>
          <w:sz w:val="28"/>
          <w:szCs w:val="28"/>
          <w:highlight w:val="none"/>
        </w:rPr>
        <w:t>大幅亏损、信用类业务出现大额违约、政府部门行政处罚、诉讼、声誉受损等，或因市场流动性变化或巨额赎回等因素导致的资管产品流动性风险，以及公司潜在损失占净资产比例较高等内部重大风险因素；</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（四）预期或已经出现重大外部风险和政策变化事件：证券市场大幅波动、监管政策发生重大变化、个别行业或区域出现整体性风险、国际局势变动引发地缘政治风险等； </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（五）其他可能或已经出现的压力情景；</w:t>
      </w:r>
    </w:p>
    <w:p>
      <w:pPr>
        <w:shd w:val="clear" w:color="auto" w:fill="FFFFFF"/>
        <w:wordWrap w:val="0"/>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证券公司应根据公司实际情况在内部对上述触发情形中的“重大”进行规定。</w:t>
      </w:r>
    </w:p>
    <w:p>
      <w:pPr>
        <w:shd w:val="clear" w:color="auto" w:fill="FFFFFF"/>
        <w:wordWrap w:val="0"/>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第二十一条</w:t>
      </w:r>
      <w:r>
        <w:rPr>
          <w:rFonts w:hint="eastAsia" w:ascii="仿宋_GB2312" w:hAnsi="仿宋_GB2312" w:eastAsia="仿宋_GB2312" w:cs="仿宋_GB2312"/>
          <w:color w:val="000000"/>
          <w:sz w:val="28"/>
          <w:szCs w:val="28"/>
          <w:highlight w:val="none"/>
        </w:rPr>
        <w:t> 证券公司实施压力测试后应当形成压力情景下的测试结果，并对测试结果进行分析，评估风险承受能力。</w:t>
      </w:r>
    </w:p>
    <w:p>
      <w:pPr>
        <w:adjustRightInd w:val="0"/>
        <w:snapToGrid w:val="0"/>
        <w:spacing w:before="100" w:beforeAutospacing="1" w:after="100" w:afterAutospacing="1" w:line="360" w:lineRule="auto"/>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第四章  压力测试的报告和应用</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二</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证券公司年度综合压力测试结果应当及时向董事会或经理层报告，其他压力测试结果可根据测试目的、重要程度等情况合理确定报告层级；董事会或经理层应当对压力测试结果给予高度关注。</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三</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证券公司应重视压力测试的成果转化，确保测试结果的有效运用，如根据实际经营管理情况，将压力测试结果所反映的风险状况，作为优化调整风险偏好、制定业务授权及风险限额、调整资产配置结构等工作的重要参考依据。在作出重大经营决策时，应当将压力测试结果作为必备决策依据。</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四</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证券公司压力测试结果显示可能存在导致净资本和流动性等风险控制指标不符合监管标准的重大风险时，应当及时向公司住所地证监局和中国证券业协会报告。</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证券公司应当在每年4月30日前向中国证券业协会报告年度综合压力测试报告。</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报告内容应当包括测试方案、测试结论以及相关应对措施等。</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五</w:t>
      </w:r>
      <w:r>
        <w:rPr>
          <w:rFonts w:hint="eastAsia" w:ascii="仿宋_GB2312" w:hAnsi="仿宋_GB2312" w:eastAsia="仿宋_GB2312" w:cs="仿宋_GB2312"/>
          <w:b/>
          <w:bCs/>
          <w:color w:val="000000"/>
          <w:sz w:val="28"/>
          <w:szCs w:val="28"/>
          <w:highlight w:val="none"/>
        </w:rPr>
        <w:t>条 </w:t>
      </w:r>
      <w:r>
        <w:rPr>
          <w:rFonts w:hint="eastAsia" w:ascii="仿宋_GB2312" w:hAnsi="仿宋_GB2312" w:eastAsia="仿宋_GB2312" w:cs="仿宋_GB2312"/>
          <w:color w:val="000000"/>
          <w:sz w:val="28"/>
          <w:szCs w:val="28"/>
          <w:highlight w:val="none"/>
        </w:rPr>
        <w:t>证券公司应当根据压力测试结果反映的风险情况，结合自身风险承受能力，适当采取以下应对措施，必要时实施应急预案：</w:t>
      </w:r>
    </w:p>
    <w:p>
      <w:pPr>
        <w:shd w:val="clear" w:color="auto" w:fill="FFFFFF"/>
        <w:spacing w:after="0" w:line="360" w:lineRule="auto"/>
        <w:ind w:left="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（一）调整业务规模及业务结构；</w:t>
      </w:r>
    </w:p>
    <w:p>
      <w:pPr>
        <w:shd w:val="clear" w:color="auto" w:fill="FFFFFF"/>
        <w:spacing w:after="0" w:line="360" w:lineRule="auto"/>
        <w:ind w:left="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（二）采取风险对冲或缓释措施；</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（三）评估和调整业务经营计划；</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（四）增加融资渠道，调整资产负债结构；</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（五）启动资本补足机制；</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（六）其他应对措施。</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六</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w:t>
      </w:r>
      <w:bookmarkStart w:id="2" w:name="_Hlk117782228"/>
      <w:r>
        <w:rPr>
          <w:rFonts w:hint="eastAsia" w:ascii="仿宋_GB2312" w:hAnsi="仿宋_GB2312" w:eastAsia="仿宋_GB2312" w:cs="仿宋_GB2312"/>
          <w:color w:val="000000"/>
          <w:sz w:val="28"/>
          <w:szCs w:val="28"/>
          <w:highlight w:val="none"/>
        </w:rPr>
        <w:t>证券公司应当定期对</w:t>
      </w:r>
      <w:bookmarkEnd w:id="2"/>
      <w:r>
        <w:rPr>
          <w:rFonts w:hint="eastAsia" w:ascii="仿宋_GB2312" w:hAnsi="仿宋_GB2312" w:eastAsia="仿宋_GB2312" w:cs="仿宋_GB2312"/>
          <w:color w:val="000000"/>
          <w:sz w:val="28"/>
          <w:szCs w:val="28"/>
          <w:highlight w:val="none"/>
        </w:rPr>
        <w:t>压力测试工作机制和执行有效性进行检查和评估，并根据结果进行优化与完善。检查和评估应当重点关注以下方面：</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（一）各项基本保障是否健全；</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（二）流程和方法是否完备；</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（三）压力情景重要假设是否合理；</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（四）数量模型是否有效；</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（五）应对措施是否可行；</w:t>
      </w:r>
    </w:p>
    <w:p>
      <w:pPr>
        <w:shd w:val="clear" w:color="auto" w:fill="FFFFFF"/>
        <w:spacing w:after="0" w:line="360" w:lineRule="auto"/>
        <w:ind w:firstLine="573"/>
        <w:jc w:val="both"/>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（六）对于</w:t>
      </w:r>
      <w:r>
        <w:rPr>
          <w:rFonts w:hint="eastAsia" w:ascii="仿宋_GB2312" w:hAnsi="仿宋_GB2312" w:eastAsia="仿宋_GB2312" w:cs="仿宋_GB2312"/>
          <w:color w:val="000000"/>
          <w:sz w:val="28"/>
          <w:szCs w:val="28"/>
          <w:highlight w:val="none"/>
          <w:lang w:eastAsia="zh-CN"/>
        </w:rPr>
        <w:t>测试期</w:t>
      </w:r>
      <w:r>
        <w:rPr>
          <w:rFonts w:hint="eastAsia" w:ascii="仿宋_GB2312" w:hAnsi="仿宋_GB2312" w:eastAsia="仿宋_GB2312" w:cs="仿宋_GB2312"/>
          <w:color w:val="000000"/>
          <w:sz w:val="28"/>
          <w:szCs w:val="28"/>
          <w:highlight w:val="none"/>
        </w:rPr>
        <w:t>发生的重大风险事件，综合或专项压力测试的情景或风险</w:t>
      </w:r>
      <w:r>
        <w:rPr>
          <w:rFonts w:hint="eastAsia" w:ascii="仿宋_GB2312" w:hAnsi="仿宋_GB2312" w:eastAsia="仿宋_GB2312" w:cs="仿宋_GB2312"/>
          <w:color w:val="000000"/>
          <w:sz w:val="28"/>
          <w:szCs w:val="28"/>
          <w:highlight w:val="none"/>
          <w:lang w:eastAsia="zh-CN"/>
        </w:rPr>
        <w:t>因子</w:t>
      </w:r>
      <w:r>
        <w:rPr>
          <w:rFonts w:hint="eastAsia" w:ascii="仿宋_GB2312" w:hAnsi="仿宋_GB2312" w:eastAsia="仿宋_GB2312" w:cs="仿宋_GB2312"/>
          <w:color w:val="000000"/>
          <w:sz w:val="28"/>
          <w:szCs w:val="28"/>
          <w:highlight w:val="none"/>
        </w:rPr>
        <w:t>中是否已覆盖。</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rPr>
        <w:t>第</w:t>
      </w:r>
      <w:r>
        <w:rPr>
          <w:rFonts w:hint="eastAsia" w:ascii="仿宋_GB2312" w:hAnsi="仿宋_GB2312" w:eastAsia="仿宋_GB2312" w:cs="仿宋_GB2312"/>
          <w:b/>
          <w:bCs/>
          <w:color w:val="000000"/>
          <w:sz w:val="28"/>
          <w:szCs w:val="28"/>
          <w:highlight w:val="none"/>
          <w:lang w:eastAsia="zh-CN"/>
        </w:rPr>
        <w:t>二</w:t>
      </w:r>
      <w:r>
        <w:rPr>
          <w:rFonts w:hint="eastAsia" w:ascii="仿宋_GB2312" w:hAnsi="仿宋_GB2312" w:eastAsia="仿宋_GB2312" w:cs="仿宋_GB2312"/>
          <w:b/>
          <w:bCs/>
          <w:color w:val="000000"/>
          <w:sz w:val="28"/>
          <w:szCs w:val="28"/>
          <w:highlight w:val="none"/>
        </w:rPr>
        <w:t>十</w:t>
      </w:r>
      <w:r>
        <w:rPr>
          <w:rFonts w:hint="eastAsia" w:ascii="仿宋_GB2312" w:hAnsi="仿宋_GB2312" w:eastAsia="仿宋_GB2312" w:cs="仿宋_GB2312"/>
          <w:b/>
          <w:bCs/>
          <w:color w:val="000000"/>
          <w:sz w:val="28"/>
          <w:szCs w:val="28"/>
          <w:highlight w:val="none"/>
          <w:lang w:eastAsia="zh-CN"/>
        </w:rPr>
        <w:t>七</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w:t>
      </w:r>
      <w:r>
        <w:rPr>
          <w:rFonts w:hint="eastAsia" w:ascii="仿宋_GB2312" w:hAnsi="仿宋_GB2312" w:eastAsia="仿宋_GB2312" w:cs="仿宋_GB2312"/>
          <w:color w:val="000000"/>
          <w:sz w:val="28"/>
          <w:szCs w:val="28"/>
          <w:highlight w:val="none"/>
          <w:u w:val="none"/>
        </w:rPr>
        <w:t>证券公司应做好压力测试文档管理工作，包括压力测试计算底稿、测试报告等，并保证相关文档的完备性，相关文档保存期限不少于五年。</w:t>
      </w:r>
    </w:p>
    <w:p>
      <w:pPr>
        <w:adjustRightInd w:val="0"/>
        <w:snapToGrid w:val="0"/>
        <w:spacing w:before="100" w:beforeAutospacing="1" w:after="100" w:afterAutospacing="1" w:line="360" w:lineRule="auto"/>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第五章  自律管理</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八</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协会对证券公司压力测试工作实施自律管理，对证券公司的压力测试落实执行情况进行评估</w:t>
      </w:r>
      <w:r>
        <w:rPr>
          <w:rFonts w:hint="eastAsia" w:ascii="仿宋_GB2312" w:hAnsi="仿宋_GB2312" w:eastAsia="仿宋_GB2312" w:cs="仿宋_GB2312"/>
          <w:color w:val="000000"/>
          <w:sz w:val="28"/>
          <w:szCs w:val="28"/>
          <w:highlight w:val="none"/>
          <w:lang w:eastAsia="zh-CN"/>
        </w:rPr>
        <w:t>和</w:t>
      </w:r>
      <w:r>
        <w:rPr>
          <w:rFonts w:hint="eastAsia" w:ascii="仿宋_GB2312" w:hAnsi="仿宋_GB2312" w:eastAsia="仿宋_GB2312" w:cs="仿宋_GB2312"/>
          <w:color w:val="000000"/>
          <w:sz w:val="28"/>
          <w:szCs w:val="28"/>
          <w:highlight w:val="none"/>
        </w:rPr>
        <w:t>检查。证券公司及其工作人员应当予以配合，如实提供有关资料。</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第二十</w:t>
      </w:r>
      <w:r>
        <w:rPr>
          <w:rFonts w:hint="eastAsia" w:ascii="仿宋_GB2312" w:hAnsi="仿宋_GB2312" w:eastAsia="仿宋_GB2312" w:cs="仿宋_GB2312"/>
          <w:b/>
          <w:bCs/>
          <w:color w:val="000000"/>
          <w:sz w:val="28"/>
          <w:szCs w:val="28"/>
          <w:highlight w:val="none"/>
          <w:lang w:eastAsia="zh-CN"/>
        </w:rPr>
        <w:t>九</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证券公司压力测试方法不科学、覆盖不全面，压力测试结果不审慎、未得到有效运用、未能充分揭示实质风险的，协会可以要求证券公司重新测算。</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rPr>
        <w:t>第三十条 </w:t>
      </w:r>
      <w:r>
        <w:rPr>
          <w:rFonts w:hint="eastAsia" w:ascii="仿宋_GB2312" w:hAnsi="仿宋_GB2312" w:eastAsia="仿宋_GB2312" w:cs="仿宋_GB2312"/>
          <w:color w:val="000000"/>
          <w:sz w:val="28"/>
          <w:szCs w:val="28"/>
          <w:highlight w:val="none"/>
        </w:rPr>
        <w:t>证券公司未按本指引要求履行压力测试</w:t>
      </w:r>
      <w:r>
        <w:rPr>
          <w:rFonts w:hint="eastAsia" w:ascii="仿宋_GB2312" w:hAnsi="仿宋_GB2312" w:eastAsia="仿宋_GB2312" w:cs="仿宋_GB2312"/>
          <w:color w:val="000000"/>
          <w:sz w:val="28"/>
          <w:szCs w:val="28"/>
          <w:highlight w:val="none"/>
          <w:lang w:eastAsia="zh-CN"/>
        </w:rPr>
        <w:t>工作</w:t>
      </w:r>
      <w:r>
        <w:rPr>
          <w:rFonts w:hint="eastAsia" w:ascii="仿宋_GB2312" w:hAnsi="仿宋_GB2312" w:eastAsia="仿宋_GB2312" w:cs="仿宋_GB2312"/>
          <w:color w:val="000000"/>
          <w:sz w:val="28"/>
          <w:szCs w:val="28"/>
          <w:highlight w:val="none"/>
        </w:rPr>
        <w:t>职责的，协会依据《中国证券业协会自律措施实施办法》</w:t>
      </w:r>
      <w:r>
        <w:rPr>
          <w:rFonts w:hint="eastAsia" w:ascii="仿宋_GB2312" w:hAnsi="仿宋_GB2312" w:eastAsia="仿宋_GB2312" w:cs="仿宋_GB2312"/>
          <w:color w:val="000000"/>
          <w:sz w:val="28"/>
          <w:szCs w:val="28"/>
          <w:highlight w:val="none"/>
          <w:u w:val="none"/>
        </w:rPr>
        <w:t>对</w:t>
      </w:r>
      <w:r>
        <w:rPr>
          <w:rFonts w:hint="eastAsia" w:ascii="仿宋_GB2312" w:hAnsi="仿宋_GB2312" w:eastAsia="仿宋_GB2312" w:cs="仿宋_GB2312"/>
          <w:color w:val="000000"/>
          <w:sz w:val="28"/>
          <w:szCs w:val="28"/>
          <w:highlight w:val="none"/>
          <w:u w:val="none"/>
          <w:lang w:eastAsia="zh-CN"/>
        </w:rPr>
        <w:t>公司及责任人采取自律管理措施或纪律处分</w:t>
      </w:r>
      <w:r>
        <w:rPr>
          <w:rFonts w:hint="eastAsia" w:ascii="仿宋_GB2312" w:hAnsi="仿宋_GB2312" w:eastAsia="仿宋_GB2312" w:cs="仿宋_GB2312"/>
          <w:color w:val="000000"/>
          <w:sz w:val="28"/>
          <w:szCs w:val="28"/>
          <w:highlight w:val="none"/>
          <w:u w:val="none"/>
        </w:rPr>
        <w:t>。</w:t>
      </w:r>
      <w:bookmarkStart w:id="4" w:name="_GoBack"/>
      <w:bookmarkEnd w:id="4"/>
    </w:p>
    <w:p>
      <w:pPr>
        <w:adjustRightInd w:val="0"/>
        <w:snapToGrid w:val="0"/>
        <w:spacing w:before="100" w:beforeAutospacing="1" w:after="100" w:afterAutospacing="1" w:line="360" w:lineRule="auto"/>
        <w:jc w:val="center"/>
        <w:rPr>
          <w:rFonts w:ascii="黑体" w:hAnsi="黑体" w:eastAsia="黑体" w:cs="宋体"/>
          <w:color w:val="000000"/>
          <w:sz w:val="28"/>
          <w:szCs w:val="28"/>
          <w:highlight w:val="none"/>
        </w:rPr>
      </w:pPr>
      <w:r>
        <w:rPr>
          <w:rFonts w:hint="eastAsia" w:ascii="黑体" w:hAnsi="黑体" w:eastAsia="黑体" w:cs="宋体"/>
          <w:color w:val="000000"/>
          <w:sz w:val="28"/>
          <w:szCs w:val="28"/>
          <w:highlight w:val="none"/>
        </w:rPr>
        <w:t>第六章  附则</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第三十</w:t>
      </w:r>
      <w:r>
        <w:rPr>
          <w:rFonts w:hint="eastAsia" w:ascii="仿宋_GB2312" w:hAnsi="仿宋_GB2312" w:eastAsia="仿宋_GB2312" w:cs="仿宋_GB2312"/>
          <w:b/>
          <w:bCs/>
          <w:color w:val="000000"/>
          <w:sz w:val="28"/>
          <w:szCs w:val="28"/>
          <w:highlight w:val="none"/>
          <w:lang w:eastAsia="zh-CN"/>
        </w:rPr>
        <w:t>一</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本指引由中国证券业协会负责解释。</w:t>
      </w:r>
    </w:p>
    <w:p>
      <w:pPr>
        <w:shd w:val="clear" w:color="auto" w:fill="FFFFFF"/>
        <w:spacing w:after="0" w:line="360" w:lineRule="auto"/>
        <w:ind w:firstLine="573"/>
        <w:jc w:val="both"/>
        <w:rPr>
          <w:rFonts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第三十</w:t>
      </w:r>
      <w:r>
        <w:rPr>
          <w:rFonts w:hint="eastAsia" w:ascii="仿宋_GB2312" w:hAnsi="仿宋_GB2312" w:eastAsia="仿宋_GB2312" w:cs="仿宋_GB2312"/>
          <w:b/>
          <w:bCs/>
          <w:color w:val="000000"/>
          <w:sz w:val="28"/>
          <w:szCs w:val="28"/>
          <w:highlight w:val="none"/>
          <w:lang w:eastAsia="zh-CN"/>
        </w:rPr>
        <w:t>二</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本指引自公布之日起施行。</w:t>
      </w:r>
    </w:p>
    <w:p>
      <w:pPr>
        <w:spacing w:after="0" w:line="360" w:lineRule="auto"/>
        <w:ind w:firstLine="573"/>
        <w:jc w:val="both"/>
        <w:rPr>
          <w:rFonts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br w:type="page"/>
      </w:r>
    </w:p>
    <w:p>
      <w:pPr>
        <w:widowControl w:val="0"/>
        <w:tabs>
          <w:tab w:val="left" w:pos="1155"/>
        </w:tabs>
        <w:spacing w:after="0" w:line="360" w:lineRule="auto"/>
        <w:ind w:firstLine="573"/>
        <w:jc w:val="both"/>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附件</w:t>
      </w:r>
    </w:p>
    <w:p>
      <w:pPr>
        <w:widowControl w:val="0"/>
        <w:tabs>
          <w:tab w:val="left" w:pos="1155"/>
        </w:tabs>
        <w:spacing w:after="0" w:line="360" w:lineRule="auto"/>
        <w:ind w:firstLine="573"/>
        <w:jc w:val="center"/>
        <w:rPr>
          <w:rFonts w:hint="eastAsia" w:asciiTheme="majorEastAsia" w:hAnsiTheme="majorEastAsia" w:eastAsiaTheme="majorEastAsia" w:cstheme="majorEastAsia"/>
          <w:b/>
          <w:kern w:val="2"/>
          <w:sz w:val="36"/>
          <w:szCs w:val="36"/>
          <w:highlight w:val="none"/>
          <w:lang w:eastAsia="zh-CN"/>
        </w:rPr>
      </w:pPr>
      <w:r>
        <w:rPr>
          <w:rFonts w:hint="eastAsia" w:asciiTheme="majorEastAsia" w:hAnsiTheme="majorEastAsia" w:eastAsiaTheme="majorEastAsia" w:cstheme="majorEastAsia"/>
          <w:b/>
          <w:kern w:val="2"/>
          <w:sz w:val="36"/>
          <w:szCs w:val="36"/>
          <w:highlight w:val="none"/>
        </w:rPr>
        <w:t>证券公司压力测试</w:t>
      </w:r>
      <w:r>
        <w:rPr>
          <w:rFonts w:hint="eastAsia" w:asciiTheme="majorEastAsia" w:hAnsiTheme="majorEastAsia" w:eastAsiaTheme="majorEastAsia" w:cstheme="majorEastAsia"/>
          <w:b/>
          <w:kern w:val="2"/>
          <w:sz w:val="36"/>
          <w:szCs w:val="36"/>
          <w:highlight w:val="none"/>
          <w:lang w:eastAsia="zh-CN"/>
        </w:rPr>
        <w:t>案例参考</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以下案例仅限为部分</w:t>
      </w:r>
      <w:r>
        <w:rPr>
          <w:rFonts w:hint="eastAsia" w:ascii="仿宋_GB2312" w:hAnsi="仿宋_GB2312" w:eastAsia="仿宋_GB2312" w:cs="仿宋_GB2312"/>
          <w:kern w:val="2"/>
          <w:sz w:val="28"/>
          <w:szCs w:val="28"/>
          <w:highlight w:val="none"/>
          <w:lang w:eastAsia="zh-CN"/>
        </w:rPr>
        <w:t>证券</w:t>
      </w:r>
      <w:r>
        <w:rPr>
          <w:rFonts w:hint="eastAsia" w:ascii="仿宋_GB2312" w:hAnsi="仿宋_GB2312" w:eastAsia="仿宋_GB2312" w:cs="仿宋_GB2312"/>
          <w:kern w:val="2"/>
          <w:sz w:val="28"/>
          <w:szCs w:val="28"/>
          <w:highlight w:val="none"/>
        </w:rPr>
        <w:t>业务的基础性</w:t>
      </w:r>
      <w:r>
        <w:rPr>
          <w:rFonts w:hint="eastAsia" w:ascii="仿宋_GB2312" w:hAnsi="仿宋_GB2312" w:eastAsia="仿宋_GB2312" w:cs="仿宋_GB2312"/>
          <w:kern w:val="2"/>
          <w:sz w:val="28"/>
          <w:szCs w:val="28"/>
          <w:highlight w:val="none"/>
          <w:lang w:eastAsia="zh-CN"/>
        </w:rPr>
        <w:t>压力</w:t>
      </w:r>
      <w:r>
        <w:rPr>
          <w:rFonts w:hint="eastAsia" w:ascii="仿宋_GB2312" w:hAnsi="仿宋_GB2312" w:eastAsia="仿宋_GB2312" w:cs="仿宋_GB2312"/>
          <w:kern w:val="2"/>
          <w:sz w:val="28"/>
          <w:szCs w:val="28"/>
          <w:highlight w:val="none"/>
        </w:rPr>
        <w:t>测试方法，考虑到不同证券公司的业务开展、策略选择、所面临具体风险情况等存在很大差异，在实际执行压力测试时，证券公司应根据压力测试目的，充分考虑自身业务发展规划及实际风险情况，结合当前的整体市场环境及专家判断，按照审慎原则，选择在合理性、可执行性等方面更适用于公司自身情况的压力测试参数及方法。</w:t>
      </w:r>
    </w:p>
    <w:p>
      <w:pPr>
        <w:widowControl w:val="0"/>
        <w:tabs>
          <w:tab w:val="left" w:pos="1155"/>
        </w:tabs>
        <w:spacing w:after="0" w:line="360" w:lineRule="auto"/>
        <w:ind w:firstLine="573"/>
        <w:jc w:val="both"/>
        <w:rPr>
          <w:rFonts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一、压力情景设定</w:t>
      </w:r>
    </w:p>
    <w:p>
      <w:pPr>
        <w:widowControl w:val="0"/>
        <w:tabs>
          <w:tab w:val="left" w:pos="1155"/>
        </w:tabs>
        <w:spacing w:after="0" w:line="360" w:lineRule="auto"/>
        <w:ind w:firstLine="573"/>
        <w:jc w:val="both"/>
        <w:rPr>
          <w:rFonts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（一）市场风险</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b/>
          <w:bCs/>
          <w:kern w:val="2"/>
          <w:sz w:val="28"/>
          <w:szCs w:val="28"/>
          <w:highlight w:val="none"/>
        </w:rPr>
        <w:t>1.利率类方向性业务市场风险参数设定</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利率方向性业务市场风险主要考虑因市场基准利率升高、信用债利差增大等情形导致持仓债券公允价值下跌的风险。证券公司可根据持仓组合信用评级、加权平均久期等情况选择相应市场标的作为压力测试风险因子，并根据标的在过往历史中的重大不利变动作为压力情景。</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如某证券公司利率类方向性业务主要为利率债及信用债投资持仓，组合加权平均久期约为1年，其中信用债持仓评级主要为AA级及以上。境内利率债选择中债登公布的国债1年期收益率，信用债选择中债登公布的各等级中短期票据1年期收益率作为风险因子，并分析</w:t>
      </w:r>
      <w:r>
        <w:rPr>
          <w:rFonts w:hint="eastAsia" w:ascii="仿宋_GB2312" w:hAnsi="仿宋_GB2312" w:eastAsia="仿宋_GB2312" w:cs="仿宋_GB2312"/>
          <w:kern w:val="2"/>
          <w:sz w:val="28"/>
          <w:szCs w:val="28"/>
          <w:highlight w:val="none"/>
          <w:lang w:val="en-US" w:eastAsia="zh-CN"/>
        </w:rPr>
        <w:t>20</w:t>
      </w:r>
      <w:r>
        <w:rPr>
          <w:rFonts w:hint="eastAsia" w:ascii="仿宋_GB2312" w:hAnsi="仿宋_GB2312" w:eastAsia="仿宋_GB2312" w:cs="仿宋_GB2312"/>
          <w:kern w:val="2"/>
          <w:sz w:val="28"/>
          <w:szCs w:val="28"/>
          <w:highlight w:val="none"/>
        </w:rPr>
        <w:t>17年末至</w:t>
      </w:r>
      <w:r>
        <w:rPr>
          <w:rFonts w:hint="eastAsia" w:ascii="仿宋_GB2312" w:hAnsi="仿宋_GB2312" w:eastAsia="仿宋_GB2312" w:cs="仿宋_GB2312"/>
          <w:kern w:val="2"/>
          <w:sz w:val="28"/>
          <w:szCs w:val="28"/>
          <w:highlight w:val="none"/>
          <w:lang w:val="en-US" w:eastAsia="zh-CN"/>
        </w:rPr>
        <w:t>20</w:t>
      </w:r>
      <w:r>
        <w:rPr>
          <w:rFonts w:hint="eastAsia" w:ascii="仿宋_GB2312" w:hAnsi="仿宋_GB2312" w:eastAsia="仿宋_GB2312" w:cs="仿宋_GB2312"/>
          <w:kern w:val="2"/>
          <w:sz w:val="28"/>
          <w:szCs w:val="28"/>
          <w:highlight w:val="none"/>
        </w:rPr>
        <w:t>21年末历史数据情况，见下表：</w:t>
      </w:r>
    </w:p>
    <w:p>
      <w:pPr>
        <w:spacing w:after="0" w:line="360" w:lineRule="auto"/>
        <w:ind w:firstLine="573"/>
        <w:jc w:val="both"/>
        <w:rPr>
          <w:rFonts w:ascii="仿宋_GB2312" w:hAnsi="仿宋_GB2312" w:eastAsia="仿宋_GB2312" w:cs="仿宋_GB2312"/>
          <w:sz w:val="28"/>
          <w:szCs w:val="28"/>
          <w:highlight w:val="none"/>
        </w:rPr>
      </w:pPr>
    </w:p>
    <w:p>
      <w:pPr>
        <w:spacing w:after="0" w:line="360" w:lineRule="auto"/>
        <w:ind w:firstLine="573"/>
        <w:jc w:val="both"/>
        <w:rPr>
          <w:rFonts w:ascii="仿宋_GB2312" w:hAnsi="仿宋_GB2312" w:eastAsia="仿宋_GB2312" w:cs="仿宋_GB2312"/>
          <w:sz w:val="28"/>
          <w:szCs w:val="28"/>
          <w:highlight w:val="none"/>
        </w:rPr>
      </w:pPr>
    </w:p>
    <w:p>
      <w:pPr>
        <w:spacing w:after="0" w:line="360" w:lineRule="auto"/>
        <w:ind w:firstLine="573"/>
        <w:jc w:val="both"/>
        <w:rPr>
          <w:rFonts w:ascii="仿宋_GB2312" w:hAnsi="仿宋_GB2312" w:eastAsia="仿宋_GB2312" w:cs="仿宋_GB2312"/>
          <w:sz w:val="28"/>
          <w:szCs w:val="28"/>
          <w:highlight w:val="none"/>
        </w:rPr>
      </w:pPr>
    </w:p>
    <w:tbl>
      <w:tblPr>
        <w:tblStyle w:val="16"/>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8"/>
        <w:gridCol w:w="975"/>
        <w:gridCol w:w="1132"/>
        <w:gridCol w:w="1005"/>
        <w:gridCol w:w="990"/>
        <w:gridCol w:w="993"/>
        <w:gridCol w:w="990"/>
        <w:gridCol w:w="113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jc w:val="center"/>
        </w:trPr>
        <w:tc>
          <w:tcPr>
            <w:tcW w:w="1571"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日期</w:t>
            </w:r>
          </w:p>
        </w:tc>
        <w:tc>
          <w:tcPr>
            <w:tcW w:w="976"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国债1年期收益率</w:t>
            </w:r>
          </w:p>
        </w:tc>
        <w:tc>
          <w:tcPr>
            <w:tcW w:w="1134"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年度升幅</w:t>
            </w:r>
          </w:p>
        </w:tc>
        <w:tc>
          <w:tcPr>
            <w:tcW w:w="992"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中短期票据1年期收益率（AAA）</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年度升幅</w:t>
            </w:r>
          </w:p>
        </w:tc>
        <w:tc>
          <w:tcPr>
            <w:tcW w:w="993"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中短期票据1年期收益率（AA+）</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年度升幅</w:t>
            </w:r>
          </w:p>
        </w:tc>
        <w:tc>
          <w:tcPr>
            <w:tcW w:w="1134"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中短期票据1年期收益率（AA）</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年度升幅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2017-12-31</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3.7909</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114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5.2155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16 BP</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5.4955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18 BP</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5.6955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13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2018-01-02</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3.6767</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92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5.0630</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26 BP</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5.3430</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29 BP</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5.5430</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24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2018-01-03</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3.6667</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91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4.9956</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23 BP</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5.2756</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29 BP</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5.4756</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24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9776" w:type="dxa"/>
            <w:gridSpan w:val="9"/>
            <w:tcMar>
              <w:top w:w="80" w:type="dxa"/>
              <w:left w:w="80" w:type="dxa"/>
              <w:bottom w:w="80" w:type="dxa"/>
              <w:right w:w="80" w:type="dxa"/>
            </w:tcMar>
            <w:vAlign w:val="center"/>
          </w:tcPr>
          <w:p>
            <w:pPr>
              <w:spacing w:after="0" w:line="240" w:lineRule="auto"/>
              <w:jc w:val="left"/>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2021-12-29</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2.3353</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-23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2.7938</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14 BP</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2.9115</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-33 BP</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3.0315</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-61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2021-12-30</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2.2936</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-25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2.7729</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15 BP</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2.8905</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-32 BP</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3.0105</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-60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jc w:val="center"/>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2021-12-31</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2.2429</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-26 BP</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2.7515</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16 BP</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2.8691</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-34 BP</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2.9991</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-61 BP</w:t>
            </w:r>
          </w:p>
        </w:tc>
      </w:tr>
    </w:tbl>
    <w:p>
      <w:pPr>
        <w:keepNext w:val="0"/>
        <w:keepLines w:val="0"/>
        <w:pageBreakBefore w:val="0"/>
        <w:widowControl w:val="0"/>
        <w:tabs>
          <w:tab w:val="left" w:pos="1155"/>
        </w:tabs>
        <w:kinsoku/>
        <w:wordWrap/>
        <w:overflowPunct/>
        <w:topLinePunct w:val="0"/>
        <w:autoSpaceDE/>
        <w:autoSpaceDN/>
        <w:bidi w:val="0"/>
        <w:adjustRightInd/>
        <w:snapToGrid/>
        <w:spacing w:before="361" w:beforeLines="100" w:after="0" w:line="360" w:lineRule="auto"/>
        <w:ind w:firstLine="573"/>
        <w:jc w:val="both"/>
        <w:textAlignment w:val="auto"/>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综合历史数据情况，利率债根据中债登公布的国债1年期收益率近五年在80%、90%及99%分位的年度收益率上行幅度作为基准利率的压力情景。信用债根据中债登各等级中短期票据1年期收益率近五年在80%、90%及99%分位的年度信用利差上行幅度作为各等级信用利差的压力情景，具体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529"/>
        <w:gridCol w:w="1488"/>
        <w:gridCol w:w="148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529" w:type="dxa"/>
            <w:vMerge w:val="restart"/>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风险因子</w:t>
            </w:r>
          </w:p>
        </w:tc>
        <w:tc>
          <w:tcPr>
            <w:tcW w:w="4471" w:type="dxa"/>
            <w:gridSpan w:val="3"/>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压力情景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 w:hRule="atLeast"/>
          <w:jc w:val="center"/>
        </w:trPr>
        <w:tc>
          <w:tcPr>
            <w:tcW w:w="3529" w:type="dxa"/>
            <w:vMerge w:val="continue"/>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sz w:val="24"/>
                <w:szCs w:val="24"/>
                <w:highlight w:val="none"/>
              </w:rPr>
            </w:pPr>
          </w:p>
        </w:tc>
        <w:tc>
          <w:tcPr>
            <w:tcW w:w="1488" w:type="dxa"/>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轻度压力</w:t>
            </w:r>
          </w:p>
        </w:tc>
        <w:tc>
          <w:tcPr>
            <w:tcW w:w="1488" w:type="dxa"/>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中度压力</w:t>
            </w:r>
          </w:p>
        </w:tc>
        <w:tc>
          <w:tcPr>
            <w:tcW w:w="1493" w:type="dxa"/>
            <w:shd w:val="clear" w:color="auto" w:fill="D8D8D8" w:themeFill="background1" w:themeFillShade="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重度压力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 w:hRule="atLeast"/>
          <w:jc w:val="center"/>
        </w:trPr>
        <w:tc>
          <w:tcPr>
            <w:tcW w:w="3529" w:type="dxa"/>
            <w:shd w:val="clear" w:color="auto" w:fill="FFFFFF"/>
            <w:tcMar>
              <w:top w:w="80" w:type="dxa"/>
              <w:left w:w="80" w:type="dxa"/>
              <w:bottom w:w="80" w:type="dxa"/>
              <w:right w:w="80" w:type="dxa"/>
            </w:tcMa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基准利率和利率债利率升幅</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20 BP</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70 BP</w:t>
            </w:r>
          </w:p>
        </w:tc>
        <w:tc>
          <w:tcPr>
            <w:tcW w:w="1493"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125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 w:hRule="atLeast"/>
          <w:jc w:val="center"/>
        </w:trPr>
        <w:tc>
          <w:tcPr>
            <w:tcW w:w="3529" w:type="dxa"/>
            <w:shd w:val="clear" w:color="auto" w:fill="FFFFFF"/>
            <w:tcMar>
              <w:top w:w="80" w:type="dxa"/>
              <w:left w:w="80" w:type="dxa"/>
              <w:bottom w:w="80" w:type="dxa"/>
              <w:right w:w="80" w:type="dxa"/>
            </w:tcMa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AAA级信用债利差升幅</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5 BP</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25 BP</w:t>
            </w:r>
          </w:p>
        </w:tc>
        <w:tc>
          <w:tcPr>
            <w:tcW w:w="1493"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50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3529" w:type="dxa"/>
            <w:shd w:val="clear" w:color="auto" w:fill="FFFFFF"/>
            <w:tcMar>
              <w:top w:w="80" w:type="dxa"/>
              <w:left w:w="80" w:type="dxa"/>
              <w:bottom w:w="80" w:type="dxa"/>
              <w:right w:w="80" w:type="dxa"/>
            </w:tcMa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AA+级信用债利差升幅</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 BP</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20 BP</w:t>
            </w:r>
          </w:p>
        </w:tc>
        <w:tc>
          <w:tcPr>
            <w:tcW w:w="1493"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55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 w:hRule="atLeast"/>
          <w:jc w:val="center"/>
        </w:trPr>
        <w:tc>
          <w:tcPr>
            <w:tcW w:w="3529" w:type="dxa"/>
            <w:shd w:val="clear" w:color="auto" w:fill="FFFFFF"/>
            <w:tcMar>
              <w:top w:w="80" w:type="dxa"/>
              <w:left w:w="80" w:type="dxa"/>
              <w:bottom w:w="80" w:type="dxa"/>
              <w:right w:w="80" w:type="dxa"/>
            </w:tcMa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AA级信用债利差升幅</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20 BP</w:t>
            </w:r>
          </w:p>
        </w:tc>
        <w:tc>
          <w:tcPr>
            <w:tcW w:w="1488"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35 BP</w:t>
            </w:r>
          </w:p>
        </w:tc>
        <w:tc>
          <w:tcPr>
            <w:tcW w:w="1493" w:type="dxa"/>
            <w:shd w:val="clear" w:color="auto" w:fill="FFFFF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75 BP</w:t>
            </w:r>
          </w:p>
        </w:tc>
      </w:tr>
    </w:tbl>
    <w:p>
      <w:pPr>
        <w:keepNext w:val="0"/>
        <w:keepLines w:val="0"/>
        <w:pageBreakBefore w:val="0"/>
        <w:widowControl w:val="0"/>
        <w:tabs>
          <w:tab w:val="left" w:pos="1155"/>
        </w:tabs>
        <w:kinsoku/>
        <w:wordWrap/>
        <w:overflowPunct/>
        <w:topLinePunct w:val="0"/>
        <w:autoSpaceDE/>
        <w:autoSpaceDN/>
        <w:bidi w:val="0"/>
        <w:adjustRightInd/>
        <w:snapToGrid/>
        <w:spacing w:before="361" w:beforeLines="100" w:after="0" w:line="360" w:lineRule="auto"/>
        <w:ind w:firstLine="573"/>
        <w:jc w:val="both"/>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2.利率类中性业务市场风险参数设定</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利率类中性业务市场风险主要考虑债券套利类投资策略因多空持仓债券的收益利差扩大或缩窄导致投资组合整体公允价值下跌的风险。证券公司可根据持仓策略情况，选取相应市场标的作为压力测试风险因子，并根据标的在过往历史中的重大不利变动作为压力情景。</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如某证券公司利率类中性业务主要为国债跨期套利策略，根据其核心持仓标的及策略周期情况，选取10Y国债与5Y国债利差、10Y国债与7Y国债过往五年在80%、90%、99%分位的20交易日利差收窄幅度作为压力测试情景，具体如下：</w:t>
      </w:r>
    </w:p>
    <w:tbl>
      <w:tblPr>
        <w:tblStyle w:val="1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61"/>
        <w:gridCol w:w="1476"/>
        <w:gridCol w:w="1701"/>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 w:hRule="atLeast"/>
          <w:jc w:val="center"/>
        </w:trPr>
        <w:tc>
          <w:tcPr>
            <w:tcW w:w="5061" w:type="dxa"/>
            <w:vMerge w:val="restart"/>
            <w:shd w:val="clear" w:color="auto" w:fill="D9D9D9"/>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风险因子</w:t>
            </w:r>
          </w:p>
        </w:tc>
        <w:tc>
          <w:tcPr>
            <w:tcW w:w="4750" w:type="dxa"/>
            <w:gridSpan w:val="3"/>
            <w:shd w:val="clear" w:color="auto" w:fill="D9D9D9"/>
            <w:tcMar>
              <w:top w:w="80" w:type="dxa"/>
              <w:left w:w="80" w:type="dxa"/>
              <w:bottom w:w="80" w:type="dxa"/>
              <w:right w:w="80" w:type="dxa"/>
            </w:tcMa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压力情景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5061" w:type="dxa"/>
            <w:vMerge w:val="continue"/>
            <w:shd w:val="clear" w:color="auto" w:fill="D9D9D9"/>
            <w:tcMar>
              <w:top w:w="80" w:type="dxa"/>
              <w:left w:w="80" w:type="dxa"/>
              <w:bottom w:w="80" w:type="dxa"/>
              <w:right w:w="80" w:type="dxa"/>
            </w:tcMar>
          </w:tcPr>
          <w:p>
            <w:pPr>
              <w:spacing w:after="0" w:line="240" w:lineRule="auto"/>
              <w:jc w:val="center"/>
              <w:rPr>
                <w:rFonts w:ascii="仿宋_GB2312" w:hAnsi="仿宋_GB2312" w:eastAsia="仿宋_GB2312" w:cs="仿宋_GB2312"/>
                <w:b/>
                <w:bCs/>
                <w:sz w:val="24"/>
                <w:szCs w:val="24"/>
                <w:highlight w:val="none"/>
              </w:rPr>
            </w:pPr>
          </w:p>
        </w:tc>
        <w:tc>
          <w:tcPr>
            <w:tcW w:w="1476" w:type="dxa"/>
            <w:shd w:val="clear" w:color="auto" w:fill="D9D9D9"/>
            <w:tcMar>
              <w:top w:w="80" w:type="dxa"/>
              <w:left w:w="80" w:type="dxa"/>
              <w:bottom w:w="80" w:type="dxa"/>
              <w:right w:w="80" w:type="dxa"/>
            </w:tcMa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轻度压力</w:t>
            </w:r>
          </w:p>
        </w:tc>
        <w:tc>
          <w:tcPr>
            <w:tcW w:w="1701" w:type="dxa"/>
            <w:shd w:val="clear" w:color="auto" w:fill="D9D9D9"/>
            <w:tcMar>
              <w:top w:w="80" w:type="dxa"/>
              <w:left w:w="80" w:type="dxa"/>
              <w:bottom w:w="80" w:type="dxa"/>
              <w:right w:w="80" w:type="dxa"/>
            </w:tcMa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中度压力</w:t>
            </w:r>
          </w:p>
        </w:tc>
        <w:tc>
          <w:tcPr>
            <w:tcW w:w="1573" w:type="dxa"/>
            <w:shd w:val="clear" w:color="auto" w:fill="D9D9D9"/>
            <w:tcMar>
              <w:top w:w="80" w:type="dxa"/>
              <w:left w:w="80" w:type="dxa"/>
              <w:bottom w:w="80" w:type="dxa"/>
              <w:right w:w="80" w:type="dxa"/>
            </w:tcMa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重度压力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5061" w:type="dxa"/>
            <w:tcMar>
              <w:top w:w="80" w:type="dxa"/>
              <w:left w:w="80" w:type="dxa"/>
              <w:bottom w:w="80" w:type="dxa"/>
              <w:right w:w="80" w:type="dxa"/>
            </w:tcMar>
          </w:tcPr>
          <w:p>
            <w:pPr>
              <w:spacing w:after="0" w:line="240" w:lineRule="auto"/>
              <w:jc w:val="both"/>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国债利差收窄幅度（10Y国债与5Y国债利差）</w:t>
            </w:r>
          </w:p>
        </w:tc>
        <w:tc>
          <w:tcPr>
            <w:tcW w:w="14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 BP</w:t>
            </w:r>
          </w:p>
        </w:tc>
        <w:tc>
          <w:tcPr>
            <w:tcW w:w="1701"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 BP</w:t>
            </w:r>
          </w:p>
        </w:tc>
        <w:tc>
          <w:tcPr>
            <w:tcW w:w="1573"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18 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5061" w:type="dxa"/>
            <w:tcMar>
              <w:top w:w="80" w:type="dxa"/>
              <w:left w:w="80" w:type="dxa"/>
              <w:bottom w:w="80" w:type="dxa"/>
              <w:right w:w="80" w:type="dxa"/>
            </w:tcMar>
          </w:tcPr>
          <w:p>
            <w:pPr>
              <w:spacing w:after="0" w:line="240" w:lineRule="auto"/>
              <w:jc w:val="both"/>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国债利差收窄幅度（10Y国债与7Y国债利差）</w:t>
            </w:r>
          </w:p>
        </w:tc>
        <w:tc>
          <w:tcPr>
            <w:tcW w:w="14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 BP</w:t>
            </w:r>
          </w:p>
        </w:tc>
        <w:tc>
          <w:tcPr>
            <w:tcW w:w="1701"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 BP</w:t>
            </w:r>
          </w:p>
        </w:tc>
        <w:tc>
          <w:tcPr>
            <w:tcW w:w="1573"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 BP</w:t>
            </w:r>
          </w:p>
        </w:tc>
      </w:tr>
    </w:tbl>
    <w:p>
      <w:pPr>
        <w:keepNext w:val="0"/>
        <w:keepLines w:val="0"/>
        <w:pageBreakBefore w:val="0"/>
        <w:widowControl w:val="0"/>
        <w:tabs>
          <w:tab w:val="left" w:pos="1155"/>
        </w:tabs>
        <w:kinsoku/>
        <w:wordWrap/>
        <w:overflowPunct/>
        <w:topLinePunct w:val="0"/>
        <w:autoSpaceDE/>
        <w:autoSpaceDN/>
        <w:bidi w:val="0"/>
        <w:adjustRightInd/>
        <w:snapToGrid/>
        <w:spacing w:before="361" w:beforeLines="100" w:after="0" w:line="360" w:lineRule="auto"/>
        <w:ind w:firstLine="573"/>
        <w:jc w:val="both"/>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3.权益类方向性业务市场风险参数设定</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权益类方向性业务市场风险主要考虑股票或权益类基金持仓市值发生下跌导致亏损的风险。证券公司可根据自身权益方向性业务持仓情况，选取相应的一个或多个股票指数作为压力测试风险因子，并根据指数在过往历史的重大不利变动作为压力情景。</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如某证券公司根据自身权益方向性业务的持仓分布情况，选取沪深300指数、中证500指数、中证1000指数和恒生指数作为风险因子，并分析上述指数</w:t>
      </w:r>
      <w:r>
        <w:rPr>
          <w:rFonts w:hint="eastAsia" w:ascii="仿宋_GB2312" w:hAnsi="仿宋_GB2312" w:eastAsia="仿宋_GB2312" w:cs="仿宋_GB2312"/>
          <w:kern w:val="2"/>
          <w:sz w:val="28"/>
          <w:szCs w:val="28"/>
          <w:highlight w:val="none"/>
          <w:lang w:val="en-US" w:eastAsia="zh-CN"/>
        </w:rPr>
        <w:t>20</w:t>
      </w:r>
      <w:r>
        <w:rPr>
          <w:rFonts w:hint="eastAsia" w:ascii="仿宋_GB2312" w:hAnsi="仿宋_GB2312" w:eastAsia="仿宋_GB2312" w:cs="仿宋_GB2312"/>
          <w:kern w:val="2"/>
          <w:sz w:val="28"/>
          <w:szCs w:val="28"/>
          <w:highlight w:val="none"/>
        </w:rPr>
        <w:t>17年末至</w:t>
      </w:r>
      <w:r>
        <w:rPr>
          <w:rFonts w:hint="eastAsia" w:ascii="仿宋_GB2312" w:hAnsi="仿宋_GB2312" w:eastAsia="仿宋_GB2312" w:cs="仿宋_GB2312"/>
          <w:kern w:val="2"/>
          <w:sz w:val="28"/>
          <w:szCs w:val="28"/>
          <w:highlight w:val="none"/>
          <w:lang w:val="en-US" w:eastAsia="zh-CN"/>
        </w:rPr>
        <w:t>20</w:t>
      </w:r>
      <w:r>
        <w:rPr>
          <w:rFonts w:hint="eastAsia" w:ascii="仿宋_GB2312" w:hAnsi="仿宋_GB2312" w:eastAsia="仿宋_GB2312" w:cs="仿宋_GB2312"/>
          <w:kern w:val="2"/>
          <w:sz w:val="28"/>
          <w:szCs w:val="28"/>
          <w:highlight w:val="none"/>
        </w:rPr>
        <w:t>21年末的年度跌幅情况，详见下表：</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p>
    <w:tbl>
      <w:tblPr>
        <w:tblStyle w:val="1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59"/>
        <w:gridCol w:w="1000"/>
        <w:gridCol w:w="1130"/>
        <w:gridCol w:w="1000"/>
        <w:gridCol w:w="988"/>
        <w:gridCol w:w="991"/>
        <w:gridCol w:w="988"/>
        <w:gridCol w:w="113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1571"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日期</w:t>
            </w:r>
          </w:p>
        </w:tc>
        <w:tc>
          <w:tcPr>
            <w:tcW w:w="976"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沪深</w:t>
            </w:r>
            <w:r>
              <w:rPr>
                <w:rFonts w:ascii="仿宋_GB2312" w:hAnsi="仿宋_GB2312" w:eastAsia="仿宋_GB2312" w:cs="仿宋_GB2312"/>
                <w:b/>
                <w:bCs/>
                <w:color w:val="000000"/>
                <w:sz w:val="24"/>
                <w:szCs w:val="24"/>
                <w:highlight w:val="none"/>
              </w:rPr>
              <w:t>300</w:t>
            </w:r>
          </w:p>
        </w:tc>
        <w:tc>
          <w:tcPr>
            <w:tcW w:w="1134"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年度跌幅</w:t>
            </w:r>
          </w:p>
        </w:tc>
        <w:tc>
          <w:tcPr>
            <w:tcW w:w="992" w:type="dxa"/>
            <w:shd w:val="clear" w:color="auto" w:fill="BEBEBE" w:themeFill="background1" w:themeFillShade="BF"/>
            <w:tcMar>
              <w:top w:w="80" w:type="dxa"/>
              <w:left w:w="80" w:type="dxa"/>
              <w:bottom w:w="80" w:type="dxa"/>
              <w:right w:w="80" w:type="dxa"/>
            </w:tcMar>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中证</w:t>
            </w:r>
            <w:r>
              <w:rPr>
                <w:rFonts w:ascii="仿宋_GB2312" w:hAnsi="仿宋_GB2312" w:eastAsia="仿宋_GB2312" w:cs="仿宋_GB2312"/>
                <w:b/>
                <w:bCs/>
                <w:color w:val="000000"/>
                <w:sz w:val="24"/>
                <w:szCs w:val="24"/>
                <w:highlight w:val="none"/>
              </w:rPr>
              <w:t>500</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年度跌幅</w:t>
            </w:r>
          </w:p>
        </w:tc>
        <w:tc>
          <w:tcPr>
            <w:tcW w:w="993"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中证</w:t>
            </w:r>
            <w:r>
              <w:rPr>
                <w:rFonts w:ascii="仿宋_GB2312" w:hAnsi="仿宋_GB2312" w:eastAsia="仿宋_GB2312" w:cs="仿宋_GB2312"/>
                <w:b/>
                <w:bCs/>
                <w:color w:val="000000"/>
                <w:sz w:val="24"/>
                <w:szCs w:val="24"/>
                <w:highlight w:val="none"/>
              </w:rPr>
              <w:t>1000</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年度跌幅</w:t>
            </w:r>
          </w:p>
        </w:tc>
        <w:tc>
          <w:tcPr>
            <w:tcW w:w="1134"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恒生指数</w:t>
            </w:r>
          </w:p>
        </w:tc>
        <w:tc>
          <w:tcPr>
            <w:tcW w:w="992" w:type="dxa"/>
            <w:shd w:val="clear" w:color="auto" w:fill="BEBEBE" w:themeFill="background1" w:themeFillShade="BF"/>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年度跌幅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2017-12-29</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4030.85</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21.78%</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6250.82</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-0.20%</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7017.35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-17.35%</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29919.15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2018-01-02</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4087.40</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22.30%</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6332.23</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0.18%</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7092.09</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-17.20%</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30515.31</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37.76%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2018-01-03</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4111.39</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22.06%</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6388.25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-0.10%</w:t>
            </w:r>
          </w:p>
        </w:tc>
        <w:tc>
          <w:tcPr>
            <w:tcW w:w="993"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7159.88</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-17.42%</w:t>
            </w:r>
          </w:p>
        </w:tc>
        <w:tc>
          <w:tcPr>
            <w:tcW w:w="1134"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30560.95</w:t>
            </w:r>
          </w:p>
        </w:tc>
        <w:tc>
          <w:tcPr>
            <w:tcW w:w="992" w:type="dxa"/>
            <w:vAlign w:val="center"/>
          </w:tcPr>
          <w:p>
            <w:pPr>
              <w:spacing w:after="0" w:line="240" w:lineRule="auto"/>
              <w:jc w:val="center"/>
              <w:rPr>
                <w:rFonts w:ascii="仿宋_GB2312" w:hAnsi="仿宋_GB2312" w:eastAsia="仿宋_GB2312" w:cs="仿宋_GB2312"/>
                <w:sz w:val="24"/>
                <w:szCs w:val="24"/>
                <w:highlight w:val="none"/>
              </w:rPr>
            </w:pPr>
            <w:r>
              <w:rPr>
                <w:rFonts w:ascii="仿宋_GB2312" w:hAnsi="仿宋_GB2312" w:eastAsia="仿宋_GB2312" w:cs="仿宋_GB2312"/>
                <w:color w:val="000000"/>
                <w:sz w:val="24"/>
                <w:szCs w:val="24"/>
                <w:highlight w:val="none"/>
              </w:rPr>
              <w:t>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9776" w:type="dxa"/>
            <w:gridSpan w:val="9"/>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2021-12-29</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4883.48</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-3.57%</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7247.77</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16.07%</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7855.43</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20.49%</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23086.54</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2021-12-30</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4921.51</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-2.41%</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7310.96</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17.92%</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7924.53</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22.34%</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23112.01</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rPr>
        <w:tc>
          <w:tcPr>
            <w:tcW w:w="1571" w:type="dxa"/>
            <w:tcMar>
              <w:top w:w="80" w:type="dxa"/>
              <w:left w:w="80" w:type="dxa"/>
              <w:bottom w:w="80" w:type="dxa"/>
              <w:right w:w="80" w:type="dxa"/>
            </w:tcMar>
            <w:vAlign w:val="center"/>
          </w:tcPr>
          <w:p>
            <w:pPr>
              <w:spacing w:after="0" w:line="240" w:lineRule="auto"/>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2021-12-31</w:t>
            </w:r>
          </w:p>
        </w:tc>
        <w:tc>
          <w:tcPr>
            <w:tcW w:w="976"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4940.37</w:t>
            </w:r>
          </w:p>
        </w:tc>
        <w:tc>
          <w:tcPr>
            <w:tcW w:w="1134"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-3.39%</w:t>
            </w:r>
          </w:p>
        </w:tc>
        <w:tc>
          <w:tcPr>
            <w:tcW w:w="992" w:type="dxa"/>
            <w:tcMar>
              <w:top w:w="80" w:type="dxa"/>
              <w:left w:w="80" w:type="dxa"/>
              <w:bottom w:w="80" w:type="dxa"/>
              <w:right w:w="80" w:type="dxa"/>
            </w:tcMar>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7359.40</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17.39%</w:t>
            </w:r>
          </w:p>
        </w:tc>
        <w:tc>
          <w:tcPr>
            <w:tcW w:w="993"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8010.32</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22.73%</w:t>
            </w:r>
          </w:p>
        </w:tc>
        <w:tc>
          <w:tcPr>
            <w:tcW w:w="1134"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23397.67</w:t>
            </w:r>
          </w:p>
        </w:tc>
        <w:tc>
          <w:tcPr>
            <w:tcW w:w="992" w:type="dxa"/>
            <w:vAlign w:val="center"/>
          </w:tcPr>
          <w:p>
            <w:pPr>
              <w:spacing w:after="0" w:line="240" w:lineRule="auto"/>
              <w:jc w:val="center"/>
              <w:rPr>
                <w:rFonts w:ascii="仿宋_GB2312" w:hAnsi="仿宋_GB2312" w:eastAsia="仿宋_GB2312" w:cs="仿宋_GB2312"/>
                <w:color w:val="000000"/>
                <w:sz w:val="24"/>
                <w:szCs w:val="24"/>
                <w:highlight w:val="none"/>
              </w:rPr>
            </w:pPr>
            <w:r>
              <w:rPr>
                <w:rFonts w:ascii="仿宋_GB2312" w:hAnsi="仿宋_GB2312" w:eastAsia="仿宋_GB2312" w:cs="仿宋_GB2312"/>
                <w:color w:val="000000"/>
                <w:sz w:val="24"/>
                <w:szCs w:val="24"/>
                <w:highlight w:val="none"/>
              </w:rPr>
              <w:t>-13.81%</w:t>
            </w:r>
          </w:p>
        </w:tc>
      </w:tr>
    </w:tbl>
    <w:p>
      <w:pPr>
        <w:keepNext w:val="0"/>
        <w:keepLines w:val="0"/>
        <w:pageBreakBefore w:val="0"/>
        <w:widowControl/>
        <w:kinsoku/>
        <w:wordWrap/>
        <w:overflowPunct/>
        <w:topLinePunct w:val="0"/>
        <w:autoSpaceDE/>
        <w:autoSpaceDN/>
        <w:bidi w:val="0"/>
        <w:adjustRightInd/>
        <w:snapToGrid/>
        <w:spacing w:before="181" w:beforeLines="50" w:after="0" w:line="360" w:lineRule="auto"/>
        <w:ind w:firstLine="573"/>
        <w:jc w:val="both"/>
        <w:textAlignment w:val="auto"/>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参照各指数年度跌幅选取80%、90%及99%分位点数据作为压力情景参数（详见下表）具体如下：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82"/>
        <w:gridCol w:w="1627"/>
        <w:gridCol w:w="162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 w:hRule="atLeast"/>
          <w:jc w:val="center"/>
        </w:trPr>
        <w:tc>
          <w:tcPr>
            <w:tcW w:w="2182" w:type="dxa"/>
            <w:vMerge w:val="restart"/>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风险因子</w:t>
            </w:r>
          </w:p>
        </w:tc>
        <w:tc>
          <w:tcPr>
            <w:tcW w:w="4683" w:type="dxa"/>
            <w:gridSpan w:val="3"/>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压力情景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82" w:type="dxa"/>
            <w:vMerge w:val="continue"/>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sz w:val="24"/>
                <w:szCs w:val="24"/>
                <w:highlight w:val="none"/>
              </w:rPr>
            </w:pPr>
          </w:p>
        </w:tc>
        <w:tc>
          <w:tcPr>
            <w:tcW w:w="1627" w:type="dxa"/>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轻度压力</w:t>
            </w:r>
          </w:p>
        </w:tc>
        <w:tc>
          <w:tcPr>
            <w:tcW w:w="1627" w:type="dxa"/>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中度压力</w:t>
            </w:r>
          </w:p>
        </w:tc>
        <w:tc>
          <w:tcPr>
            <w:tcW w:w="1429" w:type="dxa"/>
            <w:shd w:val="clear" w:color="auto" w:fill="BEBEBE" w:themeFill="background1" w:themeFillShade="BF"/>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重度压力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 w:hRule="atLeast"/>
          <w:jc w:val="center"/>
        </w:trPr>
        <w:tc>
          <w:tcPr>
            <w:tcW w:w="2182" w:type="dxa"/>
            <w:tcMar>
              <w:top w:w="80" w:type="dxa"/>
              <w:left w:w="80" w:type="dxa"/>
              <w:bottom w:w="80" w:type="dxa"/>
              <w:right w:w="80" w:type="dxa"/>
            </w:tcMa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沪深300指数</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-6%</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-14%</w:t>
            </w:r>
          </w:p>
        </w:tc>
        <w:tc>
          <w:tcPr>
            <w:tcW w:w="1429"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 w:hRule="atLeast"/>
          <w:jc w:val="center"/>
        </w:trPr>
        <w:tc>
          <w:tcPr>
            <w:tcW w:w="2182" w:type="dxa"/>
            <w:tcMar>
              <w:top w:w="80" w:type="dxa"/>
              <w:left w:w="80" w:type="dxa"/>
              <w:bottom w:w="80" w:type="dxa"/>
              <w:right w:w="80" w:type="dxa"/>
            </w:tcMa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中证500指数</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-14%</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-27%</w:t>
            </w:r>
          </w:p>
        </w:tc>
        <w:tc>
          <w:tcPr>
            <w:tcW w:w="1429"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 w:hRule="atLeast"/>
          <w:jc w:val="center"/>
        </w:trPr>
        <w:tc>
          <w:tcPr>
            <w:tcW w:w="2182" w:type="dxa"/>
            <w:tcMar>
              <w:top w:w="80" w:type="dxa"/>
              <w:left w:w="80" w:type="dxa"/>
              <w:bottom w:w="80" w:type="dxa"/>
              <w:right w:w="80" w:type="dxa"/>
            </w:tcMa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中证1000指数</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-21%</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-33%</w:t>
            </w:r>
          </w:p>
        </w:tc>
        <w:tc>
          <w:tcPr>
            <w:tcW w:w="1429"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 w:hRule="atLeast"/>
          <w:jc w:val="center"/>
        </w:trPr>
        <w:tc>
          <w:tcPr>
            <w:tcW w:w="2182" w:type="dxa"/>
            <w:tcMar>
              <w:top w:w="80" w:type="dxa"/>
              <w:left w:w="80" w:type="dxa"/>
              <w:bottom w:w="80" w:type="dxa"/>
              <w:right w:w="80" w:type="dxa"/>
            </w:tcMa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恒生指数</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-10%</w:t>
            </w:r>
          </w:p>
        </w:tc>
        <w:tc>
          <w:tcPr>
            <w:tcW w:w="1627"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-13%</w:t>
            </w:r>
          </w:p>
        </w:tc>
        <w:tc>
          <w:tcPr>
            <w:tcW w:w="1429" w:type="dxa"/>
            <w:tcMar>
              <w:top w:w="80" w:type="dxa"/>
              <w:left w:w="80" w:type="dxa"/>
              <w:bottom w:w="80" w:type="dxa"/>
              <w:right w:w="80" w:type="dxa"/>
            </w:tcMar>
            <w:vAlign w:val="center"/>
          </w:tcPr>
          <w:p>
            <w:pPr>
              <w:spacing w:after="0" w:line="240" w:lineRule="auto"/>
              <w:ind w:firstLine="20"/>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rPr>
              <w:t>-20%</w:t>
            </w:r>
          </w:p>
        </w:tc>
      </w:tr>
    </w:tbl>
    <w:p>
      <w:pPr>
        <w:keepNext w:val="0"/>
        <w:keepLines w:val="0"/>
        <w:pageBreakBefore w:val="0"/>
        <w:widowControl w:val="0"/>
        <w:tabs>
          <w:tab w:val="left" w:pos="1155"/>
        </w:tabs>
        <w:kinsoku/>
        <w:wordWrap/>
        <w:overflowPunct/>
        <w:topLinePunct w:val="0"/>
        <w:autoSpaceDE/>
        <w:autoSpaceDN/>
        <w:bidi w:val="0"/>
        <w:adjustRightInd/>
        <w:snapToGrid/>
        <w:spacing w:before="361" w:beforeLines="100" w:after="0" w:line="360" w:lineRule="auto"/>
        <w:ind w:firstLine="573"/>
        <w:jc w:val="both"/>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4.权益类中性业务市场风险参数设定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权益类中性业务市场风险主要指策略为中性的权益类套利业务、场外期权、场内期权做市和收益互换业务等。其中，权益类套利业务可比照利率中性类业务压力测试方法，将多空端持仓价差或基差的不利变动情况作为风险因子。另外，收益互换业务因对冲后组合受市场涨跌影响较小，主要暴露信用风险，在此不进行展开。此处主要考虑场内期权做市、场外期权业务因标的价格、波动率变动导致组合公允价值下跌的风险。</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（1）期权重估值法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期权重估值法主要指通过将压力情景下期权标的价格、波动率参数代入期权估值模型进行重新估值，并通过与测试基期期权估值进行比较从而测算压力下期权合约公允价值变动情况。证券公司可根据期权合约及对冲标的持仓情况，选取相应市场标的价格、波动率作为压力测试风险因子，根据价格、波动率在过往历史的大幅变动作为压力情景参数。对于采取中性对冲策略的期权业务，应同时考虑压力情景下期权合约和对冲持仓的组合影响，并可根据自身具体对冲策略优化调整相应压力情景参数。</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考虑到期权类型、合约分布等因素影响，期权标的价格、波动率对期权价值的影响未必呈单调性，因此期权业务损失最大情形未必发生在标的价格、波动率变动幅度最大的情景，证券公司可根据实际测试情况对压力情景进行调整。</w:t>
      </w:r>
    </w:p>
    <w:p>
      <w:pPr>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rPr>
        <w:t>如某证券公司主要开展场内期权做市（50ETF）及场外期权（标的主要为中证500指数或其成分股），可相应选取50ETF、中证500指数价格及波动率变动作为压力测试风险因子，根据过往五年在80%、90%、99%分位的3个交易日的不利变动作为压力情景参数。</w:t>
      </w:r>
    </w:p>
    <w:p>
      <w:pPr>
        <w:pStyle w:val="31"/>
        <w:spacing w:after="0" w:line="360" w:lineRule="auto"/>
        <w:ind w:firstLine="573" w:firstLineChars="0"/>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（2）Vega损失测算法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对于期权组合主要为暴露单边波动率风险（如做空Vega策略）而Gamma、Theta整体敞口较小的策略，可通过压力情景下波动率变动导致的Vega损失对期权组合进行损失测算。证券公司可根据业务情况，选取用于压力测试的Vega敞口规模，并参照标的波动率在过往历史的大幅变动作为压力情景参数，测算Vega损失。</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此方法不适用于Vega敞口正负波动较大的期权投资策略，也不适用于Vega可随标的价格变动而改变正负符号的期权结构，如障碍期权、雪球期权等。</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5.商品及外汇类业务市场风险参数设定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商品及外汇类业务市场风险主要考虑因商品类合约价值、汇率波动导致公司商品类合约及外币持仓价值下跌的风险。证券公司应结合持仓品种与策略类型，选取相应市场标的作为风险因子，根据过往历史标的价格不利变动情况，对商品类合约及外币持仓价值的影响。</w:t>
      </w:r>
    </w:p>
    <w:p>
      <w:pPr>
        <w:widowControl w:val="0"/>
        <w:tabs>
          <w:tab w:val="left" w:pos="1155"/>
        </w:tabs>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6.股权投资业务市场风险参数设定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股权投资业务主要指私募子公司、另类子公司或境外子公司通过私募股权基金、股权直投项目等方式开展的股权投资业务，不含战略性长期股权投资。</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此部分主要针对非上市股权投资压力测试，已上市项目可参照权益类方向性业务市场风险压力情景设定。非上市公司因存在市场公开信息少、流动性风险较大等情况，证券公司可根据被投项目实际风险、资产流动性、市场环境等信息，结合专家判断，按照审慎原则对压力测试参数进行调整。</w:t>
      </w:r>
    </w:p>
    <w:p>
      <w:pPr>
        <w:pStyle w:val="31"/>
        <w:spacing w:after="0" w:line="360" w:lineRule="auto"/>
        <w:ind w:firstLine="573" w:firstLineChars="0"/>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（1）同业比照法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证券公司可选择非上市公司所处行业或所对应的同业已上市公司公开信息作为压力情景参数。如根据非上市公司所处行业，选取该行业所对应指数，并根据指数在过往历史的不利变动作为压力情景；或根据非上市公司，选取经营与风险情况与其相似的已上市公司，并根据已上市公司历史年份的平均不利跌幅作为压力情景参数。并考虑非上市股权流动性等情况，对上述参数结果进行流动性折扣及其他调整。</w:t>
      </w:r>
    </w:p>
    <w:p>
      <w:pPr>
        <w:pStyle w:val="31"/>
        <w:spacing w:after="0" w:line="360" w:lineRule="auto"/>
        <w:ind w:firstLine="573" w:firstLineChars="0"/>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（2）业务历史数据法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若市场同业信息不便获取或与公司股权投资业务实际表现差异较大，证券公司可通过自身股权直投项目或私募股权基金过往历史的实际极端不利表现作为压力情景参数。如某证券公司根据过往开展的股权投资项目年度估值变化情况，选择80%、90%、99%分位下年度估值极端下跌情况作为压力情景。</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7.资管产品投资业务市场风险参数设定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此处资管产品主要指证券公司通过公募基金、私募投资基金、信托产品、资管计划等主要投资于二级债券与股票市场的产品，不含私募股权投资基金、非标类信托产品等。</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证券公司可根据资管产品与主要投资市场的风险因子的相关性，参照前篇所述风险因子的压力程度，或通过资管产品过往历史的实际极端不利表现作为压力情景参数。如某证券公司根据历史过往资管产品的年度估值变化情况，选择80%、90%、99%分位下年度估值极端下跌幅度作为压力情景参数。</w:t>
      </w:r>
    </w:p>
    <w:p>
      <w:pPr>
        <w:keepNext w:val="0"/>
        <w:keepLines w:val="0"/>
        <w:pageBreakBefore w:val="0"/>
        <w:widowControl w:val="0"/>
        <w:tabs>
          <w:tab w:val="left" w:pos="1155"/>
        </w:tabs>
        <w:kinsoku/>
        <w:wordWrap/>
        <w:overflowPunct/>
        <w:topLinePunct w:val="0"/>
        <w:autoSpaceDE/>
        <w:autoSpaceDN/>
        <w:bidi w:val="0"/>
        <w:adjustRightInd/>
        <w:snapToGrid/>
        <w:spacing w:after="0" w:line="360" w:lineRule="auto"/>
        <w:ind w:firstLine="573"/>
        <w:jc w:val="both"/>
        <w:textAlignment w:val="auto"/>
        <w:rPr>
          <w:rFonts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（二）信用风险</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1.固定收益业务信用风险参数设定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固定收益业务信用风险主要指持仓债券的发行人无法履行到期还款约定的风险。证券公司可根据各等级债券面临的违约概率、违约回收率情况计算信用损失率，并结合债券敞口对固定收益业务的信用风险进行压力测试，即固定收益业务信用风险预期损失=债券敞口×固定收益业务信用损失率，固定收益业务信用损失率=违约概率×(1-违约回收率)。</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违约概率方面，可参照公司内部评级或业务历史违约率数据设定各等级债券在轻度、中度、重度压力情景下的违约概率参数；或可参照历史各等级债券的市场违约率数据，如根据穆迪公布的各等级债券历史违约率情况，选取各等级债券在80%、90%、99%分位的历史违约率作为该评级在轻度、中度和重度压力情景下的违约概率，其中对于境内和境外债券评级差异，可通过合理映射关系进行映射匹配，如参照证券公司并表风险控制指标监管报表中国际国内信用评级对照表将各等级通过数量方法映射。违约回收率方面，可根据公司业务历史数据进行设定，或参照巴塞尔委员会推荐的无抵押普通债务的回收率为55%，在各压力情景下将违约回收率逐步下降，如将轻度压力下的回收率设为45%，中度与重度压力下的回收率逐步下降至35%和25%。</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2.融资类业务信用风险参数设定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融资类业务信用风险主要指客户无法履行融资类业务合约约定，导致公司亏损的情况。证券公司可根据融资类业务风险敞口、违约概率和违约资产追偿回收率情况，并结合公司担保品计算、最低履约保障比例要求等情况，对融资类业务信用风险进行压力测试，融资类业务信用风险预期损失=融资类业务风险敞口×融资类业务信用损失率，融资类业务信用损失率=信用风险敞口比例×违约概率×(1-违约资产追偿回收率)。</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信用风险敞口比例主要反映融资类业务在压力情景下担保品价值缩水、履约保证金比例下滑，导致信用风险敞口扩大的情况。信用风险敞口比例=Max{1-压力下客户有效资产/客户负债,0}，其中</w:t>
      </w:r>
      <w:bookmarkStart w:id="3" w:name="_Hlk120625866"/>
      <w:r>
        <w:rPr>
          <w:rFonts w:hint="eastAsia" w:ascii="仿宋_GB2312" w:hAnsi="仿宋_GB2312" w:eastAsia="仿宋_GB2312" w:cs="仿宋_GB2312"/>
          <w:kern w:val="2"/>
          <w:sz w:val="28"/>
          <w:szCs w:val="28"/>
          <w:highlight w:val="none"/>
        </w:rPr>
        <w:t>压力下客户有效资产</w:t>
      </w:r>
      <w:bookmarkEnd w:id="3"/>
      <w:r>
        <w:rPr>
          <w:rFonts w:hint="eastAsia" w:ascii="仿宋_GB2312" w:hAnsi="仿宋_GB2312" w:eastAsia="仿宋_GB2312" w:cs="仿宋_GB2312"/>
          <w:kern w:val="2"/>
          <w:sz w:val="28"/>
          <w:szCs w:val="28"/>
          <w:highlight w:val="none"/>
        </w:rPr>
        <w:t>为客户担保品在压力情景下的市值。</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违约概率及违约资产追偿回收率可根据公司业务历史数据进行设定，违约资产追偿回收率可参照巴塞尔委员会推荐的无抵押普通债务回收率为55%，将轻度压力下的违约资产追偿回收率设为45%，中度与重度压力下的回收率分别逐步下降至35%和25%。</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3.交易对手类业务信用风险参数设定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交易对手类业务信用风险主要指场外期权、收益互换等业务中因交易对手方未履行合约义务导致发生信用违约损失。证券公司可测算压力下交易对手类业务风险敞口情况，结合交易对手违约概率及违约回收率，对交易对手类业务信用风险进行压力测试，即交易对手类业务信用风险预期损失=交易对手类业务风险敞口×交易对手违约概率×（1-违约回收率）。</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压力下交易对手业务风险敞口方面，可参照权益类、利率类等市场风险压力情景参数，测算压力下合约市值变化，即Max{压力情景下合约价值-非现金担保品市值-现金保证金，0}，并考虑客户未能及时追保，使得信用风险暴露增加。若存在对交易对手类授信额度占用，也应视情况纳入风险敞口计算。</w:t>
      </w:r>
    </w:p>
    <w:p>
      <w:pPr>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rPr>
        <w:t>交易对手违约概率及违约回收率可根据交易对手类型，并结合市场及公司业务历史数据等进行综合设定。</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（三）操作风险</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操作风险压力测试主要考虑公司在压力下，因不完善或有问题的内部程序、人员及系统或外部事件导致发生损失。因操作风险事件不规律性强、市场公开数据少、各公司操作风险管理存在差异等，证券公司可结合自身情况，通过行业历史数据、或监管指标等方法对操作风险压力情景参数进行设定。</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ascii="仿宋_GB2312" w:hAnsi="仿宋_GB2312" w:eastAsia="仿宋_GB2312" w:cs="仿宋_GB2312"/>
          <w:b/>
          <w:bCs/>
          <w:sz w:val="28"/>
          <w:szCs w:val="28"/>
          <w:highlight w:val="none"/>
        </w:rPr>
        <w:t>1.历史数据法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证券公司可参照内部及行业公开的历史操作风险事件及损失情况，结合公司自身系统建设、流程优化、专业人员配备、风险限额指标、风险缓释措施等情况，综合设定操作风险压力情景参数。对于未造成实际损失的操作风险事件，可预估同类事件在压力下的损失金额，以完善统计样本。</w:t>
      </w:r>
    </w:p>
    <w:p>
      <w:pPr>
        <w:widowControl w:val="0"/>
        <w:tabs>
          <w:tab w:val="left" w:pos="1155"/>
        </w:tabs>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2.监管指标法</w:t>
      </w:r>
    </w:p>
    <w:p>
      <w:pPr>
        <w:widowControl w:val="0"/>
        <w:tabs>
          <w:tab w:val="left" w:pos="1155"/>
        </w:tabs>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证券公司可参照操作风险资本准备占营业收入比例作为极端操作风险损失的基准情景，通过假定损失概率分布并取分位点作为压力情景下的操作风险损失比例参数。如某证券公司以近五年操作风险资本准备占营业收入的平均比例作为单侧标准正态分布函数</w:t>
      </w:r>
      <w:r>
        <w:rPr>
          <w:rFonts w:ascii="仿宋_GB2312" w:hAnsi="仿宋_GB2312" w:eastAsia="仿宋_GB2312" w:cs="仿宋_GB2312"/>
          <w:sz w:val="28"/>
          <w:szCs w:val="28"/>
          <w:highlight w:val="none"/>
        </w:rPr>
        <w:t>99.9</w:t>
      </w:r>
      <w:r>
        <w:rPr>
          <w:rFonts w:hint="eastAsia" w:ascii="仿宋_GB2312" w:hAnsi="仿宋_GB2312" w:eastAsia="仿宋_GB2312" w:cs="仿宋_GB2312"/>
          <w:sz w:val="28"/>
          <w:szCs w:val="28"/>
          <w:highlight w:val="none"/>
        </w:rPr>
        <w:t>%分位基准，并取50%、70%及90%分位点所对应的操作风险损失占营收比例作为压力情景参数。</w:t>
      </w:r>
    </w:p>
    <w:p>
      <w:pPr>
        <w:widowControl w:val="0"/>
        <w:tabs>
          <w:tab w:val="left" w:pos="1155"/>
        </w:tabs>
        <w:spacing w:after="0" w:line="360" w:lineRule="auto"/>
        <w:ind w:firstLine="573"/>
        <w:jc w:val="both"/>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sz w:val="28"/>
          <w:szCs w:val="28"/>
          <w:highlight w:val="none"/>
        </w:rPr>
        <w:t>该方法主要适用于缺乏统计数据或历史数据参考性不强的情形。但由于该方法仅考虑了业务收入及监管标准法系数，而未考虑各公司内部管理、操作风险点、风险缓释措施等个体性差异，公司应根据自身实际情况，通过调整损失分布函数、分位点等方式，或引入其他相关模型参数，对该方法进行调整优化。</w:t>
      </w:r>
    </w:p>
    <w:p>
      <w:pPr>
        <w:keepNext w:val="0"/>
        <w:keepLines w:val="0"/>
        <w:pageBreakBefore w:val="0"/>
        <w:widowControl w:val="0"/>
        <w:tabs>
          <w:tab w:val="left" w:pos="1155"/>
        </w:tabs>
        <w:kinsoku/>
        <w:wordWrap/>
        <w:overflowPunct/>
        <w:topLinePunct w:val="0"/>
        <w:autoSpaceDE/>
        <w:autoSpaceDN/>
        <w:bidi w:val="0"/>
        <w:adjustRightInd/>
        <w:snapToGrid/>
        <w:spacing w:after="0" w:line="360" w:lineRule="auto"/>
        <w:ind w:firstLine="573"/>
        <w:jc w:val="both"/>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eastAsia="zh-CN"/>
        </w:rPr>
        <w:t>四</w:t>
      </w:r>
      <w:r>
        <w:rPr>
          <w:rFonts w:hint="eastAsia" w:ascii="仿宋_GB2312" w:hAnsi="仿宋_GB2312" w:eastAsia="仿宋_GB2312" w:cs="仿宋_GB2312"/>
          <w:b/>
          <w:bCs/>
          <w:sz w:val="28"/>
          <w:szCs w:val="28"/>
          <w:highlight w:val="none"/>
        </w:rPr>
        <w:t>）声誉风险</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声誉风险压力测试主要考虑公司在压力情景下发生</w:t>
      </w:r>
      <w:r>
        <w:rPr>
          <w:rFonts w:hint="eastAsia" w:ascii="仿宋_GB2312" w:hAnsi="仿宋_GB2312" w:eastAsia="仿宋_GB2312" w:cs="仿宋_GB2312"/>
          <w:color w:val="000000"/>
          <w:sz w:val="28"/>
          <w:szCs w:val="28"/>
          <w:highlight w:val="none"/>
        </w:rPr>
        <w:t>重大负面</w:t>
      </w:r>
      <w:r>
        <w:rPr>
          <w:rFonts w:hint="eastAsia" w:ascii="仿宋_GB2312" w:hAnsi="仿宋_GB2312" w:eastAsia="仿宋_GB2312" w:cs="仿宋_GB2312"/>
          <w:color w:val="000000"/>
          <w:sz w:val="28"/>
          <w:szCs w:val="28"/>
          <w:highlight w:val="none"/>
          <w:lang w:eastAsia="zh-CN"/>
        </w:rPr>
        <w:t>声誉事件，</w:t>
      </w:r>
      <w:r>
        <w:rPr>
          <w:rFonts w:hint="eastAsia" w:ascii="仿宋_GB2312" w:hAnsi="仿宋_GB2312" w:eastAsia="仿宋_GB2312" w:cs="仿宋_GB2312"/>
          <w:color w:val="000000"/>
          <w:sz w:val="28"/>
          <w:szCs w:val="28"/>
          <w:highlight w:val="none"/>
        </w:rPr>
        <w:t>造成证券公司重大损失、证券行业声誉损害</w:t>
      </w:r>
      <w:r>
        <w:rPr>
          <w:rFonts w:hint="eastAsia" w:ascii="仿宋_GB2312" w:hAnsi="仿宋_GB2312" w:eastAsia="仿宋_GB2312" w:cs="仿宋_GB2312"/>
          <w:color w:val="000000"/>
          <w:sz w:val="28"/>
          <w:szCs w:val="28"/>
          <w:highlight w:val="none"/>
          <w:lang w:eastAsia="zh-CN"/>
        </w:rPr>
        <w:t>等情形</w:t>
      </w:r>
      <w:r>
        <w:rPr>
          <w:rFonts w:hint="eastAsia" w:ascii="仿宋_GB2312" w:hAnsi="仿宋_GB2312" w:eastAsia="仿宋_GB2312" w:cs="仿宋_GB2312"/>
          <w:kern w:val="2"/>
          <w:sz w:val="28"/>
          <w:szCs w:val="28"/>
          <w:highlight w:val="none"/>
        </w:rPr>
        <w:t>。公司可参照自身或行业历史重大声誉风险事件所导致损失情况，设置压力情景参数。若声誉风险损失是由其它类型的风险事件（如操作风险事件）引发，在测算损失时应注意区分。</w:t>
      </w:r>
    </w:p>
    <w:p>
      <w:pPr>
        <w:widowControl w:val="0"/>
        <w:tabs>
          <w:tab w:val="left" w:pos="1155"/>
        </w:tabs>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如某证券公司发生系统故障并引发重大媒体舆情，面临经纪业务市占率下滑、经纪业务净收入下降等潜在风险。公司参照自身及同业历史同类事件所导致的业务规模下滑情况，结合对事件形势的审慎判断，综合设置压力情景参数，并根据基期的业务规模测算压力下的损失情况。其中，因系统故障所导致的直接损失归为操作风险损失，因负面舆情事件导致的直接或潜在损失归为声誉风险损失。</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eastAsia="zh-CN"/>
        </w:rPr>
        <w:t>五</w:t>
      </w:r>
      <w:r>
        <w:rPr>
          <w:rFonts w:hint="eastAsia" w:ascii="仿宋_GB2312" w:hAnsi="仿宋_GB2312" w:eastAsia="仿宋_GB2312" w:cs="仿宋_GB2312"/>
          <w:b/>
          <w:bCs/>
          <w:sz w:val="28"/>
          <w:szCs w:val="28"/>
          <w:highlight w:val="none"/>
        </w:rPr>
        <w:t>）经营风险</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经营风险压力测试主要考虑压力情景下证券经纪、投资银行、资产管理业务净收入发生下滑的情形。证券公司可结合公司自身及同业过往历史数据、行业盈利预测等情况，并结合市场环境判断设置压力情景参数。</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证券公司可根据自身及比照同业券商过往历史中的经纪业务、投行业务、资管业务在不同分位点的净收入变动幅度作为压力情景参数。并可结合市场及宏观因素（如GDP、核心权益类指数、两市日均交易额、IPO规模、集合/单一资管计划规模等），对压力情景参数进行优化调整。</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如某证券公司根据自身及比照的五家同业券商过往十年经纪业务、投行业务及资管业务的年度净收入变化情况，选取70%、80%、90%分位点跌幅，并结合市场及宏观因素、景气度分析等，设置经营风险压力情景参数。</w:t>
      </w:r>
    </w:p>
    <w:p>
      <w:pPr>
        <w:keepNext w:val="0"/>
        <w:keepLines w:val="0"/>
        <w:pageBreakBefore w:val="0"/>
        <w:widowControl w:val="0"/>
        <w:tabs>
          <w:tab w:val="left" w:pos="1155"/>
        </w:tabs>
        <w:kinsoku/>
        <w:wordWrap/>
        <w:overflowPunct/>
        <w:topLinePunct w:val="0"/>
        <w:autoSpaceDE/>
        <w:autoSpaceDN/>
        <w:bidi w:val="0"/>
        <w:adjustRightInd/>
        <w:snapToGrid/>
        <w:spacing w:after="0" w:line="360" w:lineRule="auto"/>
        <w:ind w:firstLine="573"/>
        <w:jc w:val="both"/>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eastAsia="zh-CN"/>
        </w:rPr>
        <w:t>六</w:t>
      </w:r>
      <w:r>
        <w:rPr>
          <w:rFonts w:hint="eastAsia" w:ascii="仿宋_GB2312" w:hAnsi="仿宋_GB2312" w:eastAsia="仿宋_GB2312" w:cs="仿宋_GB2312"/>
          <w:b/>
          <w:bCs/>
          <w:sz w:val="28"/>
          <w:szCs w:val="28"/>
          <w:highlight w:val="none"/>
        </w:rPr>
        <w:t>）流动性风险</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流动性风险压力测试主要考虑公司在压力情景下，无法以合理成本及时获得充足资金以偿付到期债务、履行支付义务或满足业务开展用资需求等而对公司造成损失。证券公司可结合自身资本安排（如法人透支额度、集团内部增资等）情况，考虑将融资成本上升、债务融资渠道中断或债券发行推迟持续时间等情形作为压力测试风险因子。</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融资成本上升情景，可综合考虑基准利率变动情景、公司自身信用资质情况等进行设定，如将融资成本轻、中、重度压力情景选择上升0.5%、1.0%、1.5%。</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公司融资渠道中断情景，可参考银保监会监管办法相关要求（流动性压力测试的生存期为1至3个月）并综合考虑融资市场的历史情况和公司的信用资质进行设定，如将融资渠道中断时间轻、中、重度压力情景选择为1M、2M、3M。</w:t>
      </w:r>
    </w:p>
    <w:tbl>
      <w:tblPr>
        <w:tblStyle w:val="16"/>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0"/>
        <w:gridCol w:w="1258"/>
        <w:gridCol w:w="146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150" w:type="dxa"/>
            <w:vMerge w:val="restart"/>
            <w:shd w:val="clear" w:color="000000" w:fill="BFBFBF"/>
            <w:noWrap/>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风险因子</w:t>
            </w:r>
          </w:p>
        </w:tc>
        <w:tc>
          <w:tcPr>
            <w:tcW w:w="4184" w:type="dxa"/>
            <w:gridSpan w:val="3"/>
            <w:shd w:val="clear" w:color="000000" w:fill="BFBFBF"/>
            <w:noWrap/>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压力情景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50" w:type="dxa"/>
            <w:vMerge w:val="continue"/>
            <w:vAlign w:val="center"/>
          </w:tcPr>
          <w:p>
            <w:pPr>
              <w:spacing w:after="0" w:line="240" w:lineRule="auto"/>
              <w:jc w:val="center"/>
              <w:rPr>
                <w:rFonts w:ascii="仿宋_GB2312" w:hAnsi="仿宋_GB2312" w:eastAsia="仿宋_GB2312" w:cs="仿宋_GB2312"/>
                <w:b/>
                <w:bCs/>
                <w:color w:val="000000"/>
                <w:sz w:val="24"/>
                <w:szCs w:val="24"/>
                <w:highlight w:val="none"/>
              </w:rPr>
            </w:pPr>
          </w:p>
        </w:tc>
        <w:tc>
          <w:tcPr>
            <w:tcW w:w="1258" w:type="dxa"/>
            <w:shd w:val="clear" w:color="000000" w:fill="BFBFBF"/>
            <w:noWrap/>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轻度压力</w:t>
            </w:r>
          </w:p>
        </w:tc>
        <w:tc>
          <w:tcPr>
            <w:tcW w:w="1463" w:type="dxa"/>
            <w:shd w:val="clear" w:color="000000" w:fill="BFBFBF"/>
            <w:noWrap/>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中度压力</w:t>
            </w:r>
          </w:p>
        </w:tc>
        <w:tc>
          <w:tcPr>
            <w:tcW w:w="1463" w:type="dxa"/>
            <w:shd w:val="clear" w:color="000000" w:fill="BFBFBF"/>
            <w:noWrap/>
            <w:vAlign w:val="center"/>
          </w:tcPr>
          <w:p>
            <w:pPr>
              <w:spacing w:after="0" w:line="240" w:lineRule="auto"/>
              <w:jc w:val="center"/>
              <w:rPr>
                <w:rFonts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重度压力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150" w:type="dxa"/>
            <w:shd w:val="clear" w:color="auto" w:fill="auto"/>
            <w:noWrap/>
            <w:vAlign w:val="cente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公司融资成本上升</w:t>
            </w:r>
          </w:p>
        </w:tc>
        <w:tc>
          <w:tcPr>
            <w:tcW w:w="1258"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0.50%</w:t>
            </w:r>
          </w:p>
        </w:tc>
        <w:tc>
          <w:tcPr>
            <w:tcW w:w="1463"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1.00%</w:t>
            </w:r>
          </w:p>
        </w:tc>
        <w:tc>
          <w:tcPr>
            <w:tcW w:w="1463"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150" w:type="dxa"/>
            <w:shd w:val="clear" w:color="auto" w:fill="auto"/>
            <w:noWrap/>
            <w:vAlign w:val="center"/>
          </w:tcPr>
          <w:p>
            <w:pPr>
              <w:spacing w:after="0" w:line="240" w:lineRule="auto"/>
              <w:jc w:val="both"/>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公司债务融资渠道中断（持续时间）</w:t>
            </w:r>
          </w:p>
        </w:tc>
        <w:tc>
          <w:tcPr>
            <w:tcW w:w="1258"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1M</w:t>
            </w:r>
          </w:p>
        </w:tc>
        <w:tc>
          <w:tcPr>
            <w:tcW w:w="1463"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2M</w:t>
            </w:r>
          </w:p>
        </w:tc>
        <w:tc>
          <w:tcPr>
            <w:tcW w:w="1463" w:type="dxa"/>
            <w:shd w:val="clear" w:color="auto" w:fill="auto"/>
            <w:noWrap/>
            <w:vAlign w:val="center"/>
          </w:tcPr>
          <w:p>
            <w:pPr>
              <w:spacing w:after="0" w:line="240" w:lineRule="auto"/>
              <w:jc w:val="center"/>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3M</w:t>
            </w:r>
          </w:p>
        </w:tc>
      </w:tr>
    </w:tbl>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二、压力测试传导机制</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（一）综合收益及净利润传导机制</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证券公司可通过基期的业务规模与压力情景参数，测算各压力情景下的损失，进而导致对公司综合收益及净利润影响情况。其中，业务规模可结合测试基期实际规模及业务发展规划情况综合设定。</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在测算压力情景下的业务损失时，证券公司应考虑止损因素的影响。部分压力情景下业务损失突破内部止损限额时，可综合业务止损因素以及止损期间的冲击成本测算压力下损失，止损冲击成本可结合公司止损限期规划、历史止损情形和市场表现等情况进行设定。对于测试短期极端行情下损失，或标的流动性较差等情况，不应考虑止损因素。</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另外，证券公司还应考虑交易性账户、非交易性账户对综合收益及净利润的影响。非交易性账户持有期间的公允价值变动影响综合收益但不影响净利润，而交易性账户的公允价值变动同时影响净利润和综合收益。交易性和非交易性账户的信用违约损失将同时影响公司净利润和综合收益。</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1.自营投资业务</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利率类方向性业务方面，考虑压力情景下基础利率上升及信用债利差扩大，导致债券持仓公允价值损失。信用债券投资业务同时应考虑压力情景下债券违约造成的信用损失。</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利率类中性业务方面，考虑压力情景下公司多空端持仓债券利差发生不利变动，导致利率类套利策略组合公允价值损失。</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权益类方向性业务方面，考虑在压力情景下证券市场下跌，公司持仓证券市值下滑，导致公允价值变动损失。</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权益类中性业务方面，套利策略考虑在压力情景下多空持仓证券间的价差或基差等发生不利变动，使得策略组合公允价值发生损失；期权业务考虑在压力情景下因期权标的价格、波动率发生不利变动，导致期权业务组合公允价值损失。</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2.融资类业务</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融资类业务方面，考虑压力情景下客户所持担保品市值下跌导致信用风险敞口增大，违约概率增加、违约回收率减少带来的融资类业务信用损失率上升，并最终导致信用减值损失，进而影响公司综合收益及净利润。</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3.其他业务</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除自营投资业务、融资类业务，还应考虑公司在压力情景下，经纪业务、投资银行业务、资产管理等业务收入减少，融资成本和利息支出增加，操作风险损失增大，私募股权投资业务亏损等对综合收益及净利润的影响。</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（二）风险控制指标传导机制</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压力情景下监管风险控制指标的变化，可通过业务规模规划、业务损失，资本性变动规划以及流动性风险压力情景等进行综合测算。</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业务规模规划方面，若某项业务计划大幅扩张规模，应测算对风险资本准备、表内外资产等产生的影响，进而导致风险控制指标发生不利变动；业务损失方面，应测算各项业务在压力情景下发生损失，对公司资产负债造成的影响，进而导致公司净资本和流动性等监管风险控制指标的变化情况；资本性变动规划方面，应充分考虑对公司净资本产生重大影响的规划事项，如分红、向子公司增资、次级债等；流动性风险方面，应考虑压力情景下公司融资渠道中断时，公司依靠变现流动性资产得以维持正常经营的最短生存期以及对流动性风险控制指标的影响。</w:t>
      </w:r>
    </w:p>
    <w:p>
      <w:pPr>
        <w:widowControl w:val="0"/>
        <w:tabs>
          <w:tab w:val="left" w:pos="1155"/>
        </w:tabs>
        <w:spacing w:after="0" w:line="360" w:lineRule="auto"/>
        <w:ind w:firstLine="573"/>
        <w:jc w:val="both"/>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三、反向压力测试</w:t>
      </w:r>
    </w:p>
    <w:p>
      <w:pPr>
        <w:spacing w:after="0" w:line="360" w:lineRule="auto"/>
        <w:ind w:firstLine="573"/>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当压力测试结果显示风险情况不可承受（如无法满足公司管理目标、监管指标超限等），证券公司可通过反向压力测试，测算在公司可承受的最大压力范围。</w:t>
      </w:r>
    </w:p>
    <w:p>
      <w:pPr>
        <w:spacing w:after="0" w:line="360" w:lineRule="auto"/>
        <w:ind w:firstLine="573"/>
        <w:jc w:val="both"/>
        <w:rPr>
          <w:rFonts w:ascii="仿宋_GB2312" w:hAnsi="仿宋_GB2312" w:eastAsia="仿宋_GB2312" w:cs="仿宋_GB2312"/>
          <w:sz w:val="28"/>
          <w:szCs w:val="28"/>
          <w:highlight w:val="none"/>
        </w:rPr>
      </w:pPr>
      <w:r>
        <w:rPr>
          <w:rFonts w:hint="eastAsia" w:ascii="仿宋_GB2312" w:hAnsi="仿宋_GB2312" w:eastAsia="仿宋_GB2312" w:cs="仿宋_GB2312"/>
          <w:kern w:val="2"/>
          <w:sz w:val="28"/>
          <w:szCs w:val="28"/>
          <w:highlight w:val="none"/>
        </w:rPr>
        <w:t>如证券公司拟扩大某项投资组合规模，但压力测试结果显示将导致风控指标超过监管限额。因此公司开展反向压力测试，根据合理假设测算在满足监管指标前提下投资组合所能做到的最大规模，并通过设置合理的内部管控机制，保障业务经营满足监管要求。再如证券公司定期根据某项业务的内部损失限额，并结合合理压力情景，反向测算该业务开展的规模上限情况，确保业务风险持续整体可控、可承受。</w:t>
      </w:r>
    </w:p>
    <w:sectPr>
      <w:footerReference r:id="rId5" w:type="default"/>
      <w:pgSz w:w="12240" w:h="15840"/>
      <w:pgMar w:top="1440" w:right="1797" w:bottom="1440"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Noto Sans CJK JP Regular">
    <w:altName w:val="仿宋"/>
    <w:panose1 w:val="00000000000000000000"/>
    <w:charset w:val="00"/>
    <w:family w:val="swiss"/>
    <w:pitch w:val="default"/>
    <w:sig w:usb0="00000000" w:usb1="00000000" w:usb2="00000000" w:usb3="00000000" w:csb0="00000000" w:csb1="00000000"/>
  </w:font>
  <w:font w:name="..">
    <w:altName w:val="仿宋"/>
    <w:panose1 w:val="00000000000000000000"/>
    <w:charset w:val="86"/>
    <w:family w:val="roma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592"/>
    </w:sdtPr>
    <w:sdtContent>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87BA8"/>
    <w:multiLevelType w:val="multilevel"/>
    <w:tmpl w:val="7E387BA8"/>
    <w:lvl w:ilvl="0" w:tentative="0">
      <w:start w:val="1"/>
      <w:numFmt w:val="japaneseCounting"/>
      <w:lvlText w:val="第%1条"/>
      <w:lvlJc w:val="left"/>
      <w:pPr>
        <w:ind w:left="2409" w:hanging="990"/>
      </w:pPr>
      <w:rPr>
        <w:rFonts w:hint="default"/>
        <w:b/>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720"/>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NjY4ZDE3OTFjYTZmMzEwNWM0YmMwMDdkYWIwMjMifQ=="/>
    <w:docVar w:name="KSO_WPS_MARK_KEY" w:val="b5509690-149f-4907-a292-3f9d9400b528"/>
  </w:docVars>
  <w:rsids>
    <w:rsidRoot w:val="00B87DBD"/>
    <w:rsid w:val="000004D9"/>
    <w:rsid w:val="00001BBC"/>
    <w:rsid w:val="000038EE"/>
    <w:rsid w:val="00004865"/>
    <w:rsid w:val="00007284"/>
    <w:rsid w:val="00010479"/>
    <w:rsid w:val="00011DEC"/>
    <w:rsid w:val="000132D9"/>
    <w:rsid w:val="00013841"/>
    <w:rsid w:val="00014097"/>
    <w:rsid w:val="000152D1"/>
    <w:rsid w:val="0001579B"/>
    <w:rsid w:val="00016027"/>
    <w:rsid w:val="0001674D"/>
    <w:rsid w:val="000172E6"/>
    <w:rsid w:val="00017AA1"/>
    <w:rsid w:val="00017D1D"/>
    <w:rsid w:val="00021CCB"/>
    <w:rsid w:val="00022E49"/>
    <w:rsid w:val="000231B9"/>
    <w:rsid w:val="00024324"/>
    <w:rsid w:val="00024950"/>
    <w:rsid w:val="000254B7"/>
    <w:rsid w:val="000256BC"/>
    <w:rsid w:val="00025A3F"/>
    <w:rsid w:val="000260C7"/>
    <w:rsid w:val="00026BE4"/>
    <w:rsid w:val="000317C5"/>
    <w:rsid w:val="00033EE9"/>
    <w:rsid w:val="000355B2"/>
    <w:rsid w:val="000415F4"/>
    <w:rsid w:val="00042677"/>
    <w:rsid w:val="0004269E"/>
    <w:rsid w:val="00043170"/>
    <w:rsid w:val="00043AAE"/>
    <w:rsid w:val="00044137"/>
    <w:rsid w:val="000443FF"/>
    <w:rsid w:val="00045BCB"/>
    <w:rsid w:val="0004623C"/>
    <w:rsid w:val="0004727B"/>
    <w:rsid w:val="0005175C"/>
    <w:rsid w:val="000522F3"/>
    <w:rsid w:val="00053B93"/>
    <w:rsid w:val="00054F05"/>
    <w:rsid w:val="00055157"/>
    <w:rsid w:val="00056B47"/>
    <w:rsid w:val="00056BEB"/>
    <w:rsid w:val="000577C7"/>
    <w:rsid w:val="00062512"/>
    <w:rsid w:val="000645B4"/>
    <w:rsid w:val="0006471A"/>
    <w:rsid w:val="00065565"/>
    <w:rsid w:val="00065B86"/>
    <w:rsid w:val="0006732B"/>
    <w:rsid w:val="000708F7"/>
    <w:rsid w:val="000716E4"/>
    <w:rsid w:val="00071A96"/>
    <w:rsid w:val="000721DC"/>
    <w:rsid w:val="00072F38"/>
    <w:rsid w:val="00073CBD"/>
    <w:rsid w:val="00075007"/>
    <w:rsid w:val="00076C9F"/>
    <w:rsid w:val="00076F44"/>
    <w:rsid w:val="000805DF"/>
    <w:rsid w:val="00082A39"/>
    <w:rsid w:val="0008493F"/>
    <w:rsid w:val="000860CC"/>
    <w:rsid w:val="0008636F"/>
    <w:rsid w:val="00090421"/>
    <w:rsid w:val="0009071E"/>
    <w:rsid w:val="000910F4"/>
    <w:rsid w:val="00091C3F"/>
    <w:rsid w:val="00092505"/>
    <w:rsid w:val="000936FD"/>
    <w:rsid w:val="00094AE0"/>
    <w:rsid w:val="00095C5A"/>
    <w:rsid w:val="00097C51"/>
    <w:rsid w:val="000A043E"/>
    <w:rsid w:val="000A0F6A"/>
    <w:rsid w:val="000A16F6"/>
    <w:rsid w:val="000A17D8"/>
    <w:rsid w:val="000A1C07"/>
    <w:rsid w:val="000A283C"/>
    <w:rsid w:val="000A2AD0"/>
    <w:rsid w:val="000A2DCB"/>
    <w:rsid w:val="000A3ED1"/>
    <w:rsid w:val="000A4AFE"/>
    <w:rsid w:val="000A516F"/>
    <w:rsid w:val="000A52C0"/>
    <w:rsid w:val="000A5D9C"/>
    <w:rsid w:val="000A6069"/>
    <w:rsid w:val="000A64E2"/>
    <w:rsid w:val="000A69FE"/>
    <w:rsid w:val="000A74AB"/>
    <w:rsid w:val="000A7935"/>
    <w:rsid w:val="000B0FD3"/>
    <w:rsid w:val="000B395E"/>
    <w:rsid w:val="000B4B84"/>
    <w:rsid w:val="000B5CFF"/>
    <w:rsid w:val="000B5F3D"/>
    <w:rsid w:val="000B6146"/>
    <w:rsid w:val="000B71DC"/>
    <w:rsid w:val="000B72B0"/>
    <w:rsid w:val="000B764F"/>
    <w:rsid w:val="000B797F"/>
    <w:rsid w:val="000C1B32"/>
    <w:rsid w:val="000C2949"/>
    <w:rsid w:val="000C3187"/>
    <w:rsid w:val="000C47EC"/>
    <w:rsid w:val="000C49EE"/>
    <w:rsid w:val="000C5C7E"/>
    <w:rsid w:val="000C6455"/>
    <w:rsid w:val="000C73B8"/>
    <w:rsid w:val="000D0B48"/>
    <w:rsid w:val="000D14E4"/>
    <w:rsid w:val="000D188A"/>
    <w:rsid w:val="000D3B28"/>
    <w:rsid w:val="000D425F"/>
    <w:rsid w:val="000D456D"/>
    <w:rsid w:val="000D73FD"/>
    <w:rsid w:val="000E0571"/>
    <w:rsid w:val="000E1CB0"/>
    <w:rsid w:val="000E2CDC"/>
    <w:rsid w:val="000E3DFC"/>
    <w:rsid w:val="000E400F"/>
    <w:rsid w:val="000E4194"/>
    <w:rsid w:val="000E4EFB"/>
    <w:rsid w:val="000E6449"/>
    <w:rsid w:val="000E6C83"/>
    <w:rsid w:val="000F04CF"/>
    <w:rsid w:val="000F166C"/>
    <w:rsid w:val="000F16AE"/>
    <w:rsid w:val="000F1941"/>
    <w:rsid w:val="000F31F8"/>
    <w:rsid w:val="000F391F"/>
    <w:rsid w:val="000F3B08"/>
    <w:rsid w:val="000F3E73"/>
    <w:rsid w:val="000F40FF"/>
    <w:rsid w:val="000F5DCD"/>
    <w:rsid w:val="000F6187"/>
    <w:rsid w:val="000F6672"/>
    <w:rsid w:val="000F674E"/>
    <w:rsid w:val="0010219F"/>
    <w:rsid w:val="0010253E"/>
    <w:rsid w:val="00104ADC"/>
    <w:rsid w:val="00107A80"/>
    <w:rsid w:val="00107FDD"/>
    <w:rsid w:val="001103CD"/>
    <w:rsid w:val="001106D4"/>
    <w:rsid w:val="001107B6"/>
    <w:rsid w:val="00111C61"/>
    <w:rsid w:val="001131D8"/>
    <w:rsid w:val="00115AF7"/>
    <w:rsid w:val="00117C0F"/>
    <w:rsid w:val="001207EA"/>
    <w:rsid w:val="00120B31"/>
    <w:rsid w:val="00121CAD"/>
    <w:rsid w:val="0012338F"/>
    <w:rsid w:val="0012468B"/>
    <w:rsid w:val="00125141"/>
    <w:rsid w:val="0012689D"/>
    <w:rsid w:val="00126CAF"/>
    <w:rsid w:val="00130063"/>
    <w:rsid w:val="00130D88"/>
    <w:rsid w:val="00131A94"/>
    <w:rsid w:val="0013201A"/>
    <w:rsid w:val="0013355B"/>
    <w:rsid w:val="00133622"/>
    <w:rsid w:val="001408D1"/>
    <w:rsid w:val="0014137D"/>
    <w:rsid w:val="0014148C"/>
    <w:rsid w:val="001424ED"/>
    <w:rsid w:val="0014261C"/>
    <w:rsid w:val="0014373E"/>
    <w:rsid w:val="0014381E"/>
    <w:rsid w:val="00143EFA"/>
    <w:rsid w:val="001458C9"/>
    <w:rsid w:val="00147F0A"/>
    <w:rsid w:val="00154A0A"/>
    <w:rsid w:val="00154FB6"/>
    <w:rsid w:val="00155572"/>
    <w:rsid w:val="00156C2C"/>
    <w:rsid w:val="00157BF1"/>
    <w:rsid w:val="001600F8"/>
    <w:rsid w:val="00160807"/>
    <w:rsid w:val="001623DC"/>
    <w:rsid w:val="00162C67"/>
    <w:rsid w:val="0016323E"/>
    <w:rsid w:val="0016460F"/>
    <w:rsid w:val="00165E8B"/>
    <w:rsid w:val="001675EF"/>
    <w:rsid w:val="00167997"/>
    <w:rsid w:val="00170445"/>
    <w:rsid w:val="00171C9B"/>
    <w:rsid w:val="0017228F"/>
    <w:rsid w:val="00172F0F"/>
    <w:rsid w:val="00173412"/>
    <w:rsid w:val="00173460"/>
    <w:rsid w:val="00175A8B"/>
    <w:rsid w:val="00180A48"/>
    <w:rsid w:val="001812E6"/>
    <w:rsid w:val="00181FB5"/>
    <w:rsid w:val="0018242E"/>
    <w:rsid w:val="00183331"/>
    <w:rsid w:val="00183944"/>
    <w:rsid w:val="0018427C"/>
    <w:rsid w:val="00184F65"/>
    <w:rsid w:val="0018515F"/>
    <w:rsid w:val="0018537C"/>
    <w:rsid w:val="00185CF2"/>
    <w:rsid w:val="00186E52"/>
    <w:rsid w:val="00190FBB"/>
    <w:rsid w:val="001915D1"/>
    <w:rsid w:val="0019190E"/>
    <w:rsid w:val="001940E4"/>
    <w:rsid w:val="001A1D88"/>
    <w:rsid w:val="001A1EC4"/>
    <w:rsid w:val="001A3125"/>
    <w:rsid w:val="001A31A3"/>
    <w:rsid w:val="001A3B23"/>
    <w:rsid w:val="001A61C4"/>
    <w:rsid w:val="001A66C2"/>
    <w:rsid w:val="001B00DB"/>
    <w:rsid w:val="001B0846"/>
    <w:rsid w:val="001B09C6"/>
    <w:rsid w:val="001B0AC6"/>
    <w:rsid w:val="001B2BEB"/>
    <w:rsid w:val="001B3823"/>
    <w:rsid w:val="001B3909"/>
    <w:rsid w:val="001B4602"/>
    <w:rsid w:val="001B5779"/>
    <w:rsid w:val="001B5AD1"/>
    <w:rsid w:val="001B6657"/>
    <w:rsid w:val="001B6660"/>
    <w:rsid w:val="001C0928"/>
    <w:rsid w:val="001C097F"/>
    <w:rsid w:val="001C09DA"/>
    <w:rsid w:val="001C09E7"/>
    <w:rsid w:val="001C1552"/>
    <w:rsid w:val="001C2283"/>
    <w:rsid w:val="001C2857"/>
    <w:rsid w:val="001C3780"/>
    <w:rsid w:val="001C4507"/>
    <w:rsid w:val="001C4B45"/>
    <w:rsid w:val="001C5475"/>
    <w:rsid w:val="001C5A90"/>
    <w:rsid w:val="001C7CF6"/>
    <w:rsid w:val="001C7EC0"/>
    <w:rsid w:val="001D093E"/>
    <w:rsid w:val="001D12BF"/>
    <w:rsid w:val="001D1F38"/>
    <w:rsid w:val="001D2D39"/>
    <w:rsid w:val="001D2D66"/>
    <w:rsid w:val="001D4F03"/>
    <w:rsid w:val="001D5099"/>
    <w:rsid w:val="001D5431"/>
    <w:rsid w:val="001D5888"/>
    <w:rsid w:val="001D5C07"/>
    <w:rsid w:val="001D5CF2"/>
    <w:rsid w:val="001D6DC4"/>
    <w:rsid w:val="001D7BE0"/>
    <w:rsid w:val="001E11A9"/>
    <w:rsid w:val="001E1B9F"/>
    <w:rsid w:val="001E3368"/>
    <w:rsid w:val="001E351E"/>
    <w:rsid w:val="001E3986"/>
    <w:rsid w:val="001E40F7"/>
    <w:rsid w:val="001E4BD4"/>
    <w:rsid w:val="001E5415"/>
    <w:rsid w:val="001E54D8"/>
    <w:rsid w:val="001E61F5"/>
    <w:rsid w:val="001E6532"/>
    <w:rsid w:val="001F0410"/>
    <w:rsid w:val="001F179F"/>
    <w:rsid w:val="001F235C"/>
    <w:rsid w:val="001F349B"/>
    <w:rsid w:val="001F5570"/>
    <w:rsid w:val="00200230"/>
    <w:rsid w:val="00204250"/>
    <w:rsid w:val="00204D41"/>
    <w:rsid w:val="002064E2"/>
    <w:rsid w:val="00206A93"/>
    <w:rsid w:val="002131A6"/>
    <w:rsid w:val="002134CE"/>
    <w:rsid w:val="00215E48"/>
    <w:rsid w:val="00216738"/>
    <w:rsid w:val="002172E5"/>
    <w:rsid w:val="00217C13"/>
    <w:rsid w:val="00221C1B"/>
    <w:rsid w:val="00221EFF"/>
    <w:rsid w:val="00221FF9"/>
    <w:rsid w:val="002221E5"/>
    <w:rsid w:val="0022243A"/>
    <w:rsid w:val="00224E13"/>
    <w:rsid w:val="00227E41"/>
    <w:rsid w:val="00230AF6"/>
    <w:rsid w:val="00231996"/>
    <w:rsid w:val="0023251A"/>
    <w:rsid w:val="00233229"/>
    <w:rsid w:val="00233FFB"/>
    <w:rsid w:val="0023651A"/>
    <w:rsid w:val="002367DC"/>
    <w:rsid w:val="00236DF1"/>
    <w:rsid w:val="00237EFB"/>
    <w:rsid w:val="00243137"/>
    <w:rsid w:val="00243150"/>
    <w:rsid w:val="002436BF"/>
    <w:rsid w:val="00244B6F"/>
    <w:rsid w:val="002453E8"/>
    <w:rsid w:val="0024652C"/>
    <w:rsid w:val="00251325"/>
    <w:rsid w:val="00251E02"/>
    <w:rsid w:val="00252576"/>
    <w:rsid w:val="00252934"/>
    <w:rsid w:val="00252CEA"/>
    <w:rsid w:val="00253DE2"/>
    <w:rsid w:val="00254B01"/>
    <w:rsid w:val="00255B22"/>
    <w:rsid w:val="00255E73"/>
    <w:rsid w:val="00255FD1"/>
    <w:rsid w:val="002561D2"/>
    <w:rsid w:val="002568D9"/>
    <w:rsid w:val="002568E9"/>
    <w:rsid w:val="00256F0B"/>
    <w:rsid w:val="00260ECD"/>
    <w:rsid w:val="00261DFD"/>
    <w:rsid w:val="00262FA9"/>
    <w:rsid w:val="00263063"/>
    <w:rsid w:val="002630F6"/>
    <w:rsid w:val="00267453"/>
    <w:rsid w:val="00270715"/>
    <w:rsid w:val="00271B47"/>
    <w:rsid w:val="00272153"/>
    <w:rsid w:val="0027490C"/>
    <w:rsid w:val="00274BC9"/>
    <w:rsid w:val="00275359"/>
    <w:rsid w:val="002762FF"/>
    <w:rsid w:val="00277667"/>
    <w:rsid w:val="00282826"/>
    <w:rsid w:val="00284B98"/>
    <w:rsid w:val="0028503B"/>
    <w:rsid w:val="0028513E"/>
    <w:rsid w:val="00285E08"/>
    <w:rsid w:val="00286E14"/>
    <w:rsid w:val="00287390"/>
    <w:rsid w:val="00290EB0"/>
    <w:rsid w:val="002924EC"/>
    <w:rsid w:val="00292C48"/>
    <w:rsid w:val="00292F41"/>
    <w:rsid w:val="00295476"/>
    <w:rsid w:val="002955EF"/>
    <w:rsid w:val="00295DD5"/>
    <w:rsid w:val="00295F18"/>
    <w:rsid w:val="002962EB"/>
    <w:rsid w:val="00296AF5"/>
    <w:rsid w:val="00297026"/>
    <w:rsid w:val="00297087"/>
    <w:rsid w:val="002977F9"/>
    <w:rsid w:val="002A0114"/>
    <w:rsid w:val="002A0811"/>
    <w:rsid w:val="002A3552"/>
    <w:rsid w:val="002A566D"/>
    <w:rsid w:val="002A5F50"/>
    <w:rsid w:val="002A72B2"/>
    <w:rsid w:val="002A7EA2"/>
    <w:rsid w:val="002B0141"/>
    <w:rsid w:val="002B0D9B"/>
    <w:rsid w:val="002B1C10"/>
    <w:rsid w:val="002B308A"/>
    <w:rsid w:val="002B30C7"/>
    <w:rsid w:val="002B384C"/>
    <w:rsid w:val="002B3D2B"/>
    <w:rsid w:val="002B415C"/>
    <w:rsid w:val="002B6553"/>
    <w:rsid w:val="002B661F"/>
    <w:rsid w:val="002B6B95"/>
    <w:rsid w:val="002B716B"/>
    <w:rsid w:val="002B7453"/>
    <w:rsid w:val="002C0074"/>
    <w:rsid w:val="002C0905"/>
    <w:rsid w:val="002C20C4"/>
    <w:rsid w:val="002C272D"/>
    <w:rsid w:val="002C2B47"/>
    <w:rsid w:val="002C431F"/>
    <w:rsid w:val="002C4EDC"/>
    <w:rsid w:val="002C5003"/>
    <w:rsid w:val="002C53B7"/>
    <w:rsid w:val="002C555D"/>
    <w:rsid w:val="002C5635"/>
    <w:rsid w:val="002C59D5"/>
    <w:rsid w:val="002C5EC3"/>
    <w:rsid w:val="002C6E8D"/>
    <w:rsid w:val="002D01FB"/>
    <w:rsid w:val="002D1DE8"/>
    <w:rsid w:val="002D63F1"/>
    <w:rsid w:val="002D689E"/>
    <w:rsid w:val="002E1871"/>
    <w:rsid w:val="002E1936"/>
    <w:rsid w:val="002E1C9B"/>
    <w:rsid w:val="002E3137"/>
    <w:rsid w:val="002E3756"/>
    <w:rsid w:val="002E444E"/>
    <w:rsid w:val="002E4DB8"/>
    <w:rsid w:val="002E5083"/>
    <w:rsid w:val="002E727C"/>
    <w:rsid w:val="002E74D4"/>
    <w:rsid w:val="002E7BF7"/>
    <w:rsid w:val="002F0D06"/>
    <w:rsid w:val="002F1A3E"/>
    <w:rsid w:val="002F24D1"/>
    <w:rsid w:val="002F2532"/>
    <w:rsid w:val="002F29CE"/>
    <w:rsid w:val="002F2F50"/>
    <w:rsid w:val="002F37E1"/>
    <w:rsid w:val="002F3BBF"/>
    <w:rsid w:val="002F572A"/>
    <w:rsid w:val="002F5B03"/>
    <w:rsid w:val="002F6498"/>
    <w:rsid w:val="00300A3C"/>
    <w:rsid w:val="00301A57"/>
    <w:rsid w:val="00301EF4"/>
    <w:rsid w:val="0030430E"/>
    <w:rsid w:val="00304ABF"/>
    <w:rsid w:val="00305A66"/>
    <w:rsid w:val="00305CBD"/>
    <w:rsid w:val="003102D2"/>
    <w:rsid w:val="0031250D"/>
    <w:rsid w:val="0031445A"/>
    <w:rsid w:val="00317B99"/>
    <w:rsid w:val="00317D47"/>
    <w:rsid w:val="00320BBB"/>
    <w:rsid w:val="003219D1"/>
    <w:rsid w:val="0032280D"/>
    <w:rsid w:val="0032282F"/>
    <w:rsid w:val="003247CD"/>
    <w:rsid w:val="00326C4E"/>
    <w:rsid w:val="00326E21"/>
    <w:rsid w:val="003274D2"/>
    <w:rsid w:val="00331863"/>
    <w:rsid w:val="00332F0D"/>
    <w:rsid w:val="0033473D"/>
    <w:rsid w:val="003366B1"/>
    <w:rsid w:val="00336AEC"/>
    <w:rsid w:val="003372CE"/>
    <w:rsid w:val="00340AE2"/>
    <w:rsid w:val="003420EB"/>
    <w:rsid w:val="00342C7B"/>
    <w:rsid w:val="00343387"/>
    <w:rsid w:val="003458CA"/>
    <w:rsid w:val="00345BB7"/>
    <w:rsid w:val="00345E8A"/>
    <w:rsid w:val="00347E9F"/>
    <w:rsid w:val="00350067"/>
    <w:rsid w:val="00350548"/>
    <w:rsid w:val="00350E8F"/>
    <w:rsid w:val="00351885"/>
    <w:rsid w:val="0035427F"/>
    <w:rsid w:val="00354895"/>
    <w:rsid w:val="003554B7"/>
    <w:rsid w:val="00355FE5"/>
    <w:rsid w:val="003567D4"/>
    <w:rsid w:val="003577C9"/>
    <w:rsid w:val="003614AB"/>
    <w:rsid w:val="00364757"/>
    <w:rsid w:val="00364DFF"/>
    <w:rsid w:val="00365DD6"/>
    <w:rsid w:val="0036711E"/>
    <w:rsid w:val="0037000C"/>
    <w:rsid w:val="003707DE"/>
    <w:rsid w:val="00370D7E"/>
    <w:rsid w:val="0037163A"/>
    <w:rsid w:val="003717CC"/>
    <w:rsid w:val="0037359E"/>
    <w:rsid w:val="00374721"/>
    <w:rsid w:val="00374A67"/>
    <w:rsid w:val="00375F89"/>
    <w:rsid w:val="00381A40"/>
    <w:rsid w:val="00382073"/>
    <w:rsid w:val="0038302D"/>
    <w:rsid w:val="00383C8A"/>
    <w:rsid w:val="003845C3"/>
    <w:rsid w:val="00386869"/>
    <w:rsid w:val="003869BA"/>
    <w:rsid w:val="00386A36"/>
    <w:rsid w:val="003877E1"/>
    <w:rsid w:val="00387E37"/>
    <w:rsid w:val="003918D7"/>
    <w:rsid w:val="00394231"/>
    <w:rsid w:val="0039541E"/>
    <w:rsid w:val="003960E5"/>
    <w:rsid w:val="00396B3F"/>
    <w:rsid w:val="00396CF4"/>
    <w:rsid w:val="00396E59"/>
    <w:rsid w:val="00396EC5"/>
    <w:rsid w:val="003A08F2"/>
    <w:rsid w:val="003A1692"/>
    <w:rsid w:val="003A1BFA"/>
    <w:rsid w:val="003A280D"/>
    <w:rsid w:val="003A4649"/>
    <w:rsid w:val="003A51F0"/>
    <w:rsid w:val="003A615E"/>
    <w:rsid w:val="003A6775"/>
    <w:rsid w:val="003A75FF"/>
    <w:rsid w:val="003B0D1F"/>
    <w:rsid w:val="003B171B"/>
    <w:rsid w:val="003B2723"/>
    <w:rsid w:val="003B3C82"/>
    <w:rsid w:val="003B75D7"/>
    <w:rsid w:val="003B77CE"/>
    <w:rsid w:val="003C00DB"/>
    <w:rsid w:val="003C2612"/>
    <w:rsid w:val="003C27C0"/>
    <w:rsid w:val="003C2A50"/>
    <w:rsid w:val="003C4421"/>
    <w:rsid w:val="003C4BF4"/>
    <w:rsid w:val="003C5EDF"/>
    <w:rsid w:val="003C67C6"/>
    <w:rsid w:val="003C6987"/>
    <w:rsid w:val="003C7D08"/>
    <w:rsid w:val="003D1980"/>
    <w:rsid w:val="003D3791"/>
    <w:rsid w:val="003D4452"/>
    <w:rsid w:val="003D4A68"/>
    <w:rsid w:val="003D5E0D"/>
    <w:rsid w:val="003D6C47"/>
    <w:rsid w:val="003D78D1"/>
    <w:rsid w:val="003D7C3B"/>
    <w:rsid w:val="003E0178"/>
    <w:rsid w:val="003E1734"/>
    <w:rsid w:val="003E1BCE"/>
    <w:rsid w:val="003E3759"/>
    <w:rsid w:val="003E3CC3"/>
    <w:rsid w:val="003E3F04"/>
    <w:rsid w:val="003E435C"/>
    <w:rsid w:val="003E4AE6"/>
    <w:rsid w:val="003E4B44"/>
    <w:rsid w:val="003E72E3"/>
    <w:rsid w:val="003E73A5"/>
    <w:rsid w:val="003F083A"/>
    <w:rsid w:val="003F0F5F"/>
    <w:rsid w:val="003F18CC"/>
    <w:rsid w:val="003F237B"/>
    <w:rsid w:val="003F4FA5"/>
    <w:rsid w:val="003F5AD0"/>
    <w:rsid w:val="003F6FCC"/>
    <w:rsid w:val="004003A9"/>
    <w:rsid w:val="00400467"/>
    <w:rsid w:val="00401C9E"/>
    <w:rsid w:val="00403B92"/>
    <w:rsid w:val="00403E89"/>
    <w:rsid w:val="0040411B"/>
    <w:rsid w:val="00404AF1"/>
    <w:rsid w:val="00404D87"/>
    <w:rsid w:val="0040559E"/>
    <w:rsid w:val="00405693"/>
    <w:rsid w:val="00405A87"/>
    <w:rsid w:val="00406BFB"/>
    <w:rsid w:val="00406F93"/>
    <w:rsid w:val="00410040"/>
    <w:rsid w:val="004125D3"/>
    <w:rsid w:val="00412678"/>
    <w:rsid w:val="00412E19"/>
    <w:rsid w:val="00413DB9"/>
    <w:rsid w:val="00414DE6"/>
    <w:rsid w:val="0041582E"/>
    <w:rsid w:val="00415BA9"/>
    <w:rsid w:val="00416C38"/>
    <w:rsid w:val="00420639"/>
    <w:rsid w:val="00421DBF"/>
    <w:rsid w:val="004235AF"/>
    <w:rsid w:val="004238A7"/>
    <w:rsid w:val="00423E22"/>
    <w:rsid w:val="004240D8"/>
    <w:rsid w:val="0042425D"/>
    <w:rsid w:val="00426387"/>
    <w:rsid w:val="004267C8"/>
    <w:rsid w:val="004269B1"/>
    <w:rsid w:val="00431931"/>
    <w:rsid w:val="00431C13"/>
    <w:rsid w:val="0043357F"/>
    <w:rsid w:val="00434041"/>
    <w:rsid w:val="00434FCC"/>
    <w:rsid w:val="004356F8"/>
    <w:rsid w:val="00435BEA"/>
    <w:rsid w:val="00435CCB"/>
    <w:rsid w:val="004364D2"/>
    <w:rsid w:val="00436B31"/>
    <w:rsid w:val="00437B53"/>
    <w:rsid w:val="00441803"/>
    <w:rsid w:val="0044246C"/>
    <w:rsid w:val="004427F4"/>
    <w:rsid w:val="004438D9"/>
    <w:rsid w:val="00443AED"/>
    <w:rsid w:val="004518DC"/>
    <w:rsid w:val="00452D25"/>
    <w:rsid w:val="004545D8"/>
    <w:rsid w:val="004546EF"/>
    <w:rsid w:val="00454AD2"/>
    <w:rsid w:val="00455CC2"/>
    <w:rsid w:val="00455D7B"/>
    <w:rsid w:val="0045625D"/>
    <w:rsid w:val="00457271"/>
    <w:rsid w:val="00457FF6"/>
    <w:rsid w:val="004628B0"/>
    <w:rsid w:val="00463491"/>
    <w:rsid w:val="00463784"/>
    <w:rsid w:val="00464CF2"/>
    <w:rsid w:val="004667DF"/>
    <w:rsid w:val="00467FCB"/>
    <w:rsid w:val="0047151C"/>
    <w:rsid w:val="00472017"/>
    <w:rsid w:val="00474CF6"/>
    <w:rsid w:val="0047529F"/>
    <w:rsid w:val="00476F02"/>
    <w:rsid w:val="00477E33"/>
    <w:rsid w:val="00477E88"/>
    <w:rsid w:val="00483505"/>
    <w:rsid w:val="004836A5"/>
    <w:rsid w:val="00483BD1"/>
    <w:rsid w:val="004848E4"/>
    <w:rsid w:val="004849E8"/>
    <w:rsid w:val="004855CE"/>
    <w:rsid w:val="00485703"/>
    <w:rsid w:val="00487A66"/>
    <w:rsid w:val="00487D1F"/>
    <w:rsid w:val="00490019"/>
    <w:rsid w:val="0049105E"/>
    <w:rsid w:val="004914D3"/>
    <w:rsid w:val="00491DF4"/>
    <w:rsid w:val="00491E91"/>
    <w:rsid w:val="00493743"/>
    <w:rsid w:val="00494F87"/>
    <w:rsid w:val="00495B15"/>
    <w:rsid w:val="00496481"/>
    <w:rsid w:val="00496F46"/>
    <w:rsid w:val="004A0C6C"/>
    <w:rsid w:val="004A10B0"/>
    <w:rsid w:val="004A12D1"/>
    <w:rsid w:val="004A1976"/>
    <w:rsid w:val="004A1B78"/>
    <w:rsid w:val="004A3CA5"/>
    <w:rsid w:val="004A3F9B"/>
    <w:rsid w:val="004A485D"/>
    <w:rsid w:val="004A65D6"/>
    <w:rsid w:val="004A7F52"/>
    <w:rsid w:val="004B0E84"/>
    <w:rsid w:val="004B3359"/>
    <w:rsid w:val="004B387E"/>
    <w:rsid w:val="004B6023"/>
    <w:rsid w:val="004B6028"/>
    <w:rsid w:val="004B6D64"/>
    <w:rsid w:val="004B6FAA"/>
    <w:rsid w:val="004B7267"/>
    <w:rsid w:val="004B7B10"/>
    <w:rsid w:val="004C21A7"/>
    <w:rsid w:val="004C4A59"/>
    <w:rsid w:val="004C5B75"/>
    <w:rsid w:val="004C66B0"/>
    <w:rsid w:val="004C7F32"/>
    <w:rsid w:val="004D50E8"/>
    <w:rsid w:val="004D56C4"/>
    <w:rsid w:val="004D71F8"/>
    <w:rsid w:val="004D7DE8"/>
    <w:rsid w:val="004E24E3"/>
    <w:rsid w:val="004E3452"/>
    <w:rsid w:val="004E44BF"/>
    <w:rsid w:val="004E5406"/>
    <w:rsid w:val="004E6194"/>
    <w:rsid w:val="004E6398"/>
    <w:rsid w:val="004E6A05"/>
    <w:rsid w:val="004E76B1"/>
    <w:rsid w:val="004E7BD6"/>
    <w:rsid w:val="004F02DD"/>
    <w:rsid w:val="004F0AC7"/>
    <w:rsid w:val="004F1D59"/>
    <w:rsid w:val="00501625"/>
    <w:rsid w:val="0050267B"/>
    <w:rsid w:val="00504948"/>
    <w:rsid w:val="005052C3"/>
    <w:rsid w:val="00505F2C"/>
    <w:rsid w:val="00506EEB"/>
    <w:rsid w:val="00506F82"/>
    <w:rsid w:val="00507C5A"/>
    <w:rsid w:val="005101F7"/>
    <w:rsid w:val="00510567"/>
    <w:rsid w:val="00511882"/>
    <w:rsid w:val="00512089"/>
    <w:rsid w:val="005121EA"/>
    <w:rsid w:val="00512202"/>
    <w:rsid w:val="00512581"/>
    <w:rsid w:val="00513595"/>
    <w:rsid w:val="00514DF0"/>
    <w:rsid w:val="0051554D"/>
    <w:rsid w:val="00517EE1"/>
    <w:rsid w:val="00520127"/>
    <w:rsid w:val="00520B4D"/>
    <w:rsid w:val="00520BDD"/>
    <w:rsid w:val="00521CE9"/>
    <w:rsid w:val="00521F00"/>
    <w:rsid w:val="005220AF"/>
    <w:rsid w:val="005221D5"/>
    <w:rsid w:val="00525F09"/>
    <w:rsid w:val="00526047"/>
    <w:rsid w:val="00527706"/>
    <w:rsid w:val="005306BF"/>
    <w:rsid w:val="005307B4"/>
    <w:rsid w:val="00531CFD"/>
    <w:rsid w:val="00532617"/>
    <w:rsid w:val="00533487"/>
    <w:rsid w:val="00533C3E"/>
    <w:rsid w:val="005345F6"/>
    <w:rsid w:val="00535B33"/>
    <w:rsid w:val="005400C3"/>
    <w:rsid w:val="005400D7"/>
    <w:rsid w:val="00540518"/>
    <w:rsid w:val="005420EC"/>
    <w:rsid w:val="005430BA"/>
    <w:rsid w:val="00543370"/>
    <w:rsid w:val="005442F4"/>
    <w:rsid w:val="005444EC"/>
    <w:rsid w:val="0054712C"/>
    <w:rsid w:val="005555D2"/>
    <w:rsid w:val="0055578F"/>
    <w:rsid w:val="00555E8C"/>
    <w:rsid w:val="00556718"/>
    <w:rsid w:val="0055692F"/>
    <w:rsid w:val="00557B9D"/>
    <w:rsid w:val="0056027A"/>
    <w:rsid w:val="005605F6"/>
    <w:rsid w:val="00560604"/>
    <w:rsid w:val="00560638"/>
    <w:rsid w:val="00560B50"/>
    <w:rsid w:val="0056104F"/>
    <w:rsid w:val="0056356A"/>
    <w:rsid w:val="00563B0A"/>
    <w:rsid w:val="00564E15"/>
    <w:rsid w:val="0056542F"/>
    <w:rsid w:val="00565553"/>
    <w:rsid w:val="00565804"/>
    <w:rsid w:val="00565F43"/>
    <w:rsid w:val="00566374"/>
    <w:rsid w:val="0056670B"/>
    <w:rsid w:val="00566C5D"/>
    <w:rsid w:val="00567505"/>
    <w:rsid w:val="00570CCC"/>
    <w:rsid w:val="00571EA9"/>
    <w:rsid w:val="00572285"/>
    <w:rsid w:val="005726E5"/>
    <w:rsid w:val="00575BBF"/>
    <w:rsid w:val="00576381"/>
    <w:rsid w:val="005767A7"/>
    <w:rsid w:val="005770FC"/>
    <w:rsid w:val="0058056F"/>
    <w:rsid w:val="00580F8F"/>
    <w:rsid w:val="0058425E"/>
    <w:rsid w:val="00584F45"/>
    <w:rsid w:val="0058528C"/>
    <w:rsid w:val="005853B5"/>
    <w:rsid w:val="005877D1"/>
    <w:rsid w:val="00587E2A"/>
    <w:rsid w:val="0059144B"/>
    <w:rsid w:val="00591569"/>
    <w:rsid w:val="00591581"/>
    <w:rsid w:val="00591783"/>
    <w:rsid w:val="0059252A"/>
    <w:rsid w:val="00592ECA"/>
    <w:rsid w:val="005933D5"/>
    <w:rsid w:val="00594544"/>
    <w:rsid w:val="005952F2"/>
    <w:rsid w:val="00595D63"/>
    <w:rsid w:val="005A2B2F"/>
    <w:rsid w:val="005A3BC5"/>
    <w:rsid w:val="005A441F"/>
    <w:rsid w:val="005A4D7F"/>
    <w:rsid w:val="005A549F"/>
    <w:rsid w:val="005A65E1"/>
    <w:rsid w:val="005A783D"/>
    <w:rsid w:val="005B0763"/>
    <w:rsid w:val="005B3988"/>
    <w:rsid w:val="005B6D6A"/>
    <w:rsid w:val="005B7DE8"/>
    <w:rsid w:val="005C15E3"/>
    <w:rsid w:val="005C1F56"/>
    <w:rsid w:val="005C20A9"/>
    <w:rsid w:val="005C299C"/>
    <w:rsid w:val="005C417D"/>
    <w:rsid w:val="005C4245"/>
    <w:rsid w:val="005C5A15"/>
    <w:rsid w:val="005C5C6F"/>
    <w:rsid w:val="005C5CDA"/>
    <w:rsid w:val="005C6976"/>
    <w:rsid w:val="005C7296"/>
    <w:rsid w:val="005D11B8"/>
    <w:rsid w:val="005D1ACF"/>
    <w:rsid w:val="005D22B5"/>
    <w:rsid w:val="005D3F6E"/>
    <w:rsid w:val="005D405E"/>
    <w:rsid w:val="005D41CB"/>
    <w:rsid w:val="005D41E7"/>
    <w:rsid w:val="005D5FDE"/>
    <w:rsid w:val="005D6F68"/>
    <w:rsid w:val="005E05D5"/>
    <w:rsid w:val="005E0666"/>
    <w:rsid w:val="005E1AFC"/>
    <w:rsid w:val="005E46FE"/>
    <w:rsid w:val="005E6D48"/>
    <w:rsid w:val="005E713F"/>
    <w:rsid w:val="005E7460"/>
    <w:rsid w:val="005F152F"/>
    <w:rsid w:val="005F4A2C"/>
    <w:rsid w:val="005F4C89"/>
    <w:rsid w:val="005F4E42"/>
    <w:rsid w:val="005F615B"/>
    <w:rsid w:val="005F6200"/>
    <w:rsid w:val="00602243"/>
    <w:rsid w:val="00602EF3"/>
    <w:rsid w:val="00603A83"/>
    <w:rsid w:val="00603BB9"/>
    <w:rsid w:val="00605A4F"/>
    <w:rsid w:val="00605D9E"/>
    <w:rsid w:val="00605E84"/>
    <w:rsid w:val="00610BE7"/>
    <w:rsid w:val="00611B59"/>
    <w:rsid w:val="0061264B"/>
    <w:rsid w:val="0061265A"/>
    <w:rsid w:val="00612C5F"/>
    <w:rsid w:val="006136FF"/>
    <w:rsid w:val="006143EF"/>
    <w:rsid w:val="00614446"/>
    <w:rsid w:val="0061472D"/>
    <w:rsid w:val="0061623D"/>
    <w:rsid w:val="006209E6"/>
    <w:rsid w:val="006223E8"/>
    <w:rsid w:val="00623A35"/>
    <w:rsid w:val="00623B90"/>
    <w:rsid w:val="00624BB1"/>
    <w:rsid w:val="00625B89"/>
    <w:rsid w:val="00626918"/>
    <w:rsid w:val="006305F7"/>
    <w:rsid w:val="0063072F"/>
    <w:rsid w:val="00630EC8"/>
    <w:rsid w:val="00632499"/>
    <w:rsid w:val="00632A99"/>
    <w:rsid w:val="00632ADD"/>
    <w:rsid w:val="00633DDF"/>
    <w:rsid w:val="00634FC7"/>
    <w:rsid w:val="006352AE"/>
    <w:rsid w:val="0063608D"/>
    <w:rsid w:val="00636805"/>
    <w:rsid w:val="00636FC6"/>
    <w:rsid w:val="0063744B"/>
    <w:rsid w:val="00637841"/>
    <w:rsid w:val="00637F7E"/>
    <w:rsid w:val="00640123"/>
    <w:rsid w:val="00640BF9"/>
    <w:rsid w:val="00640D0E"/>
    <w:rsid w:val="0064170D"/>
    <w:rsid w:val="00641EFA"/>
    <w:rsid w:val="00642354"/>
    <w:rsid w:val="00643B60"/>
    <w:rsid w:val="00644660"/>
    <w:rsid w:val="00646E3A"/>
    <w:rsid w:val="00651629"/>
    <w:rsid w:val="006528A5"/>
    <w:rsid w:val="00652A3C"/>
    <w:rsid w:val="006533D1"/>
    <w:rsid w:val="00653A1E"/>
    <w:rsid w:val="00653BFC"/>
    <w:rsid w:val="00653DCD"/>
    <w:rsid w:val="006544B9"/>
    <w:rsid w:val="006545BD"/>
    <w:rsid w:val="0065529F"/>
    <w:rsid w:val="00655EFB"/>
    <w:rsid w:val="0065648F"/>
    <w:rsid w:val="0065737D"/>
    <w:rsid w:val="00657BC6"/>
    <w:rsid w:val="00661077"/>
    <w:rsid w:val="0066387B"/>
    <w:rsid w:val="006646AA"/>
    <w:rsid w:val="006650A9"/>
    <w:rsid w:val="0066602B"/>
    <w:rsid w:val="00666544"/>
    <w:rsid w:val="006675AC"/>
    <w:rsid w:val="006678DF"/>
    <w:rsid w:val="00671331"/>
    <w:rsid w:val="00671530"/>
    <w:rsid w:val="00671589"/>
    <w:rsid w:val="00671BD7"/>
    <w:rsid w:val="006726FD"/>
    <w:rsid w:val="00674626"/>
    <w:rsid w:val="00675520"/>
    <w:rsid w:val="00675823"/>
    <w:rsid w:val="00676B6E"/>
    <w:rsid w:val="006777CF"/>
    <w:rsid w:val="0068059A"/>
    <w:rsid w:val="00680BFD"/>
    <w:rsid w:val="00681162"/>
    <w:rsid w:val="006813DE"/>
    <w:rsid w:val="00681B83"/>
    <w:rsid w:val="00683FF4"/>
    <w:rsid w:val="00685E45"/>
    <w:rsid w:val="00686D87"/>
    <w:rsid w:val="00687489"/>
    <w:rsid w:val="00687C9D"/>
    <w:rsid w:val="006909DA"/>
    <w:rsid w:val="0069134B"/>
    <w:rsid w:val="00691D2D"/>
    <w:rsid w:val="00691E60"/>
    <w:rsid w:val="00692CF7"/>
    <w:rsid w:val="00693010"/>
    <w:rsid w:val="00693F7A"/>
    <w:rsid w:val="0069438C"/>
    <w:rsid w:val="00694E24"/>
    <w:rsid w:val="00696C5D"/>
    <w:rsid w:val="00697D7F"/>
    <w:rsid w:val="006A0836"/>
    <w:rsid w:val="006A1088"/>
    <w:rsid w:val="006A1D8F"/>
    <w:rsid w:val="006A322A"/>
    <w:rsid w:val="006A3AED"/>
    <w:rsid w:val="006A4AD6"/>
    <w:rsid w:val="006A6207"/>
    <w:rsid w:val="006B2510"/>
    <w:rsid w:val="006B2A9A"/>
    <w:rsid w:val="006B378A"/>
    <w:rsid w:val="006B382C"/>
    <w:rsid w:val="006C0B4A"/>
    <w:rsid w:val="006C1BE3"/>
    <w:rsid w:val="006C2212"/>
    <w:rsid w:val="006C2292"/>
    <w:rsid w:val="006C42AB"/>
    <w:rsid w:val="006C44DA"/>
    <w:rsid w:val="006D2E9B"/>
    <w:rsid w:val="006D30EA"/>
    <w:rsid w:val="006D3175"/>
    <w:rsid w:val="006D3E98"/>
    <w:rsid w:val="006D3F2F"/>
    <w:rsid w:val="006D4829"/>
    <w:rsid w:val="006D534B"/>
    <w:rsid w:val="006D56C4"/>
    <w:rsid w:val="006D58A5"/>
    <w:rsid w:val="006D63BD"/>
    <w:rsid w:val="006D67CA"/>
    <w:rsid w:val="006E2EF4"/>
    <w:rsid w:val="006E35CD"/>
    <w:rsid w:val="006E5F88"/>
    <w:rsid w:val="006E6A3B"/>
    <w:rsid w:val="006E79C6"/>
    <w:rsid w:val="006F079C"/>
    <w:rsid w:val="006F1621"/>
    <w:rsid w:val="006F2202"/>
    <w:rsid w:val="006F4CBB"/>
    <w:rsid w:val="006F56A5"/>
    <w:rsid w:val="006F5E2F"/>
    <w:rsid w:val="006F7CD6"/>
    <w:rsid w:val="006F7E91"/>
    <w:rsid w:val="00700722"/>
    <w:rsid w:val="00703251"/>
    <w:rsid w:val="00703422"/>
    <w:rsid w:val="0070524A"/>
    <w:rsid w:val="007053DB"/>
    <w:rsid w:val="007064B1"/>
    <w:rsid w:val="00706A74"/>
    <w:rsid w:val="00711A5B"/>
    <w:rsid w:val="00711E89"/>
    <w:rsid w:val="007125CD"/>
    <w:rsid w:val="00712C73"/>
    <w:rsid w:val="007135D8"/>
    <w:rsid w:val="0071536F"/>
    <w:rsid w:val="007173DA"/>
    <w:rsid w:val="007178C0"/>
    <w:rsid w:val="00720247"/>
    <w:rsid w:val="0072093B"/>
    <w:rsid w:val="00720C27"/>
    <w:rsid w:val="007210CE"/>
    <w:rsid w:val="00721219"/>
    <w:rsid w:val="00722CBE"/>
    <w:rsid w:val="00723911"/>
    <w:rsid w:val="00723EF2"/>
    <w:rsid w:val="00724B71"/>
    <w:rsid w:val="00724FC9"/>
    <w:rsid w:val="00725920"/>
    <w:rsid w:val="007261DC"/>
    <w:rsid w:val="00726852"/>
    <w:rsid w:val="007301A2"/>
    <w:rsid w:val="0073327F"/>
    <w:rsid w:val="0073396E"/>
    <w:rsid w:val="007352A2"/>
    <w:rsid w:val="0073576E"/>
    <w:rsid w:val="00736966"/>
    <w:rsid w:val="00737974"/>
    <w:rsid w:val="00740F85"/>
    <w:rsid w:val="0074251D"/>
    <w:rsid w:val="0074253B"/>
    <w:rsid w:val="00742D93"/>
    <w:rsid w:val="00742FEB"/>
    <w:rsid w:val="0074668D"/>
    <w:rsid w:val="0074772C"/>
    <w:rsid w:val="007506A1"/>
    <w:rsid w:val="00751D6C"/>
    <w:rsid w:val="00751EBF"/>
    <w:rsid w:val="00752DC1"/>
    <w:rsid w:val="00752FBE"/>
    <w:rsid w:val="00754E60"/>
    <w:rsid w:val="007561A7"/>
    <w:rsid w:val="00756222"/>
    <w:rsid w:val="00756CE7"/>
    <w:rsid w:val="007601C6"/>
    <w:rsid w:val="00760CEF"/>
    <w:rsid w:val="0076172D"/>
    <w:rsid w:val="00761AF1"/>
    <w:rsid w:val="00761FFA"/>
    <w:rsid w:val="00763506"/>
    <w:rsid w:val="007640EF"/>
    <w:rsid w:val="00764B2E"/>
    <w:rsid w:val="00764EBE"/>
    <w:rsid w:val="007676A7"/>
    <w:rsid w:val="0077051E"/>
    <w:rsid w:val="007707E1"/>
    <w:rsid w:val="00771533"/>
    <w:rsid w:val="00772137"/>
    <w:rsid w:val="007727F4"/>
    <w:rsid w:val="007760F4"/>
    <w:rsid w:val="0077681D"/>
    <w:rsid w:val="007771C7"/>
    <w:rsid w:val="0077753F"/>
    <w:rsid w:val="0078059B"/>
    <w:rsid w:val="007817E0"/>
    <w:rsid w:val="00781873"/>
    <w:rsid w:val="00781AC1"/>
    <w:rsid w:val="007843D6"/>
    <w:rsid w:val="00784B66"/>
    <w:rsid w:val="007857B9"/>
    <w:rsid w:val="00785A0E"/>
    <w:rsid w:val="00787456"/>
    <w:rsid w:val="00790C40"/>
    <w:rsid w:val="007915FF"/>
    <w:rsid w:val="007921DC"/>
    <w:rsid w:val="00792742"/>
    <w:rsid w:val="007961C5"/>
    <w:rsid w:val="007964A3"/>
    <w:rsid w:val="007967E4"/>
    <w:rsid w:val="00797D85"/>
    <w:rsid w:val="007A06C5"/>
    <w:rsid w:val="007A1CED"/>
    <w:rsid w:val="007A2552"/>
    <w:rsid w:val="007A3D49"/>
    <w:rsid w:val="007A4EE4"/>
    <w:rsid w:val="007A4FBC"/>
    <w:rsid w:val="007A771F"/>
    <w:rsid w:val="007B02F9"/>
    <w:rsid w:val="007B1F49"/>
    <w:rsid w:val="007B5DE9"/>
    <w:rsid w:val="007B6110"/>
    <w:rsid w:val="007C035E"/>
    <w:rsid w:val="007C0839"/>
    <w:rsid w:val="007C0D38"/>
    <w:rsid w:val="007C4E30"/>
    <w:rsid w:val="007C65E0"/>
    <w:rsid w:val="007C7F96"/>
    <w:rsid w:val="007D019E"/>
    <w:rsid w:val="007D08F2"/>
    <w:rsid w:val="007D0C59"/>
    <w:rsid w:val="007D123A"/>
    <w:rsid w:val="007D21D5"/>
    <w:rsid w:val="007D3480"/>
    <w:rsid w:val="007D366D"/>
    <w:rsid w:val="007D6B6E"/>
    <w:rsid w:val="007E0EF9"/>
    <w:rsid w:val="007E112B"/>
    <w:rsid w:val="007E3DB8"/>
    <w:rsid w:val="007E6809"/>
    <w:rsid w:val="007E686C"/>
    <w:rsid w:val="007E7BD5"/>
    <w:rsid w:val="007F0509"/>
    <w:rsid w:val="007F1722"/>
    <w:rsid w:val="007F2313"/>
    <w:rsid w:val="007F3A81"/>
    <w:rsid w:val="007F4360"/>
    <w:rsid w:val="007F4B7C"/>
    <w:rsid w:val="007F4B92"/>
    <w:rsid w:val="007F4D24"/>
    <w:rsid w:val="007F62BD"/>
    <w:rsid w:val="007F6A18"/>
    <w:rsid w:val="007F6F7A"/>
    <w:rsid w:val="00800ED7"/>
    <w:rsid w:val="00801091"/>
    <w:rsid w:val="00801C4C"/>
    <w:rsid w:val="0080285A"/>
    <w:rsid w:val="00803463"/>
    <w:rsid w:val="008046F6"/>
    <w:rsid w:val="0080485D"/>
    <w:rsid w:val="00804C03"/>
    <w:rsid w:val="00804DA7"/>
    <w:rsid w:val="0080650C"/>
    <w:rsid w:val="00807424"/>
    <w:rsid w:val="00810BE2"/>
    <w:rsid w:val="00810E00"/>
    <w:rsid w:val="00811EF4"/>
    <w:rsid w:val="00812042"/>
    <w:rsid w:val="00812B20"/>
    <w:rsid w:val="008142B9"/>
    <w:rsid w:val="0081476B"/>
    <w:rsid w:val="00815C98"/>
    <w:rsid w:val="00816579"/>
    <w:rsid w:val="0081753A"/>
    <w:rsid w:val="008176ED"/>
    <w:rsid w:val="00817F4C"/>
    <w:rsid w:val="00820943"/>
    <w:rsid w:val="00822570"/>
    <w:rsid w:val="00822A60"/>
    <w:rsid w:val="00822BA9"/>
    <w:rsid w:val="00824801"/>
    <w:rsid w:val="00825391"/>
    <w:rsid w:val="00825576"/>
    <w:rsid w:val="00825EF7"/>
    <w:rsid w:val="00826B36"/>
    <w:rsid w:val="00826B46"/>
    <w:rsid w:val="00834C3D"/>
    <w:rsid w:val="008355B8"/>
    <w:rsid w:val="0083561B"/>
    <w:rsid w:val="008367DC"/>
    <w:rsid w:val="00840C66"/>
    <w:rsid w:val="00840CF6"/>
    <w:rsid w:val="00846E56"/>
    <w:rsid w:val="00847C76"/>
    <w:rsid w:val="00850A8D"/>
    <w:rsid w:val="00850AF1"/>
    <w:rsid w:val="00850F9F"/>
    <w:rsid w:val="008518FE"/>
    <w:rsid w:val="00851ADD"/>
    <w:rsid w:val="00851EAA"/>
    <w:rsid w:val="00852F65"/>
    <w:rsid w:val="008547A9"/>
    <w:rsid w:val="00854BF1"/>
    <w:rsid w:val="00855F87"/>
    <w:rsid w:val="008571C6"/>
    <w:rsid w:val="00861279"/>
    <w:rsid w:val="0086243E"/>
    <w:rsid w:val="00862741"/>
    <w:rsid w:val="0086341E"/>
    <w:rsid w:val="008637AD"/>
    <w:rsid w:val="008637F1"/>
    <w:rsid w:val="0086480F"/>
    <w:rsid w:val="008702F0"/>
    <w:rsid w:val="0087126F"/>
    <w:rsid w:val="00871E83"/>
    <w:rsid w:val="0087256B"/>
    <w:rsid w:val="008741B2"/>
    <w:rsid w:val="00876E1A"/>
    <w:rsid w:val="008823B5"/>
    <w:rsid w:val="008829BC"/>
    <w:rsid w:val="00883726"/>
    <w:rsid w:val="00883B21"/>
    <w:rsid w:val="00883EF4"/>
    <w:rsid w:val="0088516D"/>
    <w:rsid w:val="008858B8"/>
    <w:rsid w:val="008873A0"/>
    <w:rsid w:val="00890025"/>
    <w:rsid w:val="00892404"/>
    <w:rsid w:val="00892C59"/>
    <w:rsid w:val="00893486"/>
    <w:rsid w:val="00893493"/>
    <w:rsid w:val="00894CFB"/>
    <w:rsid w:val="00895A06"/>
    <w:rsid w:val="00895A16"/>
    <w:rsid w:val="008962D2"/>
    <w:rsid w:val="0089648B"/>
    <w:rsid w:val="008972B4"/>
    <w:rsid w:val="00897A94"/>
    <w:rsid w:val="00897D61"/>
    <w:rsid w:val="008A0012"/>
    <w:rsid w:val="008A18C3"/>
    <w:rsid w:val="008A1D7C"/>
    <w:rsid w:val="008A1F16"/>
    <w:rsid w:val="008A24E4"/>
    <w:rsid w:val="008A259A"/>
    <w:rsid w:val="008A359C"/>
    <w:rsid w:val="008A3EF8"/>
    <w:rsid w:val="008A5061"/>
    <w:rsid w:val="008A59AD"/>
    <w:rsid w:val="008A6C71"/>
    <w:rsid w:val="008A7D17"/>
    <w:rsid w:val="008B0F03"/>
    <w:rsid w:val="008B2914"/>
    <w:rsid w:val="008B2954"/>
    <w:rsid w:val="008B427F"/>
    <w:rsid w:val="008B4AE4"/>
    <w:rsid w:val="008B5417"/>
    <w:rsid w:val="008B5AD0"/>
    <w:rsid w:val="008B6523"/>
    <w:rsid w:val="008C01FC"/>
    <w:rsid w:val="008C08A5"/>
    <w:rsid w:val="008C2834"/>
    <w:rsid w:val="008C486E"/>
    <w:rsid w:val="008C4DC6"/>
    <w:rsid w:val="008C54CE"/>
    <w:rsid w:val="008C5F55"/>
    <w:rsid w:val="008D2363"/>
    <w:rsid w:val="008D3130"/>
    <w:rsid w:val="008D5529"/>
    <w:rsid w:val="008D5F45"/>
    <w:rsid w:val="008D7209"/>
    <w:rsid w:val="008E166B"/>
    <w:rsid w:val="008E2172"/>
    <w:rsid w:val="008E2760"/>
    <w:rsid w:val="008E2F53"/>
    <w:rsid w:val="008E3B38"/>
    <w:rsid w:val="008E3DCF"/>
    <w:rsid w:val="008E3F33"/>
    <w:rsid w:val="008E55F1"/>
    <w:rsid w:val="008F0A28"/>
    <w:rsid w:val="008F10B5"/>
    <w:rsid w:val="008F1113"/>
    <w:rsid w:val="008F16DA"/>
    <w:rsid w:val="008F1B87"/>
    <w:rsid w:val="008F5048"/>
    <w:rsid w:val="008F572A"/>
    <w:rsid w:val="008F62FC"/>
    <w:rsid w:val="008F7AD2"/>
    <w:rsid w:val="00900793"/>
    <w:rsid w:val="00901453"/>
    <w:rsid w:val="00902AC5"/>
    <w:rsid w:val="009038C3"/>
    <w:rsid w:val="0090409C"/>
    <w:rsid w:val="009047A4"/>
    <w:rsid w:val="009059A1"/>
    <w:rsid w:val="00905C56"/>
    <w:rsid w:val="0090621D"/>
    <w:rsid w:val="00907F28"/>
    <w:rsid w:val="00913FB7"/>
    <w:rsid w:val="009145BC"/>
    <w:rsid w:val="009153EB"/>
    <w:rsid w:val="009166D6"/>
    <w:rsid w:val="0092072D"/>
    <w:rsid w:val="00920FA5"/>
    <w:rsid w:val="00921303"/>
    <w:rsid w:val="009221B1"/>
    <w:rsid w:val="00922CDB"/>
    <w:rsid w:val="009236D3"/>
    <w:rsid w:val="00924103"/>
    <w:rsid w:val="00924DAF"/>
    <w:rsid w:val="00927077"/>
    <w:rsid w:val="0093088E"/>
    <w:rsid w:val="00931C46"/>
    <w:rsid w:val="00932E8C"/>
    <w:rsid w:val="0093496D"/>
    <w:rsid w:val="00936EF5"/>
    <w:rsid w:val="0093745D"/>
    <w:rsid w:val="009377CA"/>
    <w:rsid w:val="00941C8C"/>
    <w:rsid w:val="00942140"/>
    <w:rsid w:val="00942896"/>
    <w:rsid w:val="009440BF"/>
    <w:rsid w:val="009452D4"/>
    <w:rsid w:val="00946426"/>
    <w:rsid w:val="009476C5"/>
    <w:rsid w:val="00947D68"/>
    <w:rsid w:val="009513A2"/>
    <w:rsid w:val="009520F1"/>
    <w:rsid w:val="0095221B"/>
    <w:rsid w:val="009522D6"/>
    <w:rsid w:val="00952EDA"/>
    <w:rsid w:val="0095466E"/>
    <w:rsid w:val="00955407"/>
    <w:rsid w:val="00955BFA"/>
    <w:rsid w:val="00956D54"/>
    <w:rsid w:val="00957AD5"/>
    <w:rsid w:val="00962116"/>
    <w:rsid w:val="00963BDB"/>
    <w:rsid w:val="0096586C"/>
    <w:rsid w:val="00966207"/>
    <w:rsid w:val="009667BA"/>
    <w:rsid w:val="0096724D"/>
    <w:rsid w:val="0096733F"/>
    <w:rsid w:val="00967962"/>
    <w:rsid w:val="00970784"/>
    <w:rsid w:val="009713CC"/>
    <w:rsid w:val="00972267"/>
    <w:rsid w:val="0097601E"/>
    <w:rsid w:val="0097610B"/>
    <w:rsid w:val="009806EC"/>
    <w:rsid w:val="00981715"/>
    <w:rsid w:val="0098527D"/>
    <w:rsid w:val="00987266"/>
    <w:rsid w:val="0099121A"/>
    <w:rsid w:val="009916B3"/>
    <w:rsid w:val="00991A8E"/>
    <w:rsid w:val="00991C3E"/>
    <w:rsid w:val="0099202C"/>
    <w:rsid w:val="009939C4"/>
    <w:rsid w:val="009950B9"/>
    <w:rsid w:val="009976C4"/>
    <w:rsid w:val="00997A52"/>
    <w:rsid w:val="009A154A"/>
    <w:rsid w:val="009A21F7"/>
    <w:rsid w:val="009A2D97"/>
    <w:rsid w:val="009A3297"/>
    <w:rsid w:val="009A375D"/>
    <w:rsid w:val="009B2991"/>
    <w:rsid w:val="009B35B2"/>
    <w:rsid w:val="009B3AC7"/>
    <w:rsid w:val="009B4524"/>
    <w:rsid w:val="009B5E75"/>
    <w:rsid w:val="009B749F"/>
    <w:rsid w:val="009C0422"/>
    <w:rsid w:val="009C092F"/>
    <w:rsid w:val="009C1378"/>
    <w:rsid w:val="009C1714"/>
    <w:rsid w:val="009C17C0"/>
    <w:rsid w:val="009C2C9A"/>
    <w:rsid w:val="009C36C9"/>
    <w:rsid w:val="009C3A90"/>
    <w:rsid w:val="009C3C18"/>
    <w:rsid w:val="009C4018"/>
    <w:rsid w:val="009C404F"/>
    <w:rsid w:val="009C6D0B"/>
    <w:rsid w:val="009D0239"/>
    <w:rsid w:val="009D03C7"/>
    <w:rsid w:val="009D0C1E"/>
    <w:rsid w:val="009D10FB"/>
    <w:rsid w:val="009D24BE"/>
    <w:rsid w:val="009D2C54"/>
    <w:rsid w:val="009D6251"/>
    <w:rsid w:val="009D628D"/>
    <w:rsid w:val="009D7F87"/>
    <w:rsid w:val="009E08F3"/>
    <w:rsid w:val="009E1A4B"/>
    <w:rsid w:val="009E2281"/>
    <w:rsid w:val="009E23DD"/>
    <w:rsid w:val="009E3816"/>
    <w:rsid w:val="009E4682"/>
    <w:rsid w:val="009E48F1"/>
    <w:rsid w:val="009E53B4"/>
    <w:rsid w:val="009E5A1C"/>
    <w:rsid w:val="009E5B0E"/>
    <w:rsid w:val="009E6779"/>
    <w:rsid w:val="009E6997"/>
    <w:rsid w:val="009E6E65"/>
    <w:rsid w:val="009E71FB"/>
    <w:rsid w:val="009F0110"/>
    <w:rsid w:val="009F0CFD"/>
    <w:rsid w:val="009F0E62"/>
    <w:rsid w:val="009F22E0"/>
    <w:rsid w:val="009F3049"/>
    <w:rsid w:val="009F384B"/>
    <w:rsid w:val="009F5439"/>
    <w:rsid w:val="009F5707"/>
    <w:rsid w:val="009F5985"/>
    <w:rsid w:val="009F65B5"/>
    <w:rsid w:val="00A013BA"/>
    <w:rsid w:val="00A01CD0"/>
    <w:rsid w:val="00A02D3D"/>
    <w:rsid w:val="00A0340A"/>
    <w:rsid w:val="00A04021"/>
    <w:rsid w:val="00A04ECF"/>
    <w:rsid w:val="00A053B8"/>
    <w:rsid w:val="00A056CF"/>
    <w:rsid w:val="00A05D61"/>
    <w:rsid w:val="00A06693"/>
    <w:rsid w:val="00A06C78"/>
    <w:rsid w:val="00A0744F"/>
    <w:rsid w:val="00A0797D"/>
    <w:rsid w:val="00A10635"/>
    <w:rsid w:val="00A12213"/>
    <w:rsid w:val="00A14CF2"/>
    <w:rsid w:val="00A1565A"/>
    <w:rsid w:val="00A163F2"/>
    <w:rsid w:val="00A1772A"/>
    <w:rsid w:val="00A17984"/>
    <w:rsid w:val="00A2131A"/>
    <w:rsid w:val="00A220F0"/>
    <w:rsid w:val="00A227BF"/>
    <w:rsid w:val="00A23451"/>
    <w:rsid w:val="00A236F3"/>
    <w:rsid w:val="00A2416B"/>
    <w:rsid w:val="00A24D35"/>
    <w:rsid w:val="00A25173"/>
    <w:rsid w:val="00A30128"/>
    <w:rsid w:val="00A302C7"/>
    <w:rsid w:val="00A3171D"/>
    <w:rsid w:val="00A31AE0"/>
    <w:rsid w:val="00A324C9"/>
    <w:rsid w:val="00A336A7"/>
    <w:rsid w:val="00A35DCE"/>
    <w:rsid w:val="00A35FC7"/>
    <w:rsid w:val="00A36C73"/>
    <w:rsid w:val="00A3756D"/>
    <w:rsid w:val="00A4046B"/>
    <w:rsid w:val="00A41B15"/>
    <w:rsid w:val="00A4354A"/>
    <w:rsid w:val="00A44026"/>
    <w:rsid w:val="00A44329"/>
    <w:rsid w:val="00A44FE6"/>
    <w:rsid w:val="00A45BF6"/>
    <w:rsid w:val="00A46D25"/>
    <w:rsid w:val="00A47153"/>
    <w:rsid w:val="00A50B92"/>
    <w:rsid w:val="00A50F00"/>
    <w:rsid w:val="00A52909"/>
    <w:rsid w:val="00A52963"/>
    <w:rsid w:val="00A53557"/>
    <w:rsid w:val="00A5368F"/>
    <w:rsid w:val="00A5469D"/>
    <w:rsid w:val="00A54DA6"/>
    <w:rsid w:val="00A607DA"/>
    <w:rsid w:val="00A6199B"/>
    <w:rsid w:val="00A626C2"/>
    <w:rsid w:val="00A628C2"/>
    <w:rsid w:val="00A66583"/>
    <w:rsid w:val="00A6686A"/>
    <w:rsid w:val="00A66C1A"/>
    <w:rsid w:val="00A70516"/>
    <w:rsid w:val="00A7106D"/>
    <w:rsid w:val="00A7163C"/>
    <w:rsid w:val="00A71738"/>
    <w:rsid w:val="00A71BAC"/>
    <w:rsid w:val="00A73ED2"/>
    <w:rsid w:val="00A745FE"/>
    <w:rsid w:val="00A74A83"/>
    <w:rsid w:val="00A75093"/>
    <w:rsid w:val="00A761D1"/>
    <w:rsid w:val="00A7657F"/>
    <w:rsid w:val="00A76C89"/>
    <w:rsid w:val="00A83786"/>
    <w:rsid w:val="00A84D33"/>
    <w:rsid w:val="00A86E46"/>
    <w:rsid w:val="00A87DFF"/>
    <w:rsid w:val="00A918B6"/>
    <w:rsid w:val="00A91AAE"/>
    <w:rsid w:val="00A929FB"/>
    <w:rsid w:val="00A92BE8"/>
    <w:rsid w:val="00A94177"/>
    <w:rsid w:val="00A948C3"/>
    <w:rsid w:val="00A94DEE"/>
    <w:rsid w:val="00A94DF6"/>
    <w:rsid w:val="00A94F7C"/>
    <w:rsid w:val="00A9569E"/>
    <w:rsid w:val="00A9710E"/>
    <w:rsid w:val="00AA330B"/>
    <w:rsid w:val="00AA5750"/>
    <w:rsid w:val="00AA60AA"/>
    <w:rsid w:val="00AA682B"/>
    <w:rsid w:val="00AB1A5B"/>
    <w:rsid w:val="00AB2137"/>
    <w:rsid w:val="00AB2B13"/>
    <w:rsid w:val="00AB31CF"/>
    <w:rsid w:val="00AB3805"/>
    <w:rsid w:val="00AB3F95"/>
    <w:rsid w:val="00AB607E"/>
    <w:rsid w:val="00AB6622"/>
    <w:rsid w:val="00AC2B39"/>
    <w:rsid w:val="00AC31D0"/>
    <w:rsid w:val="00AC52E8"/>
    <w:rsid w:val="00AC6035"/>
    <w:rsid w:val="00AC7493"/>
    <w:rsid w:val="00AD0B26"/>
    <w:rsid w:val="00AD23B8"/>
    <w:rsid w:val="00AD46EE"/>
    <w:rsid w:val="00AD48D8"/>
    <w:rsid w:val="00AD62AE"/>
    <w:rsid w:val="00AD78AB"/>
    <w:rsid w:val="00AE26B3"/>
    <w:rsid w:val="00AE3799"/>
    <w:rsid w:val="00AE3EE7"/>
    <w:rsid w:val="00AE453A"/>
    <w:rsid w:val="00AE50C9"/>
    <w:rsid w:val="00AE553B"/>
    <w:rsid w:val="00AE5D36"/>
    <w:rsid w:val="00AE648C"/>
    <w:rsid w:val="00AE688C"/>
    <w:rsid w:val="00AE7769"/>
    <w:rsid w:val="00AF03E1"/>
    <w:rsid w:val="00AF1C6B"/>
    <w:rsid w:val="00AF1C98"/>
    <w:rsid w:val="00AF26B2"/>
    <w:rsid w:val="00AF2F74"/>
    <w:rsid w:val="00AF7CAE"/>
    <w:rsid w:val="00B001B3"/>
    <w:rsid w:val="00B006E6"/>
    <w:rsid w:val="00B01714"/>
    <w:rsid w:val="00B02A27"/>
    <w:rsid w:val="00B031D9"/>
    <w:rsid w:val="00B03220"/>
    <w:rsid w:val="00B03361"/>
    <w:rsid w:val="00B055AB"/>
    <w:rsid w:val="00B06BF6"/>
    <w:rsid w:val="00B073A3"/>
    <w:rsid w:val="00B079C1"/>
    <w:rsid w:val="00B07F7C"/>
    <w:rsid w:val="00B1148A"/>
    <w:rsid w:val="00B11809"/>
    <w:rsid w:val="00B1184B"/>
    <w:rsid w:val="00B13C8F"/>
    <w:rsid w:val="00B140F1"/>
    <w:rsid w:val="00B14B36"/>
    <w:rsid w:val="00B15511"/>
    <w:rsid w:val="00B155BC"/>
    <w:rsid w:val="00B165A4"/>
    <w:rsid w:val="00B16BF2"/>
    <w:rsid w:val="00B21E97"/>
    <w:rsid w:val="00B229BF"/>
    <w:rsid w:val="00B22E41"/>
    <w:rsid w:val="00B23011"/>
    <w:rsid w:val="00B24CC7"/>
    <w:rsid w:val="00B25F07"/>
    <w:rsid w:val="00B308A3"/>
    <w:rsid w:val="00B310EE"/>
    <w:rsid w:val="00B316CE"/>
    <w:rsid w:val="00B3307B"/>
    <w:rsid w:val="00B33EEB"/>
    <w:rsid w:val="00B34C4C"/>
    <w:rsid w:val="00B34CDF"/>
    <w:rsid w:val="00B3580B"/>
    <w:rsid w:val="00B371AE"/>
    <w:rsid w:val="00B374F6"/>
    <w:rsid w:val="00B378D9"/>
    <w:rsid w:val="00B4069B"/>
    <w:rsid w:val="00B40ED5"/>
    <w:rsid w:val="00B42A0E"/>
    <w:rsid w:val="00B43F0C"/>
    <w:rsid w:val="00B44775"/>
    <w:rsid w:val="00B45134"/>
    <w:rsid w:val="00B50F95"/>
    <w:rsid w:val="00B51211"/>
    <w:rsid w:val="00B51716"/>
    <w:rsid w:val="00B52D9D"/>
    <w:rsid w:val="00B55B97"/>
    <w:rsid w:val="00B55F09"/>
    <w:rsid w:val="00B57CDA"/>
    <w:rsid w:val="00B608BF"/>
    <w:rsid w:val="00B60A2E"/>
    <w:rsid w:val="00B618B7"/>
    <w:rsid w:val="00B62AD2"/>
    <w:rsid w:val="00B62C2E"/>
    <w:rsid w:val="00B64255"/>
    <w:rsid w:val="00B647CB"/>
    <w:rsid w:val="00B64AD0"/>
    <w:rsid w:val="00B65741"/>
    <w:rsid w:val="00B679E1"/>
    <w:rsid w:val="00B70438"/>
    <w:rsid w:val="00B71897"/>
    <w:rsid w:val="00B73F35"/>
    <w:rsid w:val="00B7749A"/>
    <w:rsid w:val="00B821A2"/>
    <w:rsid w:val="00B84404"/>
    <w:rsid w:val="00B84DB5"/>
    <w:rsid w:val="00B8749F"/>
    <w:rsid w:val="00B87728"/>
    <w:rsid w:val="00B87DBD"/>
    <w:rsid w:val="00B900C8"/>
    <w:rsid w:val="00B90576"/>
    <w:rsid w:val="00B909C8"/>
    <w:rsid w:val="00B93ABC"/>
    <w:rsid w:val="00B93D07"/>
    <w:rsid w:val="00B95548"/>
    <w:rsid w:val="00B95719"/>
    <w:rsid w:val="00B961AA"/>
    <w:rsid w:val="00B9672B"/>
    <w:rsid w:val="00B976C9"/>
    <w:rsid w:val="00BA16FA"/>
    <w:rsid w:val="00BA2971"/>
    <w:rsid w:val="00BA2F09"/>
    <w:rsid w:val="00BA2FE6"/>
    <w:rsid w:val="00BA47EF"/>
    <w:rsid w:val="00BA50F4"/>
    <w:rsid w:val="00BA52A4"/>
    <w:rsid w:val="00BA6C68"/>
    <w:rsid w:val="00BA720E"/>
    <w:rsid w:val="00BA7289"/>
    <w:rsid w:val="00BB0B51"/>
    <w:rsid w:val="00BB1C50"/>
    <w:rsid w:val="00BB2137"/>
    <w:rsid w:val="00BB2242"/>
    <w:rsid w:val="00BB2A25"/>
    <w:rsid w:val="00BB2E17"/>
    <w:rsid w:val="00BB3AF9"/>
    <w:rsid w:val="00BB3EC4"/>
    <w:rsid w:val="00BB55D0"/>
    <w:rsid w:val="00BB5A2B"/>
    <w:rsid w:val="00BB5D22"/>
    <w:rsid w:val="00BB6321"/>
    <w:rsid w:val="00BB6C3C"/>
    <w:rsid w:val="00BB7651"/>
    <w:rsid w:val="00BB7B21"/>
    <w:rsid w:val="00BC005C"/>
    <w:rsid w:val="00BC028C"/>
    <w:rsid w:val="00BC10E6"/>
    <w:rsid w:val="00BC122F"/>
    <w:rsid w:val="00BC1656"/>
    <w:rsid w:val="00BC1A5C"/>
    <w:rsid w:val="00BC49D2"/>
    <w:rsid w:val="00BC6557"/>
    <w:rsid w:val="00BC6772"/>
    <w:rsid w:val="00BD209E"/>
    <w:rsid w:val="00BD4003"/>
    <w:rsid w:val="00BD60F5"/>
    <w:rsid w:val="00BD68E6"/>
    <w:rsid w:val="00BD6CC9"/>
    <w:rsid w:val="00BD70DE"/>
    <w:rsid w:val="00BD7357"/>
    <w:rsid w:val="00BD7C6B"/>
    <w:rsid w:val="00BE0043"/>
    <w:rsid w:val="00BE12C5"/>
    <w:rsid w:val="00BE1AB6"/>
    <w:rsid w:val="00BE39B6"/>
    <w:rsid w:val="00BE53CA"/>
    <w:rsid w:val="00BE55FB"/>
    <w:rsid w:val="00BE564A"/>
    <w:rsid w:val="00BE57A6"/>
    <w:rsid w:val="00BE77A2"/>
    <w:rsid w:val="00BF1FBF"/>
    <w:rsid w:val="00BF2945"/>
    <w:rsid w:val="00BF2DC0"/>
    <w:rsid w:val="00BF31AF"/>
    <w:rsid w:val="00BF35A3"/>
    <w:rsid w:val="00BF5FDB"/>
    <w:rsid w:val="00BF6F47"/>
    <w:rsid w:val="00BF7140"/>
    <w:rsid w:val="00BF7D2C"/>
    <w:rsid w:val="00C02804"/>
    <w:rsid w:val="00C03906"/>
    <w:rsid w:val="00C04EC4"/>
    <w:rsid w:val="00C05F98"/>
    <w:rsid w:val="00C0634A"/>
    <w:rsid w:val="00C07606"/>
    <w:rsid w:val="00C07724"/>
    <w:rsid w:val="00C07BFC"/>
    <w:rsid w:val="00C10641"/>
    <w:rsid w:val="00C11181"/>
    <w:rsid w:val="00C122AF"/>
    <w:rsid w:val="00C12565"/>
    <w:rsid w:val="00C1362A"/>
    <w:rsid w:val="00C13A4B"/>
    <w:rsid w:val="00C14F0E"/>
    <w:rsid w:val="00C1598C"/>
    <w:rsid w:val="00C164B8"/>
    <w:rsid w:val="00C16715"/>
    <w:rsid w:val="00C214D9"/>
    <w:rsid w:val="00C235C8"/>
    <w:rsid w:val="00C2728A"/>
    <w:rsid w:val="00C27354"/>
    <w:rsid w:val="00C27BF6"/>
    <w:rsid w:val="00C306A9"/>
    <w:rsid w:val="00C33AFD"/>
    <w:rsid w:val="00C3466F"/>
    <w:rsid w:val="00C356F3"/>
    <w:rsid w:val="00C35F97"/>
    <w:rsid w:val="00C3624F"/>
    <w:rsid w:val="00C37331"/>
    <w:rsid w:val="00C3774C"/>
    <w:rsid w:val="00C37FC4"/>
    <w:rsid w:val="00C40069"/>
    <w:rsid w:val="00C407E3"/>
    <w:rsid w:val="00C40E95"/>
    <w:rsid w:val="00C425E3"/>
    <w:rsid w:val="00C437E5"/>
    <w:rsid w:val="00C43C17"/>
    <w:rsid w:val="00C43C5B"/>
    <w:rsid w:val="00C44AE4"/>
    <w:rsid w:val="00C45690"/>
    <w:rsid w:val="00C45779"/>
    <w:rsid w:val="00C45FEC"/>
    <w:rsid w:val="00C46D00"/>
    <w:rsid w:val="00C4732E"/>
    <w:rsid w:val="00C47B26"/>
    <w:rsid w:val="00C50CAB"/>
    <w:rsid w:val="00C51D39"/>
    <w:rsid w:val="00C5201C"/>
    <w:rsid w:val="00C53789"/>
    <w:rsid w:val="00C563D8"/>
    <w:rsid w:val="00C56D98"/>
    <w:rsid w:val="00C609BF"/>
    <w:rsid w:val="00C612B9"/>
    <w:rsid w:val="00C62818"/>
    <w:rsid w:val="00C65ABB"/>
    <w:rsid w:val="00C6636F"/>
    <w:rsid w:val="00C67E75"/>
    <w:rsid w:val="00C70436"/>
    <w:rsid w:val="00C70C3A"/>
    <w:rsid w:val="00C71164"/>
    <w:rsid w:val="00C71BAC"/>
    <w:rsid w:val="00C72553"/>
    <w:rsid w:val="00C72F4F"/>
    <w:rsid w:val="00C73A07"/>
    <w:rsid w:val="00C75CC6"/>
    <w:rsid w:val="00C766FB"/>
    <w:rsid w:val="00C76B4B"/>
    <w:rsid w:val="00C8039E"/>
    <w:rsid w:val="00C80CA3"/>
    <w:rsid w:val="00C825A6"/>
    <w:rsid w:val="00C82C84"/>
    <w:rsid w:val="00C841E3"/>
    <w:rsid w:val="00C8625E"/>
    <w:rsid w:val="00C90CB5"/>
    <w:rsid w:val="00C922A8"/>
    <w:rsid w:val="00C92D8D"/>
    <w:rsid w:val="00C94462"/>
    <w:rsid w:val="00C94B79"/>
    <w:rsid w:val="00C958F5"/>
    <w:rsid w:val="00C97A58"/>
    <w:rsid w:val="00CA1753"/>
    <w:rsid w:val="00CA471E"/>
    <w:rsid w:val="00CA4AED"/>
    <w:rsid w:val="00CA5A19"/>
    <w:rsid w:val="00CA7DCF"/>
    <w:rsid w:val="00CB20B6"/>
    <w:rsid w:val="00CB2177"/>
    <w:rsid w:val="00CB22A0"/>
    <w:rsid w:val="00CB39B1"/>
    <w:rsid w:val="00CB6087"/>
    <w:rsid w:val="00CB6BE5"/>
    <w:rsid w:val="00CB6EF2"/>
    <w:rsid w:val="00CB7172"/>
    <w:rsid w:val="00CC0B36"/>
    <w:rsid w:val="00CC3424"/>
    <w:rsid w:val="00CC3A7D"/>
    <w:rsid w:val="00CC5922"/>
    <w:rsid w:val="00CC60AF"/>
    <w:rsid w:val="00CD0881"/>
    <w:rsid w:val="00CD31B8"/>
    <w:rsid w:val="00CD4602"/>
    <w:rsid w:val="00CD4D94"/>
    <w:rsid w:val="00CD5A85"/>
    <w:rsid w:val="00CE0D9A"/>
    <w:rsid w:val="00CE1943"/>
    <w:rsid w:val="00CE3B69"/>
    <w:rsid w:val="00CE40D2"/>
    <w:rsid w:val="00CE44B3"/>
    <w:rsid w:val="00CE5786"/>
    <w:rsid w:val="00CE60A1"/>
    <w:rsid w:val="00CE6518"/>
    <w:rsid w:val="00CE7A51"/>
    <w:rsid w:val="00CF0771"/>
    <w:rsid w:val="00CF1745"/>
    <w:rsid w:val="00CF1D19"/>
    <w:rsid w:val="00CF21FD"/>
    <w:rsid w:val="00CF493E"/>
    <w:rsid w:val="00CF495A"/>
    <w:rsid w:val="00D010F4"/>
    <w:rsid w:val="00D023B9"/>
    <w:rsid w:val="00D05A5F"/>
    <w:rsid w:val="00D05A7F"/>
    <w:rsid w:val="00D05BCB"/>
    <w:rsid w:val="00D06F85"/>
    <w:rsid w:val="00D070FB"/>
    <w:rsid w:val="00D074BD"/>
    <w:rsid w:val="00D07AA4"/>
    <w:rsid w:val="00D07F17"/>
    <w:rsid w:val="00D100C9"/>
    <w:rsid w:val="00D10679"/>
    <w:rsid w:val="00D12935"/>
    <w:rsid w:val="00D16EE8"/>
    <w:rsid w:val="00D20790"/>
    <w:rsid w:val="00D21473"/>
    <w:rsid w:val="00D21FA1"/>
    <w:rsid w:val="00D2322B"/>
    <w:rsid w:val="00D24E95"/>
    <w:rsid w:val="00D2530C"/>
    <w:rsid w:val="00D2653A"/>
    <w:rsid w:val="00D2668D"/>
    <w:rsid w:val="00D26BE1"/>
    <w:rsid w:val="00D27014"/>
    <w:rsid w:val="00D2764D"/>
    <w:rsid w:val="00D279B8"/>
    <w:rsid w:val="00D30385"/>
    <w:rsid w:val="00D31950"/>
    <w:rsid w:val="00D328D3"/>
    <w:rsid w:val="00D32E65"/>
    <w:rsid w:val="00D40665"/>
    <w:rsid w:val="00D40B4B"/>
    <w:rsid w:val="00D42781"/>
    <w:rsid w:val="00D42A55"/>
    <w:rsid w:val="00D42E5F"/>
    <w:rsid w:val="00D43C42"/>
    <w:rsid w:val="00D44E57"/>
    <w:rsid w:val="00D45013"/>
    <w:rsid w:val="00D45102"/>
    <w:rsid w:val="00D522C3"/>
    <w:rsid w:val="00D52D78"/>
    <w:rsid w:val="00D53355"/>
    <w:rsid w:val="00D5375B"/>
    <w:rsid w:val="00D53E66"/>
    <w:rsid w:val="00D5417B"/>
    <w:rsid w:val="00D546CD"/>
    <w:rsid w:val="00D54BF7"/>
    <w:rsid w:val="00D54F80"/>
    <w:rsid w:val="00D5540E"/>
    <w:rsid w:val="00D557C9"/>
    <w:rsid w:val="00D57C1A"/>
    <w:rsid w:val="00D57CDF"/>
    <w:rsid w:val="00D60258"/>
    <w:rsid w:val="00D60BDB"/>
    <w:rsid w:val="00D624E6"/>
    <w:rsid w:val="00D6293C"/>
    <w:rsid w:val="00D63CA0"/>
    <w:rsid w:val="00D64F27"/>
    <w:rsid w:val="00D650F1"/>
    <w:rsid w:val="00D67B7D"/>
    <w:rsid w:val="00D70017"/>
    <w:rsid w:val="00D71F1E"/>
    <w:rsid w:val="00D727C2"/>
    <w:rsid w:val="00D72FC1"/>
    <w:rsid w:val="00D74752"/>
    <w:rsid w:val="00D75A23"/>
    <w:rsid w:val="00D75FF0"/>
    <w:rsid w:val="00D77921"/>
    <w:rsid w:val="00D800DA"/>
    <w:rsid w:val="00D8011D"/>
    <w:rsid w:val="00D80928"/>
    <w:rsid w:val="00D81FEC"/>
    <w:rsid w:val="00D82458"/>
    <w:rsid w:val="00D8758A"/>
    <w:rsid w:val="00D91460"/>
    <w:rsid w:val="00D91F8C"/>
    <w:rsid w:val="00D926E2"/>
    <w:rsid w:val="00D93485"/>
    <w:rsid w:val="00D94052"/>
    <w:rsid w:val="00D94082"/>
    <w:rsid w:val="00D94BFE"/>
    <w:rsid w:val="00D97DB0"/>
    <w:rsid w:val="00DA2330"/>
    <w:rsid w:val="00DA2F53"/>
    <w:rsid w:val="00DA30DB"/>
    <w:rsid w:val="00DA4E3E"/>
    <w:rsid w:val="00DA5225"/>
    <w:rsid w:val="00DA52F6"/>
    <w:rsid w:val="00DA6280"/>
    <w:rsid w:val="00DA63B7"/>
    <w:rsid w:val="00DA6CE8"/>
    <w:rsid w:val="00DA6D84"/>
    <w:rsid w:val="00DB00EB"/>
    <w:rsid w:val="00DB22E1"/>
    <w:rsid w:val="00DB2648"/>
    <w:rsid w:val="00DB28AA"/>
    <w:rsid w:val="00DC1C0E"/>
    <w:rsid w:val="00DC3962"/>
    <w:rsid w:val="00DC5E82"/>
    <w:rsid w:val="00DD014B"/>
    <w:rsid w:val="00DD030D"/>
    <w:rsid w:val="00DD0FBD"/>
    <w:rsid w:val="00DD19E9"/>
    <w:rsid w:val="00DD22D0"/>
    <w:rsid w:val="00DD28BB"/>
    <w:rsid w:val="00DD3413"/>
    <w:rsid w:val="00DD39F6"/>
    <w:rsid w:val="00DD3FFF"/>
    <w:rsid w:val="00DD4647"/>
    <w:rsid w:val="00DD4AD2"/>
    <w:rsid w:val="00DD5F62"/>
    <w:rsid w:val="00DD72A3"/>
    <w:rsid w:val="00DE19F6"/>
    <w:rsid w:val="00DE20A8"/>
    <w:rsid w:val="00DE2C6F"/>
    <w:rsid w:val="00DE35CC"/>
    <w:rsid w:val="00DE3E8A"/>
    <w:rsid w:val="00DE3FA5"/>
    <w:rsid w:val="00DE4CCC"/>
    <w:rsid w:val="00DE533C"/>
    <w:rsid w:val="00DE6032"/>
    <w:rsid w:val="00DE6CBB"/>
    <w:rsid w:val="00DF1613"/>
    <w:rsid w:val="00DF31F9"/>
    <w:rsid w:val="00DF48AA"/>
    <w:rsid w:val="00DF698B"/>
    <w:rsid w:val="00DF6BAD"/>
    <w:rsid w:val="00E00B76"/>
    <w:rsid w:val="00E04675"/>
    <w:rsid w:val="00E04C23"/>
    <w:rsid w:val="00E05F11"/>
    <w:rsid w:val="00E06495"/>
    <w:rsid w:val="00E06B74"/>
    <w:rsid w:val="00E07D98"/>
    <w:rsid w:val="00E11009"/>
    <w:rsid w:val="00E120C6"/>
    <w:rsid w:val="00E12326"/>
    <w:rsid w:val="00E14BD2"/>
    <w:rsid w:val="00E16CE6"/>
    <w:rsid w:val="00E17822"/>
    <w:rsid w:val="00E21E56"/>
    <w:rsid w:val="00E22213"/>
    <w:rsid w:val="00E22742"/>
    <w:rsid w:val="00E228AF"/>
    <w:rsid w:val="00E22B24"/>
    <w:rsid w:val="00E22BFA"/>
    <w:rsid w:val="00E24301"/>
    <w:rsid w:val="00E24746"/>
    <w:rsid w:val="00E24B26"/>
    <w:rsid w:val="00E24EED"/>
    <w:rsid w:val="00E25635"/>
    <w:rsid w:val="00E30DE9"/>
    <w:rsid w:val="00E31B2C"/>
    <w:rsid w:val="00E33A36"/>
    <w:rsid w:val="00E37212"/>
    <w:rsid w:val="00E4020A"/>
    <w:rsid w:val="00E40566"/>
    <w:rsid w:val="00E40A61"/>
    <w:rsid w:val="00E419D6"/>
    <w:rsid w:val="00E42DD1"/>
    <w:rsid w:val="00E44F0E"/>
    <w:rsid w:val="00E470C5"/>
    <w:rsid w:val="00E51E96"/>
    <w:rsid w:val="00E52453"/>
    <w:rsid w:val="00E52E4D"/>
    <w:rsid w:val="00E533DC"/>
    <w:rsid w:val="00E53765"/>
    <w:rsid w:val="00E5493B"/>
    <w:rsid w:val="00E56668"/>
    <w:rsid w:val="00E569F3"/>
    <w:rsid w:val="00E570C9"/>
    <w:rsid w:val="00E57611"/>
    <w:rsid w:val="00E60170"/>
    <w:rsid w:val="00E618EA"/>
    <w:rsid w:val="00E64E43"/>
    <w:rsid w:val="00E6535B"/>
    <w:rsid w:val="00E65FCE"/>
    <w:rsid w:val="00E66974"/>
    <w:rsid w:val="00E66B16"/>
    <w:rsid w:val="00E671F3"/>
    <w:rsid w:val="00E67C2F"/>
    <w:rsid w:val="00E70041"/>
    <w:rsid w:val="00E7036C"/>
    <w:rsid w:val="00E72A92"/>
    <w:rsid w:val="00E7578F"/>
    <w:rsid w:val="00E7595A"/>
    <w:rsid w:val="00E767CA"/>
    <w:rsid w:val="00E76F3F"/>
    <w:rsid w:val="00E77883"/>
    <w:rsid w:val="00E81A85"/>
    <w:rsid w:val="00E8351D"/>
    <w:rsid w:val="00E84942"/>
    <w:rsid w:val="00E84E82"/>
    <w:rsid w:val="00E86866"/>
    <w:rsid w:val="00E868C0"/>
    <w:rsid w:val="00E9601F"/>
    <w:rsid w:val="00E960C9"/>
    <w:rsid w:val="00E96CE3"/>
    <w:rsid w:val="00E97C8D"/>
    <w:rsid w:val="00EA0A2A"/>
    <w:rsid w:val="00EA0FD5"/>
    <w:rsid w:val="00EA288B"/>
    <w:rsid w:val="00EA36B4"/>
    <w:rsid w:val="00EA3BAA"/>
    <w:rsid w:val="00EA3ED3"/>
    <w:rsid w:val="00EA472D"/>
    <w:rsid w:val="00EA4AA0"/>
    <w:rsid w:val="00EA53AB"/>
    <w:rsid w:val="00EA556F"/>
    <w:rsid w:val="00EA5F6F"/>
    <w:rsid w:val="00EA69F4"/>
    <w:rsid w:val="00EA739D"/>
    <w:rsid w:val="00EB285F"/>
    <w:rsid w:val="00EB3497"/>
    <w:rsid w:val="00EB502C"/>
    <w:rsid w:val="00EB747C"/>
    <w:rsid w:val="00EB75EE"/>
    <w:rsid w:val="00EC0D27"/>
    <w:rsid w:val="00EC1C05"/>
    <w:rsid w:val="00EC52D8"/>
    <w:rsid w:val="00EC6BFB"/>
    <w:rsid w:val="00ED011F"/>
    <w:rsid w:val="00ED042B"/>
    <w:rsid w:val="00ED45CC"/>
    <w:rsid w:val="00ED52C4"/>
    <w:rsid w:val="00ED6028"/>
    <w:rsid w:val="00ED6AC0"/>
    <w:rsid w:val="00ED74D7"/>
    <w:rsid w:val="00ED762F"/>
    <w:rsid w:val="00ED79FA"/>
    <w:rsid w:val="00ED7A21"/>
    <w:rsid w:val="00ED7D51"/>
    <w:rsid w:val="00ED7F6E"/>
    <w:rsid w:val="00EE236B"/>
    <w:rsid w:val="00EE3738"/>
    <w:rsid w:val="00EE4E62"/>
    <w:rsid w:val="00EE5E84"/>
    <w:rsid w:val="00EE78F6"/>
    <w:rsid w:val="00EF0219"/>
    <w:rsid w:val="00EF214D"/>
    <w:rsid w:val="00EF2253"/>
    <w:rsid w:val="00EF5EF2"/>
    <w:rsid w:val="00EF6799"/>
    <w:rsid w:val="00EF6D1C"/>
    <w:rsid w:val="00EF6F36"/>
    <w:rsid w:val="00EF7058"/>
    <w:rsid w:val="00EF7161"/>
    <w:rsid w:val="00EF7B78"/>
    <w:rsid w:val="00F00460"/>
    <w:rsid w:val="00F00ECC"/>
    <w:rsid w:val="00F02549"/>
    <w:rsid w:val="00F03790"/>
    <w:rsid w:val="00F05D02"/>
    <w:rsid w:val="00F11F57"/>
    <w:rsid w:val="00F123A5"/>
    <w:rsid w:val="00F13943"/>
    <w:rsid w:val="00F1441E"/>
    <w:rsid w:val="00F14882"/>
    <w:rsid w:val="00F16020"/>
    <w:rsid w:val="00F16061"/>
    <w:rsid w:val="00F165C9"/>
    <w:rsid w:val="00F17064"/>
    <w:rsid w:val="00F17E53"/>
    <w:rsid w:val="00F17F6D"/>
    <w:rsid w:val="00F21ED0"/>
    <w:rsid w:val="00F22343"/>
    <w:rsid w:val="00F231DD"/>
    <w:rsid w:val="00F233AF"/>
    <w:rsid w:val="00F23FFA"/>
    <w:rsid w:val="00F24AE4"/>
    <w:rsid w:val="00F24EDC"/>
    <w:rsid w:val="00F25D33"/>
    <w:rsid w:val="00F30089"/>
    <w:rsid w:val="00F3141D"/>
    <w:rsid w:val="00F31F7F"/>
    <w:rsid w:val="00F32EB9"/>
    <w:rsid w:val="00F33385"/>
    <w:rsid w:val="00F33ED9"/>
    <w:rsid w:val="00F340B2"/>
    <w:rsid w:val="00F374C8"/>
    <w:rsid w:val="00F40B18"/>
    <w:rsid w:val="00F40F11"/>
    <w:rsid w:val="00F41058"/>
    <w:rsid w:val="00F419AD"/>
    <w:rsid w:val="00F41C67"/>
    <w:rsid w:val="00F421C0"/>
    <w:rsid w:val="00F430CA"/>
    <w:rsid w:val="00F43412"/>
    <w:rsid w:val="00F43D83"/>
    <w:rsid w:val="00F445ED"/>
    <w:rsid w:val="00F44683"/>
    <w:rsid w:val="00F46998"/>
    <w:rsid w:val="00F47696"/>
    <w:rsid w:val="00F47978"/>
    <w:rsid w:val="00F507EA"/>
    <w:rsid w:val="00F5465D"/>
    <w:rsid w:val="00F55ED6"/>
    <w:rsid w:val="00F5651B"/>
    <w:rsid w:val="00F57B38"/>
    <w:rsid w:val="00F57E24"/>
    <w:rsid w:val="00F612E1"/>
    <w:rsid w:val="00F658C4"/>
    <w:rsid w:val="00F6620E"/>
    <w:rsid w:val="00F663B5"/>
    <w:rsid w:val="00F66871"/>
    <w:rsid w:val="00F674D0"/>
    <w:rsid w:val="00F676C8"/>
    <w:rsid w:val="00F71664"/>
    <w:rsid w:val="00F75521"/>
    <w:rsid w:val="00F75D23"/>
    <w:rsid w:val="00F80F22"/>
    <w:rsid w:val="00F80FAD"/>
    <w:rsid w:val="00F823EF"/>
    <w:rsid w:val="00F82F8A"/>
    <w:rsid w:val="00F82F90"/>
    <w:rsid w:val="00F8353F"/>
    <w:rsid w:val="00F83C85"/>
    <w:rsid w:val="00F842AE"/>
    <w:rsid w:val="00F8502A"/>
    <w:rsid w:val="00F85CBB"/>
    <w:rsid w:val="00F86CCD"/>
    <w:rsid w:val="00F87F11"/>
    <w:rsid w:val="00F90777"/>
    <w:rsid w:val="00F91EFC"/>
    <w:rsid w:val="00F933A3"/>
    <w:rsid w:val="00F94A7B"/>
    <w:rsid w:val="00F95751"/>
    <w:rsid w:val="00F96401"/>
    <w:rsid w:val="00F97C7A"/>
    <w:rsid w:val="00F97D1A"/>
    <w:rsid w:val="00FA0E69"/>
    <w:rsid w:val="00FA3170"/>
    <w:rsid w:val="00FA3974"/>
    <w:rsid w:val="00FA3A13"/>
    <w:rsid w:val="00FA4530"/>
    <w:rsid w:val="00FA5215"/>
    <w:rsid w:val="00FA5D5F"/>
    <w:rsid w:val="00FA5DA1"/>
    <w:rsid w:val="00FA7056"/>
    <w:rsid w:val="00FA7D04"/>
    <w:rsid w:val="00FB12C7"/>
    <w:rsid w:val="00FB1AD2"/>
    <w:rsid w:val="00FB209A"/>
    <w:rsid w:val="00FB2728"/>
    <w:rsid w:val="00FB2C5E"/>
    <w:rsid w:val="00FB51F7"/>
    <w:rsid w:val="00FB5DCA"/>
    <w:rsid w:val="00FB6919"/>
    <w:rsid w:val="00FC058D"/>
    <w:rsid w:val="00FC16B1"/>
    <w:rsid w:val="00FC2143"/>
    <w:rsid w:val="00FC276C"/>
    <w:rsid w:val="00FC2917"/>
    <w:rsid w:val="00FC30B9"/>
    <w:rsid w:val="00FC3225"/>
    <w:rsid w:val="00FC5E99"/>
    <w:rsid w:val="00FC688F"/>
    <w:rsid w:val="00FC7AA1"/>
    <w:rsid w:val="00FC7C35"/>
    <w:rsid w:val="00FD19C1"/>
    <w:rsid w:val="00FD2D47"/>
    <w:rsid w:val="00FD30C9"/>
    <w:rsid w:val="00FD3B43"/>
    <w:rsid w:val="00FD4141"/>
    <w:rsid w:val="00FD6FEC"/>
    <w:rsid w:val="00FD71E6"/>
    <w:rsid w:val="00FE14A5"/>
    <w:rsid w:val="00FE15B2"/>
    <w:rsid w:val="00FE1BCC"/>
    <w:rsid w:val="00FE3027"/>
    <w:rsid w:val="00FE56EB"/>
    <w:rsid w:val="00FE58AD"/>
    <w:rsid w:val="00FF023D"/>
    <w:rsid w:val="00FF0263"/>
    <w:rsid w:val="00FF03D7"/>
    <w:rsid w:val="00FF1714"/>
    <w:rsid w:val="00FF1BAA"/>
    <w:rsid w:val="00FF2DED"/>
    <w:rsid w:val="00FF4BB0"/>
    <w:rsid w:val="00FF4CF7"/>
    <w:rsid w:val="00FF560D"/>
    <w:rsid w:val="00FF5AD6"/>
    <w:rsid w:val="00FF64AE"/>
    <w:rsid w:val="17F13B56"/>
    <w:rsid w:val="1A2658B2"/>
    <w:rsid w:val="1C4D1CFC"/>
    <w:rsid w:val="26215F4F"/>
    <w:rsid w:val="26C3D57D"/>
    <w:rsid w:val="27EFAA41"/>
    <w:rsid w:val="29323B08"/>
    <w:rsid w:val="2E4722CA"/>
    <w:rsid w:val="2FDBE290"/>
    <w:rsid w:val="3D3EC85D"/>
    <w:rsid w:val="3FDD4733"/>
    <w:rsid w:val="3FF65174"/>
    <w:rsid w:val="3FF744AE"/>
    <w:rsid w:val="439D4A0F"/>
    <w:rsid w:val="46505177"/>
    <w:rsid w:val="4ADC2866"/>
    <w:rsid w:val="4EB946C7"/>
    <w:rsid w:val="4F764B55"/>
    <w:rsid w:val="65C15EE3"/>
    <w:rsid w:val="6807494D"/>
    <w:rsid w:val="6C1B20C5"/>
    <w:rsid w:val="6EA445F4"/>
    <w:rsid w:val="6EF10193"/>
    <w:rsid w:val="6F4F95A2"/>
    <w:rsid w:val="70E17439"/>
    <w:rsid w:val="73F92CEC"/>
    <w:rsid w:val="744D4525"/>
    <w:rsid w:val="75AF8986"/>
    <w:rsid w:val="76EEB49D"/>
    <w:rsid w:val="7A4686B6"/>
    <w:rsid w:val="7B357DF2"/>
    <w:rsid w:val="7BF7B41F"/>
    <w:rsid w:val="7BFFA577"/>
    <w:rsid w:val="7BFFD14D"/>
    <w:rsid w:val="7D0C527F"/>
    <w:rsid w:val="7EBD3D76"/>
    <w:rsid w:val="7F19626C"/>
    <w:rsid w:val="7FEFE9E6"/>
    <w:rsid w:val="ACF2002D"/>
    <w:rsid w:val="B7F9189B"/>
    <w:rsid w:val="BCFF5D87"/>
    <w:rsid w:val="DBBD8492"/>
    <w:rsid w:val="DCCA5721"/>
    <w:rsid w:val="DEBFAB12"/>
    <w:rsid w:val="DFBFEE9D"/>
    <w:rsid w:val="EFF004F2"/>
    <w:rsid w:val="F7B7E472"/>
    <w:rsid w:val="F7D496EA"/>
    <w:rsid w:val="F7F73296"/>
    <w:rsid w:val="FBFB9734"/>
    <w:rsid w:val="FEFDF89E"/>
    <w:rsid w:val="FF7F5FD2"/>
    <w:rsid w:val="FFDD39E8"/>
    <w:rsid w:val="FFEF3887"/>
    <w:rsid w:val="FFEFE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unhideWhenUsed/>
    <w:qFormat/>
    <w:uiPriority w:val="99"/>
  </w:style>
  <w:style w:type="paragraph" w:styleId="6">
    <w:name w:val="Plain Text"/>
    <w:basedOn w:val="1"/>
    <w:link w:val="38"/>
    <w:unhideWhenUsed/>
    <w:qFormat/>
    <w:uiPriority w:val="0"/>
    <w:pPr>
      <w:widowControl w:val="0"/>
      <w:spacing w:after="0" w:line="240" w:lineRule="auto"/>
      <w:jc w:val="both"/>
    </w:pPr>
    <w:rPr>
      <w:rFonts w:ascii="宋体" w:hAnsi="Courier New" w:eastAsia="宋体" w:cs="Courier New"/>
      <w:kern w:val="2"/>
      <w:sz w:val="21"/>
      <w:szCs w:val="21"/>
    </w:rPr>
  </w:style>
  <w:style w:type="paragraph" w:styleId="7">
    <w:name w:val="Date"/>
    <w:basedOn w:val="1"/>
    <w:next w:val="1"/>
    <w:link w:val="42"/>
    <w:semiHidden/>
    <w:unhideWhenUsed/>
    <w:qFormat/>
    <w:uiPriority w:val="99"/>
    <w:pPr>
      <w:ind w:left="100" w:leftChars="2500"/>
    </w:pPr>
  </w:style>
  <w:style w:type="paragraph" w:styleId="8">
    <w:name w:val="Body Text Indent 2"/>
    <w:basedOn w:val="1"/>
    <w:link w:val="24"/>
    <w:qFormat/>
    <w:uiPriority w:val="0"/>
    <w:pPr>
      <w:widowControl w:val="0"/>
      <w:spacing w:after="0" w:line="620" w:lineRule="exact"/>
      <w:ind w:firstLine="592" w:firstLineChars="200"/>
      <w:jc w:val="both"/>
    </w:pPr>
    <w:rPr>
      <w:rFonts w:ascii="仿宋_GB2312" w:hAnsi="Times New Roman" w:eastAsia="仿宋_GB2312" w:cs="Times New Roman"/>
      <w:spacing w:val="-12"/>
      <w:kern w:val="2"/>
      <w:sz w:val="32"/>
      <w:szCs w:val="24"/>
    </w:rPr>
  </w:style>
  <w:style w:type="paragraph" w:styleId="9">
    <w:name w:val="Balloon Text"/>
    <w:basedOn w:val="1"/>
    <w:link w:val="28"/>
    <w:semiHidden/>
    <w:unhideWhenUsed/>
    <w:qFormat/>
    <w:uiPriority w:val="99"/>
    <w:pPr>
      <w:spacing w:after="0" w:line="240" w:lineRule="auto"/>
    </w:pPr>
    <w:rPr>
      <w:sz w:val="18"/>
      <w:szCs w:val="18"/>
    </w:rPr>
  </w:style>
  <w:style w:type="paragraph" w:styleId="10">
    <w:name w:val="footer"/>
    <w:basedOn w:val="1"/>
    <w:link w:val="23"/>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2"/>
    <w:basedOn w:val="1"/>
    <w:next w:val="1"/>
    <w:unhideWhenUsed/>
    <w:qFormat/>
    <w:uiPriority w:val="39"/>
    <w:pPr>
      <w:ind w:left="420" w:leftChars="200"/>
    </w:pPr>
  </w:style>
  <w:style w:type="paragraph" w:styleId="13">
    <w:name w:val="toc 9"/>
    <w:basedOn w:val="1"/>
    <w:next w:val="1"/>
    <w:semiHidden/>
    <w:qFormat/>
    <w:uiPriority w:val="0"/>
    <w:pPr>
      <w:widowControl w:val="0"/>
      <w:spacing w:after="0" w:line="240" w:lineRule="auto"/>
      <w:ind w:left="3360" w:leftChars="1600"/>
      <w:jc w:val="both"/>
    </w:pPr>
    <w:rPr>
      <w:rFonts w:ascii="Times New Roman" w:hAnsi="Times New Roman" w:eastAsia="宋体" w:cs="Times New Roman"/>
      <w:kern w:val="2"/>
      <w:sz w:val="21"/>
      <w:szCs w:val="24"/>
    </w:rPr>
  </w:style>
  <w:style w:type="paragraph" w:styleId="14">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paragraph" w:styleId="15">
    <w:name w:val="annotation subject"/>
    <w:basedOn w:val="5"/>
    <w:next w:val="5"/>
    <w:link w:val="27"/>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customStyle="1" w:styleId="22">
    <w:name w:val="页眉 字符"/>
    <w:basedOn w:val="18"/>
    <w:link w:val="11"/>
    <w:qFormat/>
    <w:uiPriority w:val="99"/>
    <w:rPr>
      <w:sz w:val="18"/>
      <w:szCs w:val="18"/>
    </w:rPr>
  </w:style>
  <w:style w:type="character" w:customStyle="1" w:styleId="23">
    <w:name w:val="页脚 字符"/>
    <w:basedOn w:val="18"/>
    <w:link w:val="10"/>
    <w:qFormat/>
    <w:uiPriority w:val="99"/>
    <w:rPr>
      <w:sz w:val="18"/>
      <w:szCs w:val="18"/>
    </w:rPr>
  </w:style>
  <w:style w:type="character" w:customStyle="1" w:styleId="24">
    <w:name w:val="正文文本缩进 2 字符"/>
    <w:basedOn w:val="18"/>
    <w:link w:val="8"/>
    <w:qFormat/>
    <w:uiPriority w:val="0"/>
    <w:rPr>
      <w:rFonts w:ascii="仿宋_GB2312" w:hAnsi="Times New Roman" w:eastAsia="仿宋_GB2312" w:cs="Times New Roman"/>
      <w:spacing w:val="-12"/>
      <w:kern w:val="2"/>
      <w:sz w:val="32"/>
      <w:szCs w:val="24"/>
    </w:rPr>
  </w:style>
  <w:style w:type="character" w:customStyle="1" w:styleId="25">
    <w:name w:val="标题 2 字符"/>
    <w:basedOn w:val="18"/>
    <w:link w:val="3"/>
    <w:qFormat/>
    <w:uiPriority w:val="9"/>
    <w:rPr>
      <w:rFonts w:asciiTheme="majorHAnsi" w:hAnsiTheme="majorHAnsi" w:eastAsiaTheme="majorEastAsia" w:cstheme="majorBidi"/>
      <w:b/>
      <w:bCs/>
      <w:sz w:val="32"/>
      <w:szCs w:val="32"/>
    </w:rPr>
  </w:style>
  <w:style w:type="character" w:customStyle="1" w:styleId="26">
    <w:name w:val="批注文字 字符"/>
    <w:basedOn w:val="18"/>
    <w:link w:val="5"/>
    <w:qFormat/>
    <w:uiPriority w:val="99"/>
  </w:style>
  <w:style w:type="character" w:customStyle="1" w:styleId="27">
    <w:name w:val="批注主题 字符"/>
    <w:basedOn w:val="26"/>
    <w:link w:val="15"/>
    <w:semiHidden/>
    <w:qFormat/>
    <w:uiPriority w:val="99"/>
    <w:rPr>
      <w:b/>
      <w:bCs/>
    </w:rPr>
  </w:style>
  <w:style w:type="character" w:customStyle="1" w:styleId="28">
    <w:name w:val="批注框文本 字符"/>
    <w:basedOn w:val="18"/>
    <w:link w:val="9"/>
    <w:semiHidden/>
    <w:qFormat/>
    <w:uiPriority w:val="99"/>
    <w:rPr>
      <w:sz w:val="18"/>
      <w:szCs w:val="18"/>
    </w:rPr>
  </w:style>
  <w:style w:type="character" w:customStyle="1" w:styleId="29">
    <w:name w:val="标题 1 字符"/>
    <w:basedOn w:val="18"/>
    <w:link w:val="2"/>
    <w:qFormat/>
    <w:uiPriority w:val="9"/>
    <w:rPr>
      <w:b/>
      <w:bCs/>
      <w:kern w:val="44"/>
      <w:sz w:val="44"/>
      <w:szCs w:val="44"/>
    </w:rPr>
  </w:style>
  <w:style w:type="paragraph" w:customStyle="1" w:styleId="30">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styleId="31">
    <w:name w:val="List Paragraph"/>
    <w:basedOn w:val="1"/>
    <w:link w:val="37"/>
    <w:qFormat/>
    <w:uiPriority w:val="34"/>
    <w:pPr>
      <w:ind w:firstLine="420" w:firstLineChars="200"/>
    </w:pPr>
  </w:style>
  <w:style w:type="paragraph" w:customStyle="1" w:styleId="32">
    <w:name w:val="doc-a"/>
    <w:basedOn w:val="1"/>
    <w:semiHidden/>
    <w:qFormat/>
    <w:uiPriority w:val="99"/>
    <w:pPr>
      <w:spacing w:before="100" w:beforeAutospacing="1" w:after="100" w:afterAutospacing="1" w:line="240" w:lineRule="auto"/>
      <w:ind w:firstLine="480"/>
    </w:pPr>
    <w:rPr>
      <w:rFonts w:ascii="微软雅黑" w:hAnsi="微软雅黑" w:eastAsia="微软雅黑" w:cs="宋体"/>
      <w:sz w:val="21"/>
      <w:szCs w:val="21"/>
    </w:rPr>
  </w:style>
  <w:style w:type="character" w:customStyle="1" w:styleId="33">
    <w:name w:val="其他_"/>
    <w:basedOn w:val="18"/>
    <w:link w:val="34"/>
    <w:qFormat/>
    <w:locked/>
    <w:uiPriority w:val="0"/>
    <w:rPr>
      <w:rFonts w:ascii="宋体" w:hAnsi="宋体" w:eastAsia="宋体" w:cs="宋体"/>
      <w:sz w:val="18"/>
      <w:szCs w:val="18"/>
      <w:shd w:val="clear" w:color="auto" w:fill="FFFFFF"/>
      <w:lang w:val="zh-CN" w:bidi="zh-CN"/>
    </w:rPr>
  </w:style>
  <w:style w:type="paragraph" w:customStyle="1" w:styleId="34">
    <w:name w:val="其他"/>
    <w:basedOn w:val="1"/>
    <w:link w:val="33"/>
    <w:qFormat/>
    <w:uiPriority w:val="0"/>
    <w:pPr>
      <w:widowControl w:val="0"/>
      <w:shd w:val="clear" w:color="auto" w:fill="FFFFFF"/>
      <w:spacing w:after="0" w:line="240" w:lineRule="auto"/>
    </w:pPr>
    <w:rPr>
      <w:rFonts w:ascii="宋体" w:hAnsi="宋体" w:eastAsia="宋体" w:cs="宋体"/>
      <w:sz w:val="18"/>
      <w:szCs w:val="18"/>
      <w:lang w:val="zh-CN" w:bidi="zh-CN"/>
    </w:rPr>
  </w:style>
  <w:style w:type="character" w:customStyle="1" w:styleId="35">
    <w:name w:val="表格标题_"/>
    <w:basedOn w:val="18"/>
    <w:link w:val="36"/>
    <w:qFormat/>
    <w:locked/>
    <w:uiPriority w:val="0"/>
    <w:rPr>
      <w:rFonts w:ascii="宋体" w:hAnsi="宋体" w:eastAsia="宋体" w:cs="宋体"/>
      <w:sz w:val="18"/>
      <w:szCs w:val="18"/>
      <w:shd w:val="clear" w:color="auto" w:fill="FFFFFF"/>
      <w:lang w:val="zh-CN" w:bidi="zh-CN"/>
    </w:rPr>
  </w:style>
  <w:style w:type="paragraph" w:customStyle="1" w:styleId="36">
    <w:name w:val="表格标题"/>
    <w:basedOn w:val="1"/>
    <w:link w:val="35"/>
    <w:qFormat/>
    <w:uiPriority w:val="0"/>
    <w:pPr>
      <w:widowControl w:val="0"/>
      <w:shd w:val="clear" w:color="auto" w:fill="FFFFFF"/>
      <w:spacing w:after="0" w:line="240" w:lineRule="auto"/>
    </w:pPr>
    <w:rPr>
      <w:rFonts w:ascii="宋体" w:hAnsi="宋体" w:eastAsia="宋体" w:cs="宋体"/>
      <w:sz w:val="18"/>
      <w:szCs w:val="18"/>
      <w:lang w:val="zh-CN" w:bidi="zh-CN"/>
    </w:rPr>
  </w:style>
  <w:style w:type="character" w:customStyle="1" w:styleId="37">
    <w:name w:val="列表段落 字符"/>
    <w:link w:val="31"/>
    <w:qFormat/>
    <w:uiPriority w:val="34"/>
  </w:style>
  <w:style w:type="character" w:customStyle="1" w:styleId="38">
    <w:name w:val="纯文本 字符"/>
    <w:basedOn w:val="18"/>
    <w:link w:val="6"/>
    <w:qFormat/>
    <w:uiPriority w:val="0"/>
    <w:rPr>
      <w:rFonts w:ascii="宋体" w:hAnsi="Courier New" w:eastAsia="宋体" w:cs="Courier New"/>
      <w:kern w:val="2"/>
      <w:sz w:val="21"/>
      <w:szCs w:val="21"/>
    </w:rPr>
  </w:style>
  <w:style w:type="paragraph" w:customStyle="1" w:styleId="39">
    <w:name w:val="Table Paragraph"/>
    <w:basedOn w:val="1"/>
    <w:qFormat/>
    <w:uiPriority w:val="0"/>
    <w:pPr>
      <w:widowControl w:val="0"/>
      <w:autoSpaceDE w:val="0"/>
      <w:autoSpaceDN w:val="0"/>
      <w:spacing w:before="100" w:beforeAutospacing="1" w:after="100" w:afterAutospacing="1" w:line="240" w:lineRule="auto"/>
      <w:ind w:left="107"/>
    </w:pPr>
    <w:rPr>
      <w:rFonts w:ascii="Noto Sans CJK JP Regular" w:hAnsi="Noto Sans CJK JP Regular" w:eastAsia="宋体" w:cs="宋体"/>
    </w:rPr>
  </w:style>
  <w:style w:type="paragraph" w:customStyle="1" w:styleId="40">
    <w:name w:val="Default"/>
    <w:qFormat/>
    <w:uiPriority w:val="0"/>
    <w:pPr>
      <w:autoSpaceDE w:val="0"/>
      <w:autoSpaceDN w:val="0"/>
      <w:adjustRightInd w:val="0"/>
      <w:spacing w:after="160" w:line="259" w:lineRule="auto"/>
    </w:pPr>
    <w:rPr>
      <w:rFonts w:ascii=".." w:eastAsia=".." w:cs=".." w:hAnsiTheme="minorHAnsi"/>
      <w:color w:val="000000"/>
      <w:sz w:val="24"/>
      <w:szCs w:val="24"/>
      <w:lang w:val="en-US" w:eastAsia="zh-CN" w:bidi="ar-SA"/>
    </w:rPr>
  </w:style>
  <w:style w:type="character" w:customStyle="1" w:styleId="41">
    <w:name w:val="Unresolved Mention1"/>
    <w:basedOn w:val="18"/>
    <w:semiHidden/>
    <w:unhideWhenUsed/>
    <w:qFormat/>
    <w:uiPriority w:val="99"/>
    <w:rPr>
      <w:color w:val="808080"/>
      <w:shd w:val="clear" w:color="auto" w:fill="E6E6E6"/>
    </w:rPr>
  </w:style>
  <w:style w:type="character" w:customStyle="1" w:styleId="42">
    <w:name w:val="日期 字符"/>
    <w:basedOn w:val="18"/>
    <w:link w:val="7"/>
    <w:semiHidden/>
    <w:qFormat/>
    <w:uiPriority w:val="99"/>
  </w:style>
  <w:style w:type="paragraph" w:customStyle="1" w:styleId="43">
    <w:name w:val="修订1"/>
    <w:hidden/>
    <w:semiHidden/>
    <w:qFormat/>
    <w:uiPriority w:val="99"/>
    <w:rPr>
      <w:rFonts w:asciiTheme="minorHAnsi" w:hAnsiTheme="minorHAnsi" w:eastAsiaTheme="minorEastAsia" w:cstheme="minorBidi"/>
      <w:sz w:val="22"/>
      <w:szCs w:val="22"/>
      <w:lang w:val="en-US" w:eastAsia="zh-CN" w:bidi="ar-SA"/>
    </w:rPr>
  </w:style>
  <w:style w:type="paragraph" w:customStyle="1" w:styleId="44">
    <w:name w:val="修订2"/>
    <w:hidden/>
    <w:semiHidden/>
    <w:qFormat/>
    <w:uiPriority w:val="99"/>
    <w:rPr>
      <w:rFonts w:asciiTheme="minorHAnsi" w:hAnsiTheme="minorHAnsi" w:eastAsiaTheme="minorEastAsia" w:cstheme="minorBidi"/>
      <w:sz w:val="22"/>
      <w:szCs w:val="22"/>
      <w:lang w:val="en-US" w:eastAsia="zh-CN" w:bidi="ar-SA"/>
    </w:rPr>
  </w:style>
  <w:style w:type="paragraph" w:customStyle="1" w:styleId="45">
    <w:name w:val="修订3"/>
    <w:hidden/>
    <w:semiHidden/>
    <w:qFormat/>
    <w:uiPriority w:val="99"/>
    <w:rPr>
      <w:rFonts w:asciiTheme="minorHAnsi" w:hAnsiTheme="minorHAnsi" w:eastAsiaTheme="minorEastAsia" w:cstheme="minorBidi"/>
      <w:sz w:val="22"/>
      <w:szCs w:val="22"/>
      <w:lang w:val="en-US" w:eastAsia="zh-CN" w:bidi="ar-SA"/>
    </w:rPr>
  </w:style>
  <w:style w:type="paragraph" w:customStyle="1" w:styleId="46">
    <w:name w:val="Revision"/>
    <w:hidden/>
    <w:semiHidden/>
    <w:qFormat/>
    <w:uiPriority w:val="99"/>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2051</Words>
  <Characters>11694</Characters>
  <Lines>97</Lines>
  <Paragraphs>27</Paragraphs>
  <TotalTime>220</TotalTime>
  <ScaleCrop>false</ScaleCrop>
  <LinksUpToDate>false</LinksUpToDate>
  <CharactersWithSpaces>13718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2023-03-21T00:12:00Z</dcterms:created>
  <dc:creator>Hailey Wang</dc:creator>
  <cp:lastModifiedBy> </cp:lastModifiedBy>
  <cp:lastPrinted>2023-01-18T08:38:00Z</cp:lastPrinted>
  <dcterms:modified xsi:type="dcterms:W3CDTF">2023-07-21T10:03:21Z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0C37F70887C64377BD47E57B78D96D3C</vt:lpwstr>
  </property>
  <property fmtid="{D5CDD505-2E9C-101B-9397-08002B2CF9AE}" pid="4" name="_KSOProductBuildMID">
    <vt:lpwstr>SVWMI6GE796Q0V9GQPR8PL057ZD0O7VREO0XTJDAXGHRTGCTZRBRICJVFYRTPC8RXXMXSOLKZI678HNJQEFTRFF78RF0WILBAXOOKHB3B5E6D8BD87DDAE42CDC10256438C030B</vt:lpwstr>
  </property>
  <property fmtid="{D5CDD505-2E9C-101B-9397-08002B2CF9AE}" pid="5" name="_KSOProductBuildSID">
    <vt:lpwstr>CKWMQ6GO797Q0T9GRQR8RL007NL0O7GREN0XOJDBXFF8TGCTZMBRRCJFFY9HP88RXJM69OLIZI678IEJQEFTRF8D89Q0WI5B8NOOQHB378A1F55800F60E3AD26B2C461C10C76D</vt:lpwstr>
  </property>
</Properties>
</file>