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napToGrid w:val="0"/>
        <w:spacing w:line="600" w:lineRule="exact"/>
        <w:jc w:val="both"/>
        <w:rPr>
          <w:rFonts w:ascii="Times New Roman" w:hAnsi="Times New Roman" w:eastAsia="方正大标宋简体" w:cs="Times New Roman"/>
          <w:color w:val="auto"/>
          <w:sz w:val="44"/>
          <w:szCs w:val="44"/>
        </w:rPr>
      </w:pPr>
      <w:bookmarkStart w:id="0" w:name="_Toc1071372"/>
    </w:p>
    <w:p>
      <w:pPr>
        <w:pStyle w:val="48"/>
        <w:snapToGrid w:val="0"/>
        <w:spacing w:line="600" w:lineRule="exact"/>
        <w:jc w:val="center"/>
        <w:rPr>
          <w:rFonts w:ascii="Times New Roman" w:hAnsi="Times New Roman" w:eastAsia="方正大标宋简体" w:cs="Times New Roman"/>
          <w:color w:val="auto"/>
          <w:sz w:val="44"/>
          <w:szCs w:val="44"/>
        </w:rPr>
      </w:pPr>
      <w:bookmarkStart w:id="520" w:name="_GoBack"/>
      <w:r>
        <w:rPr>
          <w:rFonts w:ascii="Times New Roman" w:hAnsi="Times New Roman" w:eastAsia="方正大标宋简体" w:cs="Times New Roman"/>
          <w:color w:val="auto"/>
          <w:sz w:val="44"/>
          <w:szCs w:val="44"/>
        </w:rPr>
        <w:t>北京证券交易所向不特定合格投资者</w:t>
      </w:r>
    </w:p>
    <w:p>
      <w:pPr>
        <w:pStyle w:val="48"/>
        <w:snapToGrid w:val="0"/>
        <w:spacing w:line="600"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公开发行股票并上市业务办理指南</w:t>
      </w:r>
    </w:p>
    <w:p>
      <w:pPr>
        <w:pStyle w:val="48"/>
        <w:snapToGrid w:val="0"/>
        <w:spacing w:line="600"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第2号——发行与上市</w:t>
      </w:r>
    </w:p>
    <w:bookmarkEnd w:id="520"/>
    <w:p>
      <w:pPr>
        <w:widowControl/>
        <w:spacing w:line="600" w:lineRule="exact"/>
        <w:jc w:val="center"/>
        <w:rPr>
          <w:rFonts w:ascii="Times New Roman" w:hAnsi="Times New Roman" w:eastAsia="仿宋" w:cs="Times New Roman"/>
          <w:sz w:val="30"/>
          <w:szCs w:val="30"/>
        </w:rPr>
      </w:pP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发行人向不特定合格投资者公开发行股票并在北京证券交易所上市（以下简称股票公开发行并上市）业务，明确发行人、保荐机构、主承销商在发行承销与在北京证券交易所（以下简称北交所或本所）上市各环节的具体工作要求和工作流程，根据《北京证券交易所证券发行与承销管理细则》（以下简称《发行与承销管理细则》）《北京证券交易所股票向不特定合格投资者公开发行与承销业务实施细则》等相关规则，制定本指南。</w:t>
      </w:r>
    </w:p>
    <w:p>
      <w:pPr>
        <w:pStyle w:val="33"/>
        <w:widowControl/>
        <w:spacing w:line="600" w:lineRule="exact"/>
        <w:ind w:firstLine="640"/>
        <w:jc w:val="left"/>
        <w:outlineLvl w:val="0"/>
        <w:rPr>
          <w:rFonts w:ascii="Times New Roman" w:hAnsi="Times New Roman" w:eastAsia="黑体" w:cs="Times New Roman"/>
          <w:sz w:val="32"/>
          <w:szCs w:val="32"/>
        </w:rPr>
      </w:pPr>
      <w:bookmarkStart w:id="1" w:name="_Toc72003954"/>
      <w:r>
        <w:rPr>
          <w:rFonts w:ascii="Times New Roman" w:hAnsi="Times New Roman" w:eastAsia="黑体" w:cs="Times New Roman"/>
          <w:sz w:val="32"/>
          <w:szCs w:val="32"/>
        </w:rPr>
        <w:t>1</w:t>
      </w:r>
      <w:r>
        <w:rPr>
          <w:rFonts w:ascii="Times New Roman" w:hAnsi="Times New Roman" w:eastAsia="仿宋" w:cs="Times New Roman"/>
          <w:sz w:val="32"/>
          <w:szCs w:val="32"/>
        </w:rPr>
        <w:t>．</w:t>
      </w:r>
      <w:r>
        <w:rPr>
          <w:rFonts w:ascii="Times New Roman" w:hAnsi="Times New Roman" w:eastAsia="黑体" w:cs="Times New Roman"/>
          <w:sz w:val="32"/>
          <w:szCs w:val="32"/>
        </w:rPr>
        <w:t>总体要求</w:t>
      </w:r>
      <w:bookmarkEnd w:id="1"/>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股票公开发行并上市业务实行电子化办理。发行人、主承销商通过本所业务支持平台（以下称BPM系统）报送股票发行申请、定价与配售结果等文件，上传信息披露文件并接收申购数据等。主承销商通过BPM系统提交的文件，应当符合本指南的格式规范。</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股票公开发行的申购代码为“889XXX”。发行人应在《向不特定合格投资者公开发行股票并在北京证券交易所上市发行公告》（以下简称《发行公告》）中正确披露公开发行所采用的代码。 </w:t>
      </w:r>
    </w:p>
    <w:bookmarkEnd w:id="0"/>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除另有说明外，本指南所称日均为交易日。询价初始日定义为X日，申购日定义为T日，在北交所上市日定义为L日。</w:t>
      </w:r>
    </w:p>
    <w:p>
      <w:pPr>
        <w:pStyle w:val="33"/>
        <w:widowControl/>
        <w:spacing w:line="600" w:lineRule="exact"/>
        <w:ind w:firstLine="640"/>
        <w:jc w:val="left"/>
        <w:outlineLvl w:val="0"/>
        <w:rPr>
          <w:rFonts w:ascii="Times New Roman" w:hAnsi="Times New Roman" w:eastAsia="黑体" w:cs="Times New Roman"/>
          <w:sz w:val="32"/>
          <w:szCs w:val="32"/>
        </w:rPr>
      </w:pPr>
      <w:bookmarkStart w:id="2" w:name="_Toc72003955"/>
      <w:bookmarkStart w:id="3" w:name="_Toc18590849"/>
      <w:r>
        <w:rPr>
          <w:rFonts w:ascii="Times New Roman" w:hAnsi="Times New Roman" w:eastAsia="黑体" w:cs="Times New Roman"/>
          <w:sz w:val="32"/>
          <w:szCs w:val="32"/>
        </w:rPr>
        <w:t>2</w:t>
      </w:r>
      <w:r>
        <w:rPr>
          <w:rFonts w:ascii="Times New Roman" w:hAnsi="Times New Roman" w:eastAsia="仿宋" w:cs="Times New Roman"/>
          <w:sz w:val="32"/>
          <w:szCs w:val="32"/>
        </w:rPr>
        <w:t>．</w:t>
      </w:r>
      <w:r>
        <w:rPr>
          <w:rFonts w:ascii="Times New Roman" w:hAnsi="Times New Roman" w:eastAsia="黑体" w:cs="Times New Roman"/>
          <w:sz w:val="32"/>
          <w:szCs w:val="32"/>
        </w:rPr>
        <w:t>发行前准备</w:t>
      </w:r>
      <w:bookmarkEnd w:id="2"/>
      <w:bookmarkEnd w:id="3"/>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4" w:name="_Toc18590850"/>
      <w:bookmarkStart w:id="5" w:name="_Toc72003956"/>
      <w:r>
        <w:rPr>
          <w:rFonts w:ascii="Times New Roman" w:hAnsi="Times New Roman" w:eastAsia="楷体" w:cs="Times New Roman"/>
          <w:b/>
          <w:sz w:val="32"/>
          <w:szCs w:val="32"/>
        </w:rPr>
        <w:t>2.1发行上市相关业务准备</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发行人向不特定合格投资者公开发行股票经上市委员会审议符合发行条件、上市条件和信息披露要求后，如有重大疑难事项或</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规则理解适用方面有重大问题的，主承销商可通过发行承销</w:t>
      </w:r>
      <w:r>
        <w:rPr>
          <w:rFonts w:hint="eastAsia" w:ascii="Times New Roman" w:hAnsi="Times New Roman" w:eastAsia="仿宋" w:cs="Times New Roman"/>
          <w:sz w:val="32"/>
          <w:szCs w:val="32"/>
        </w:rPr>
        <w:t>业务咨询邮箱（见附件10）</w:t>
      </w:r>
      <w:r>
        <w:rPr>
          <w:rFonts w:ascii="Times New Roman" w:hAnsi="Times New Roman" w:eastAsia="仿宋" w:cs="Times New Roman"/>
          <w:sz w:val="32"/>
          <w:szCs w:val="32"/>
        </w:rPr>
        <w:t>，与北交所</w:t>
      </w:r>
      <w:r>
        <w:rPr>
          <w:rFonts w:hint="eastAsia" w:ascii="Times New Roman" w:hAnsi="Times New Roman" w:eastAsia="仿宋" w:cs="Times New Roman"/>
          <w:sz w:val="32"/>
          <w:szCs w:val="32"/>
        </w:rPr>
        <w:t>预约业务咨询时间进行</w:t>
      </w:r>
      <w:r>
        <w:rPr>
          <w:rFonts w:ascii="Times New Roman" w:hAnsi="Times New Roman" w:eastAsia="仿宋" w:cs="Times New Roman"/>
          <w:sz w:val="32"/>
          <w:szCs w:val="32"/>
        </w:rPr>
        <w:t xml:space="preserve">预沟通。 </w:t>
      </w:r>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t>2.2</w:t>
      </w:r>
      <w:r>
        <w:rPr>
          <w:rFonts w:ascii="Times New Roman" w:hAnsi="Times New Roman" w:eastAsia="楷体" w:cs="Times New Roman"/>
          <w:b/>
          <w:sz w:val="32"/>
          <w:szCs w:val="32"/>
        </w:rPr>
        <w:t>提交</w:t>
      </w:r>
      <w:bookmarkEnd w:id="4"/>
      <w:r>
        <w:rPr>
          <w:rFonts w:ascii="Times New Roman" w:hAnsi="Times New Roman" w:eastAsia="楷体" w:cs="Times New Roman"/>
          <w:b/>
          <w:sz w:val="32"/>
          <w:szCs w:val="32"/>
        </w:rPr>
        <w:t>发行与承销方案</w:t>
      </w:r>
      <w:bookmarkEnd w:id="5"/>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公开发行股票经中国证监会同意注册后，主承销商通过BPM系统“发行承销-发行与承销方案填报”模块提交发行与承销方案等相关文件（文件明细详见表1）。发行与承销方案需明确本次发行股票数量、战略投资者的名单及认购配售安排（如有）、超额配售选择权的设置（如有）、发行阶段的时间安排等内容。</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w:t>
      </w:r>
    </w:p>
    <w:tbl>
      <w:tblPr>
        <w:tblStyle w:val="26"/>
        <w:tblpPr w:leftFromText="180" w:rightFromText="180" w:vertAnchor="text" w:horzAnchor="margin" w:tblpY="15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350"/>
        <w:gridCol w:w="1401"/>
        <w:gridCol w:w="126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350"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01" w:type="dxa"/>
            <w:shd w:val="clear" w:color="auto" w:fill="D8D8D8" w:themeFill="background1" w:themeFillShade="D9"/>
            <w:vAlign w:val="center"/>
          </w:tcPr>
          <w:p>
            <w:pPr>
              <w:spacing w:line="276" w:lineRule="auto"/>
              <w:ind w:firstLine="120" w:firstLineChars="50"/>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265" w:type="dxa"/>
            <w:shd w:val="clear" w:color="auto" w:fill="D8D8D8" w:themeFill="background1" w:themeFillShade="D9"/>
            <w:vAlign w:val="center"/>
          </w:tcPr>
          <w:p>
            <w:pPr>
              <w:spacing w:line="276" w:lineRule="auto"/>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2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发行与承销方案</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关于通过北京证券交易所交易系统发行股票的申请</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投资价值研究报告（如有）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重大事项确认函</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文件一致承诺函</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主承销商经办人员的身份证明文件及授权书</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发行人经办人员的身份证明文件及授权书</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战略配售方案（如有）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主承销商关于战略投资者的专项核查报告及发行人</w:t>
            </w:r>
            <w:r>
              <w:rPr>
                <w:rFonts w:hint="eastAsia" w:ascii="Times New Roman" w:hAnsi="Times New Roman" w:eastAsia="仿宋" w:cs="Times New Roman"/>
                <w:sz w:val="24"/>
                <w:szCs w:val="24"/>
              </w:rPr>
              <w:t>、参与战略配售的投资者</w:t>
            </w:r>
            <w:r>
              <w:rPr>
                <w:rFonts w:ascii="Times New Roman" w:hAnsi="Times New Roman" w:eastAsia="仿宋" w:cs="Times New Roman"/>
                <w:sz w:val="24"/>
                <w:szCs w:val="24"/>
              </w:rPr>
              <w:t>承诺函（如有）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高管和核心员工参与战略配售的合同及备案证明文件（如有）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战略投资者配售协议（如有）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超额配售选择权方案（如有）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承销协议及补充协议</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承销团协议（如有）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335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6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2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当日10：00前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gridSpan w:val="5"/>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注1 发行与承销方案应由发行人和主承销商加盖公章。</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注2 主承销商经办人员的身份证明文件及授权书：主承销商经办人员的身份证复印件以及主承销商出具的由董事长或者总经理签名的授权书。</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注3 发行人经办人员的身份证明文件及授权书：发行人经办人员的身份证复印件及发行人出具的由董事长或者总经理签名的授权书。</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注4 主承销商关于战略投资者的专项核查报告及发行人</w:t>
            </w:r>
            <w:r>
              <w:rPr>
                <w:rFonts w:hint="eastAsia" w:ascii="Times New Roman" w:hAnsi="Times New Roman" w:eastAsia="仿宋" w:cs="Times New Roman"/>
                <w:sz w:val="24"/>
                <w:szCs w:val="24"/>
              </w:rPr>
              <w:t>、参与战略配售的投资者</w:t>
            </w:r>
            <w:r>
              <w:rPr>
                <w:rFonts w:ascii="Times New Roman" w:hAnsi="Times New Roman" w:eastAsia="仿宋" w:cs="Times New Roman"/>
                <w:sz w:val="24"/>
                <w:szCs w:val="24"/>
              </w:rPr>
              <w:t>承诺函：主承销商对战略投资者的选取标准、配售资格及是否存在禁止性情形的专项核查报告（加盖公章），发行人</w:t>
            </w:r>
            <w:r>
              <w:rPr>
                <w:rFonts w:hint="eastAsia" w:ascii="Times New Roman" w:hAnsi="Times New Roman" w:eastAsia="仿宋" w:cs="Times New Roman"/>
                <w:sz w:val="24"/>
                <w:szCs w:val="24"/>
              </w:rPr>
              <w:t>及参与战略配售的投资者</w:t>
            </w:r>
            <w:r>
              <w:rPr>
                <w:rFonts w:ascii="Times New Roman" w:hAnsi="Times New Roman" w:eastAsia="仿宋" w:cs="Times New Roman"/>
                <w:sz w:val="24"/>
                <w:szCs w:val="24"/>
              </w:rPr>
              <w:t>就该核查事项出具的承诺函（加盖公章）。</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注5 高管和核心员工参与战略配售的合同及备案证明文件：高管和核心员工参与战略配售的，设立专项资产管理计划或员工持股计划的合同、完成基金业协会等金融监管部门的备案文件。</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注6 战略配售方案和超额配售选择权方案应由发行人和主承销商加盖公章。</w:t>
            </w:r>
          </w:p>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注7 其他文件：发行人与主承销商认为需要提交或本所要求提交的其他类型文件（下同）。</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承销商提交发行与承销方案等文件的同时需填写项目信息表单，上传发行人的logo图片（命名为“证券代码+证券简称”）。主承销商应在信息表单中填报定价方式、发行人确定的公开发行股票并上市选用的市值标准、中国证监会注册文件到期日、主承销商在中国结算北京分公司开立的自营结算备付金账户等内容。</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6" w:name="_Toc72003957"/>
      <w:bookmarkStart w:id="7" w:name="_Toc18590851"/>
      <w:r>
        <w:rPr>
          <w:rFonts w:ascii="Times New Roman" w:hAnsi="Times New Roman" w:eastAsia="楷体" w:cs="Times New Roman"/>
          <w:b/>
          <w:sz w:val="32"/>
          <w:szCs w:val="32"/>
        </w:rPr>
        <w:t>2.</w:t>
      </w:r>
      <w:r>
        <w:rPr>
          <w:rFonts w:hint="eastAsia" w:ascii="Times New Roman" w:hAnsi="Times New Roman" w:eastAsia="楷体" w:cs="Times New Roman"/>
          <w:b/>
          <w:sz w:val="32"/>
          <w:szCs w:val="32"/>
        </w:rPr>
        <w:t>3</w:t>
      </w:r>
      <w:r>
        <w:rPr>
          <w:rFonts w:ascii="Times New Roman" w:hAnsi="Times New Roman" w:eastAsia="楷体" w:cs="Times New Roman"/>
          <w:b/>
          <w:sz w:val="32"/>
          <w:szCs w:val="32"/>
        </w:rPr>
        <w:t xml:space="preserve"> 与中国结算有关的准备事宜</w:t>
      </w:r>
      <w:bookmarkEnd w:id="6"/>
      <w:bookmarkEnd w:id="7"/>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主承销商应当协助发行人向中国结算北京分公司了解办理股份登记及资金结算等事宜。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与承销方案提交后，发行人与保荐机构应当及时核查停牌前一个交易日在册股东情况，相关股东属于《北京证券交易所上市规则（试行）》第2.4.1至2.4.6条规定的限售主体情形的，发行人应当最迟于申购前一日向中国结算北京分公司报送经保荐机构确认的限售申请文件，具体要求按中国结算北京分公司相关规定办理。</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8" w:name="_Toc72003958"/>
      <w:r>
        <w:rPr>
          <w:rFonts w:ascii="Times New Roman" w:hAnsi="Times New Roman" w:eastAsia="楷体" w:cs="Times New Roman"/>
          <w:b/>
          <w:sz w:val="32"/>
          <w:szCs w:val="32"/>
        </w:rPr>
        <w:t>2.</w:t>
      </w:r>
      <w:r>
        <w:rPr>
          <w:rFonts w:hint="eastAsia" w:ascii="Times New Roman" w:hAnsi="Times New Roman" w:eastAsia="楷体" w:cs="Times New Roman"/>
          <w:b/>
          <w:sz w:val="32"/>
          <w:szCs w:val="32"/>
        </w:rPr>
        <w:t>4</w:t>
      </w:r>
      <w:r>
        <w:rPr>
          <w:rFonts w:ascii="Times New Roman" w:hAnsi="Times New Roman" w:eastAsia="楷体" w:cs="Times New Roman"/>
          <w:b/>
          <w:sz w:val="32"/>
          <w:szCs w:val="32"/>
        </w:rPr>
        <w:t xml:space="preserve"> 网上路演有关的准备事宜</w:t>
      </w:r>
      <w:bookmarkEnd w:id="8"/>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发行人和主承销商确定网上路演日后，应及时与本所联系。</w:t>
      </w:r>
    </w:p>
    <w:p>
      <w:pPr>
        <w:pStyle w:val="33"/>
        <w:widowControl/>
        <w:spacing w:line="600" w:lineRule="exact"/>
        <w:ind w:firstLine="640"/>
        <w:jc w:val="left"/>
        <w:outlineLvl w:val="0"/>
        <w:rPr>
          <w:rFonts w:ascii="Times New Roman" w:hAnsi="Times New Roman" w:eastAsia="黑体" w:cs="Times New Roman"/>
          <w:sz w:val="32"/>
          <w:szCs w:val="32"/>
        </w:rPr>
      </w:pPr>
      <w:bookmarkStart w:id="9" w:name="_Toc18590852"/>
      <w:bookmarkStart w:id="10" w:name="_Toc72003959"/>
      <w:r>
        <w:rPr>
          <w:rFonts w:ascii="Times New Roman" w:hAnsi="Times New Roman" w:eastAsia="黑体" w:cs="Times New Roman"/>
          <w:sz w:val="32"/>
          <w:szCs w:val="32"/>
        </w:rPr>
        <w:t>3</w:t>
      </w:r>
      <w:r>
        <w:rPr>
          <w:rFonts w:ascii="Times New Roman" w:hAnsi="Times New Roman" w:eastAsia="仿宋" w:cs="Times New Roman"/>
          <w:sz w:val="32"/>
          <w:szCs w:val="32"/>
        </w:rPr>
        <w:t>．</w:t>
      </w:r>
      <w:r>
        <w:rPr>
          <w:rFonts w:ascii="Times New Roman" w:hAnsi="Times New Roman" w:eastAsia="黑体" w:cs="Times New Roman"/>
          <w:sz w:val="32"/>
          <w:szCs w:val="32"/>
        </w:rPr>
        <w:t>发行</w:t>
      </w:r>
      <w:bookmarkEnd w:id="9"/>
      <w:bookmarkEnd w:id="10"/>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主承销商提交发行与承销方案后，本所两日内无异议的（主承销商于10：00后提交的，提交日不纳入计算），主承销商可在BPM系统“发行承销-选择发行代码”模块选择发行代码，启动发行。发行代码一经选择，不可更改。 </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在询价公告（询价方式下）或发行公告（直接定价或竞价方式下）披露后，主承销商应通过“发行时间安排和联系方式”模块填写发行阶段时间安排</w:t>
      </w:r>
      <w:r>
        <w:rPr>
          <w:rFonts w:hint="eastAsia" w:ascii="Times New Roman" w:hAnsi="Times New Roman" w:eastAsia="仿宋" w:cs="Times New Roman"/>
          <w:sz w:val="32"/>
          <w:szCs w:val="32"/>
          <w:lang w:eastAsia="zh-Hans"/>
        </w:rPr>
        <w:t>，</w:t>
      </w:r>
      <w:r>
        <w:rPr>
          <w:rFonts w:hint="eastAsia" w:ascii="Times New Roman" w:hAnsi="Times New Roman" w:eastAsia="仿宋" w:cs="Times New Roman"/>
          <w:sz w:val="32"/>
          <w:szCs w:val="32"/>
        </w:rPr>
        <w:t>拟上市日期暂不填写。发行时间安排和联系方式发生变化的，主承销商应当及时在BPM系统“发行时间安排和联系方式”模块进行修改。</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发行人和主承销商应当按照发行与承销方案中列明的发行承销相关工作安排及发行时间安排中填写的时间表推进发行工作。启动发行后，发行人和主承销商不得再对发行与承销方案作出修改。如因特殊情况需要对发行与承销方案作出重大调整的，应当及时通知本所。 </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向不特定合格投资者公开发行股票，根据《发行与承销管理细则》的规定，发行人和主承销商可以通过自主协商直接定价、</w:t>
      </w:r>
      <w:bookmarkStart w:id="11" w:name="_Toc18590854"/>
      <w:r>
        <w:rPr>
          <w:rFonts w:ascii="Times New Roman" w:hAnsi="Times New Roman" w:eastAsia="仿宋" w:cs="Times New Roman"/>
          <w:sz w:val="32"/>
          <w:szCs w:val="32"/>
        </w:rPr>
        <w:t>合格投资者网上竞价或网下询价等方式确定发行价格。</w:t>
      </w:r>
      <w:bookmarkStart w:id="12" w:name="_Toc72003960"/>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ascii="Times New Roman" w:hAnsi="Times New Roman" w:eastAsia="楷体" w:cs="Times New Roman"/>
          <w:b/>
          <w:sz w:val="32"/>
          <w:szCs w:val="32"/>
        </w:rPr>
        <w:t>3.1 直接定价发行</w:t>
      </w:r>
      <w:bookmarkEnd w:id="11"/>
      <w:bookmarkEnd w:id="12"/>
    </w:p>
    <w:p>
      <w:pPr>
        <w:adjustRightInd w:val="0"/>
        <w:snapToGrid w:val="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374640" cy="2236470"/>
            <wp:effectExtent l="0" t="0" r="16510" b="11430"/>
            <wp:docPr id="6" name="图片 6" descr="/home/chenai/Desktop/指南2号-流程图(1)/指南2号-流程图_02.png指南2号-流程图_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home/chenai/Desktop/指南2号-流程图(1)/指南2号-流程图_02.png指南2号-流程图_02"/>
                    <pic:cNvPicPr>
                      <a:picLocks noChangeAspect="true"/>
                    </pic:cNvPicPr>
                  </pic:nvPicPr>
                  <pic:blipFill>
                    <a:blip r:embed="rId6"/>
                    <a:srcRect t="18491" r="26124" b="26871"/>
                    <a:stretch>
                      <a:fillRect/>
                    </a:stretch>
                  </pic:blipFill>
                  <pic:spPr>
                    <a:xfrm>
                      <a:off x="0" y="0"/>
                      <a:ext cx="5374640" cy="2236470"/>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 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3.1.1.1 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10：00前，主承销商在BPM系统“发行承销-申购申请”模块上传《向不特定合格投资者公开发行股票并在北京证券交易所上市网上路演公告》（以下简称《网上路演公告》）《发行公告》《向不特定合格投资者公开发行股票并在北京证券交易所上市投资风险特别公告》（以下简称《投资风险特别公告》）《向不特定合格投资者公开发行股票并在北京证券交易所上市招股说明书》（以下简称《招股说明书》）等文件，同时填写并提交申购信息单；</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对战略投资者的专项核查报告；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3.1.1.3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表2</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591"/>
        <w:gridCol w:w="1115"/>
        <w:gridCol w:w="170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591"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115"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w:t>
            </w:r>
          </w:p>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要求</w:t>
            </w:r>
          </w:p>
        </w:tc>
        <w:tc>
          <w:tcPr>
            <w:tcW w:w="1702"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2061" w:type="dxa"/>
            <w:shd w:val="clear" w:color="auto" w:fill="D0CECE" w:themeFill="background2" w:themeFillShade="E6"/>
            <w:vAlign w:val="center"/>
          </w:tcPr>
          <w:p>
            <w:pPr>
              <w:spacing w:line="36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网上路演公告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591" w:type="dxa"/>
            <w:vAlign w:val="center"/>
          </w:tcPr>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发行公告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投资风险特别公告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w:t>
            </w:r>
          </w:p>
        </w:tc>
        <w:tc>
          <w:tcPr>
            <w:tcW w:w="359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1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w:t>
            </w:r>
            <w:r>
              <w:rPr>
                <w:rFonts w:ascii="Times New Roman" w:hAnsi="Times New Roman" w:eastAsia="仿宋" w:cs="Times New Roman"/>
                <w:sz w:val="24"/>
                <w:szCs w:val="24"/>
              </w:rPr>
              <w: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p>
        </w:tc>
        <w:tc>
          <w:tcPr>
            <w:tcW w:w="359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115"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702"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061"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3.1.2 T-1日或之前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3.1.3.1 申购日9：15-11：30，13：00-15：00，投资者通过证券公司进行申购委托；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3.1.3.4 16：00后，主承销商在BPM系统“发行承销-申购结果”模块查看投资者申购结果。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.1 10：00前，主承销商在BPM系统“发行承销-配售申请”模块填写网上实际发行数量（含超额配售选择权）、最终战略投资者配售数量（非延期交付）、延期交付总量、</w:t>
      </w:r>
      <w:r>
        <w:rPr>
          <w:rFonts w:hint="eastAsia" w:ascii="Times New Roman" w:hAnsi="Times New Roman" w:eastAsia="仿宋" w:cs="Times New Roman"/>
          <w:sz w:val="32"/>
          <w:szCs w:val="32"/>
        </w:rPr>
        <w:t>余额</w:t>
      </w:r>
      <w:r>
        <w:rPr>
          <w:rFonts w:ascii="Times New Roman" w:hAnsi="Times New Roman" w:eastAsia="仿宋" w:cs="Times New Roman"/>
          <w:sz w:val="32"/>
          <w:szCs w:val="32"/>
        </w:rPr>
        <w:t>包销数量，并上传主要股东明细表、</w:t>
      </w:r>
      <w:r>
        <w:rPr>
          <w:rFonts w:hint="eastAsia" w:ascii="Times New Roman" w:hAnsi="Times New Roman" w:eastAsia="仿宋" w:cs="Times New Roman"/>
          <w:sz w:val="32"/>
          <w:szCs w:val="32"/>
        </w:rPr>
        <w:t>余额</w:t>
      </w:r>
      <w:r>
        <w:rPr>
          <w:rFonts w:ascii="Times New Roman" w:hAnsi="Times New Roman" w:eastAsia="仿宋" w:cs="Times New Roman"/>
          <w:sz w:val="32"/>
          <w:szCs w:val="32"/>
        </w:rPr>
        <w:t xml:space="preserve">包销明细表（如有）。其中，网上实际发行数量不包含主承销商包销部分；如不存在上述情形对应数据的，应填写“0”； </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r>
        <w:rPr>
          <w:rFonts w:hint="eastAsia" w:ascii="Times New Roman" w:hAnsi="Times New Roman" w:eastAsia="仿宋" w:cs="Times New Roman"/>
          <w:sz w:val="32"/>
          <w:szCs w:val="32"/>
        </w:rPr>
        <w:t>；</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表3</w:t>
      </w:r>
    </w:p>
    <w:tbl>
      <w:tblPr>
        <w:tblStyle w:val="2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322"/>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893"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7"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22"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39" w:type="dxa"/>
            <w:shd w:val="clear" w:color="auto" w:fill="D8D8D8" w:themeFill="background1" w:themeFillShade="D9"/>
            <w:vAlign w:val="center"/>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主要股东明细表</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战略投资者配售明细表（非延期交付）（如有）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战略投资者配售明细表（延期交付）（如有）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893"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余额</w:t>
            </w:r>
            <w:r>
              <w:rPr>
                <w:rFonts w:ascii="Times New Roman" w:hAnsi="Times New Roman" w:eastAsia="仿宋" w:cs="Times New Roman"/>
                <w:sz w:val="24"/>
                <w:szCs w:val="24"/>
              </w:rPr>
              <w:t>包销明细表（如有）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center"/>
          </w:tcPr>
          <w:p>
            <w:pPr>
              <w:pStyle w:val="2"/>
              <w:spacing w:line="276" w:lineRule="auto"/>
              <w:rPr>
                <w:rFonts w:ascii="Times New Roman" w:hAnsi="Times New Roman" w:eastAsia="仿宋" w:cs="Times New Roman"/>
                <w:b w:val="0"/>
                <w:bCs/>
                <w:sz w:val="24"/>
                <w:szCs w:val="24"/>
              </w:rPr>
            </w:pPr>
            <w:r>
              <w:rPr>
                <w:rFonts w:ascii="Times New Roman" w:hAnsi="Times New Roman" w:eastAsia="仿宋" w:cs="Times New Roman"/>
                <w:b w:val="0"/>
                <w:bCs/>
                <w:sz w:val="24"/>
                <w:szCs w:val="24"/>
              </w:rPr>
              <w:t>注</w:t>
            </w:r>
            <w:r>
              <w:rPr>
                <w:rFonts w:hint="eastAsia" w:ascii="Times New Roman" w:hAnsi="Times New Roman" w:eastAsia="仿宋" w:cs="Times New Roman"/>
                <w:b w:val="0"/>
                <w:bCs/>
                <w:sz w:val="24"/>
                <w:szCs w:val="24"/>
              </w:rPr>
              <w:t xml:space="preserve">1 </w:t>
            </w:r>
            <w:r>
              <w:rPr>
                <w:rFonts w:ascii="Times New Roman" w:hAnsi="Times New Roman" w:eastAsia="仿宋" w:cs="Times New Roman"/>
                <w:b w:val="0"/>
                <w:bCs/>
                <w:sz w:val="24"/>
                <w:szCs w:val="24"/>
              </w:rPr>
              <w:t>主要股东明细表需在BPM系统提交文件页面下载模板，发行人和主承销商应当分别上传PDF、Excel格式文件，并对PDF格式文件加盖公章，下同</w:t>
            </w:r>
            <w:r>
              <w:rPr>
                <w:rFonts w:hint="eastAsia" w:ascii="Times New Roman" w:hAnsi="Times New Roman" w:eastAsia="仿宋" w:cs="Times New Roman"/>
                <w:b w:val="0"/>
                <w:bCs/>
                <w:sz w:val="24"/>
                <w:szCs w:val="24"/>
              </w:rPr>
              <w:t>。</w:t>
            </w:r>
          </w:p>
          <w:p>
            <w:pPr>
              <w:pStyle w:val="2"/>
              <w:spacing w:line="276" w:lineRule="auto"/>
              <w:rPr>
                <w:rFonts w:ascii="Times New Roman" w:hAnsi="Times New Roman" w:eastAsia="仿宋" w:cs="Times New Roman"/>
                <w:sz w:val="24"/>
                <w:szCs w:val="24"/>
              </w:rPr>
            </w:pPr>
            <w:r>
              <w:rPr>
                <w:rFonts w:hint="eastAsia" w:ascii="Times New Roman" w:hAnsi="Times New Roman" w:eastAsia="仿宋" w:cs="Times New Roman"/>
                <w:b w:val="0"/>
                <w:bCs/>
                <w:sz w:val="24"/>
                <w:szCs w:val="24"/>
              </w:rPr>
              <w:t>注2 网上投资者有效申购总量小于网上实际发行数量的，主承销商应当填写余额包销明细表</w:t>
            </w:r>
            <w:r>
              <w:rPr>
                <w:rFonts w:ascii="Times New Roman" w:hAnsi="Times New Roman" w:eastAsia="仿宋" w:cs="Times New Roman"/>
                <w:b w:val="0"/>
                <w:bCs/>
                <w:sz w:val="24"/>
                <w:szCs w:val="24"/>
              </w:rPr>
              <w:t>，下同</w:t>
            </w:r>
            <w:r>
              <w:rPr>
                <w:rFonts w:hint="eastAsia" w:ascii="Times New Roman" w:hAnsi="Times New Roman" w:eastAsia="仿宋" w:cs="Times New Roman"/>
                <w:b w:val="0"/>
                <w:bCs/>
                <w:sz w:val="24"/>
                <w:szCs w:val="24"/>
              </w:rPr>
              <w:t>。</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16：00前，结算参与人应当根据中国结算北京分公司提供的清算数据将申购资金足额存入综合结算备付金账户，中国结算北京分公司与结算参与人完成股票申购资金交收；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3.1.4.</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rPr>
        <w:t>8</w:t>
      </w:r>
      <w:r>
        <w:rPr>
          <w:rFonts w:ascii="Times New Roman" w:hAnsi="Times New Roman" w:eastAsia="仿宋" w:cs="Times New Roman"/>
          <w:sz w:val="32"/>
          <w:szCs w:val="32"/>
        </w:rPr>
        <w:t>：00后，主承销商在BPM系统“发行承销-配售结果”模块查看发行人配售结果相关数据</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Times New Roman"/>
          <w:sz w:val="32"/>
          <w:szCs w:val="32"/>
        </w:rPr>
        <w:t>4.6</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3.1.5 T+2日</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1 12：00前，主承销商在BPM系统“发行承销-发行结果公告”模块上传《向不特定合格投资者公开发行股票并在北京证券交易所上市发行结果公告》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发行结果公告》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3 解冻的剩余资金返还到账；</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5 发行人聘请会计师事务所验资并出具验资报告；</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3.1.5.</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表4</w:t>
      </w:r>
    </w:p>
    <w:tbl>
      <w:tblPr>
        <w:tblStyle w:val="2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559"/>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559"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41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212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6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发行结果公告</w:t>
            </w:r>
          </w:p>
        </w:tc>
        <w:tc>
          <w:tcPr>
            <w:tcW w:w="1559"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2126"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2</w:t>
            </w:r>
            <w:r>
              <w:rPr>
                <w:rFonts w:ascii="Times New Roman" w:hAnsi="Times New Roman" w:eastAsia="仿宋" w:cs="Times New Roman"/>
                <w:sz w:val="24"/>
                <w:szCs w:val="30"/>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559"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41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2126"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2</w:t>
            </w:r>
            <w:r>
              <w:rPr>
                <w:rFonts w:ascii="Times New Roman" w:hAnsi="Times New Roman" w:eastAsia="仿宋" w:cs="Times New Roman"/>
                <w:sz w:val="24"/>
                <w:szCs w:val="30"/>
              </w:rPr>
              <w:t>日12：00前</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3" w:name="_Toc72003961"/>
      <w:r>
        <w:rPr>
          <w:rFonts w:ascii="Times New Roman" w:hAnsi="Times New Roman" w:eastAsia="楷体" w:cs="Times New Roman"/>
          <w:b/>
          <w:sz w:val="32"/>
          <w:szCs w:val="32"/>
        </w:rPr>
        <w:t>3.2 竞价发行</w:t>
      </w:r>
      <w:bookmarkEnd w:id="13"/>
    </w:p>
    <w:p>
      <w:pPr>
        <w:adjustRightInd w:val="0"/>
        <w:snapToGrid w:val="0"/>
        <w:outlineLvl w:val="1"/>
        <w:rPr>
          <w:rFonts w:ascii="Times New Roman" w:hAnsi="Times New Roman" w:eastAsia="楷体" w:cs="Times New Roman"/>
          <w:b/>
          <w:sz w:val="32"/>
          <w:szCs w:val="32"/>
        </w:rPr>
      </w:pPr>
    </w:p>
    <w:p>
      <w:pPr>
        <w:adjustRightInd w:val="0"/>
        <w:snapToGrid w:val="0"/>
        <w:jc w:val="left"/>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377815" cy="2778760"/>
            <wp:effectExtent l="0" t="0" r="13335" b="2540"/>
            <wp:docPr id="2" name="图片 2" descr="/home/chenai/Desktop/指南2号-流程图(1)/指南2号-流程图_03.png指南2号-流程图_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ome/chenai/Desktop/指南2号-流程图(1)/指南2号-流程图_03.png指南2号-流程图_03"/>
                    <pic:cNvPicPr>
                      <a:picLocks noChangeAspect="true"/>
                    </pic:cNvPicPr>
                  </pic:nvPicPr>
                  <pic:blipFill>
                    <a:blip r:embed="rId7"/>
                    <a:srcRect t="15549" r="25762" b="16261"/>
                    <a:stretch>
                      <a:fillRect/>
                    </a:stretch>
                  </pic:blipFill>
                  <pic:spPr>
                    <a:xfrm>
                      <a:off x="0" y="0"/>
                      <a:ext cx="5377815" cy="2778760"/>
                    </a:xfrm>
                    <a:prstGeom prst="rect">
                      <a:avLst/>
                    </a:prstGeom>
                  </pic:spPr>
                </pic:pic>
              </a:graphicData>
            </a:graphic>
          </wp:inline>
        </w:drawing>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日或之前</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3.2.1.1</w:t>
      </w:r>
      <w:r>
        <w:rPr>
          <w:rFonts w:ascii="Times New Roman" w:hAnsi="Times New Roman" w:eastAsia="仿宋" w:cs="Times New Roman"/>
          <w:b/>
          <w:sz w:val="32"/>
          <w:szCs w:val="32"/>
        </w:rPr>
        <w:t xml:space="preserve"> </w:t>
      </w:r>
      <w:r>
        <w:rPr>
          <w:rFonts w:ascii="Times New Roman" w:hAnsi="Times New Roman" w:eastAsia="仿宋" w:cs="Times New Roman"/>
          <w:sz w:val="32"/>
          <w:szCs w:val="32"/>
        </w:rPr>
        <w:t>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日10：00前，主承销商在BPM系统“发行承销-申购申请”模块上传《网上路演公告》《向不特定合格投资者公开发行股票并在北京证券交易所上市竞价发行公告》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竞价发行公告》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《向不特定合格投资者公开发行股票并在北京证券交易所上市招股意向书》</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招股意向书》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以及关联方明细表等文件，同时填写并提交申购信息单； </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战略投资者的专项核查报告；</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3.2.1.2 公告于当日15：30后披露，主承销商可登陆本所网站查看公告文件标题、正文等信息是否正确，如有问题，及时与本所联系；</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3.2.1.3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表5</w:t>
      </w:r>
    </w:p>
    <w:tbl>
      <w:tblPr>
        <w:tblStyle w:val="26"/>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260"/>
        <w:gridCol w:w="1418"/>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260"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8"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701"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42" w:type="dxa"/>
            <w:shd w:val="clear" w:color="auto" w:fill="D0CECE" w:themeFill="background2" w:themeFillShade="E6"/>
          </w:tcPr>
          <w:p>
            <w:pPr>
              <w:spacing w:line="40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网上路演公告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260" w:type="dxa"/>
          </w:tcPr>
          <w:p>
            <w:pPr>
              <w:spacing w:line="40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竞价</w:t>
            </w:r>
            <w:r>
              <w:rPr>
                <w:rFonts w:ascii="Times New Roman" w:hAnsi="Times New Roman" w:eastAsia="仿宋" w:cs="Times New Roman"/>
                <w:sz w:val="24"/>
                <w:szCs w:val="24"/>
              </w:rPr>
              <w:t>发行公告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关联方明细表</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投资价值研究报告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260" w:type="dxa"/>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主承销商关于战略投资者的专项核查报告（如有）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p>
        </w:tc>
        <w:tc>
          <w:tcPr>
            <w:tcW w:w="3260"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41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w:t>
            </w:r>
            <w:r>
              <w:rPr>
                <w:rFonts w:ascii="Times New Roman" w:hAnsi="Times New Roman" w:eastAsia="仿宋" w:cs="Times New Roman"/>
                <w:sz w:val="24"/>
                <w:szCs w:val="24"/>
              </w:rPr>
              <w: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6</w:t>
            </w:r>
          </w:p>
        </w:tc>
        <w:tc>
          <w:tcPr>
            <w:tcW w:w="3260"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8"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vAlign w:val="center"/>
          </w:tcPr>
          <w:p>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注：关联方明细表为本所规定的不得向其配售的投资者名单，发行人和主承销商应当分别上传PDF、Excel格式文件，并对PDF格式文件加盖公章。 </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3.2.2 T-1日或之前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3.2.3.1 申购日9：15-11：30，13：00-15：00，投资者通过证券公司进行申购委托；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3.2.3.4 16：00后，主承销商在BPM系统“发行承销-申购结果”模块查看竞价申购明细、竞价申购结果。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.1 10：00前，主承销商在BPM系统“发行承销-配售申请”模块上传《向不特定合格投资者公开发行股票并在北京证券交易所上市竞价结果公告》</w:t>
      </w:r>
      <w:r>
        <w:rPr>
          <w:rFonts w:hint="eastAsia" w:ascii="Times New Roman" w:hAnsi="Times New Roman" w:eastAsia="仿宋" w:cs="Times New Roman"/>
          <w:sz w:val="32"/>
          <w:szCs w:val="32"/>
        </w:rPr>
        <w:t>（以下简称《竞价结果公告》）</w:t>
      </w:r>
      <w:r>
        <w:rPr>
          <w:rFonts w:ascii="Times New Roman" w:hAnsi="Times New Roman" w:eastAsia="仿宋" w:cs="Times New Roman"/>
          <w:sz w:val="32"/>
          <w:szCs w:val="32"/>
        </w:rPr>
        <w:t>、主要股东明细表、</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明细表（如有），填写发行价格、发行市盈率、高报价剔除数量、网上实际发行数量（含超额配售选择权）、最终战略投资者配售数量（非延期交付）、延期交付数量、</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数量。其中，网上实际发行数量不包含主承销商包销部分；如不存在上述情形对应数据的，应填写“0”；</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2 《</w:t>
      </w:r>
      <w:r>
        <w:rPr>
          <w:rFonts w:ascii="Times New Roman" w:hAnsi="Times New Roman" w:eastAsia="仿宋" w:cs="Times New Roman"/>
          <w:sz w:val="32"/>
          <w:szCs w:val="32"/>
        </w:rPr>
        <w:t>竞价结果公告》于当日15：30后披露，主承销商可登陆本所网站查看公告文件标题、正文等信息是否正确，如有问题，及时与本所联系；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表6</w:t>
      </w:r>
    </w:p>
    <w:tbl>
      <w:tblPr>
        <w:tblStyle w:val="2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9"/>
        <w:gridCol w:w="1394"/>
        <w:gridCol w:w="151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119"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39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51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6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竞价结果公告</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主要股东明细表</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战略投资者配售明细表（非延期交付）（如有）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战略投资者配售明细表（延期交付）（如有）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3119" w:type="dxa"/>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16：00前，结算参与人根据中国结算北京分公司提供的清算数据将申购资金足额存入综合结算备付金账户，中国结算北京分公司与结算参与人完成股票申购资金交收；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3.2.4.</w:t>
      </w:r>
      <w:r>
        <w:rPr>
          <w:rFonts w:hint="eastAsia" w:ascii="Times New Roman" w:hAnsi="Times New Roman" w:eastAsia="仿宋" w:cs="Times New Roman"/>
          <w:sz w:val="32"/>
          <w:szCs w:val="32"/>
        </w:rPr>
        <w:t>5</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rPr>
        <w:t>8</w:t>
      </w:r>
      <w:r>
        <w:rPr>
          <w:rFonts w:ascii="Times New Roman" w:hAnsi="Times New Roman" w:eastAsia="仿宋" w:cs="Times New Roman"/>
          <w:sz w:val="32"/>
          <w:szCs w:val="32"/>
        </w:rPr>
        <w:t>：00后，主承销商在BPM系统“发行承销-配售结果”模块查看发行人是否符合上市条件以及配售结果；</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3.2.5 T+2日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.1 12：00前，主承销商在BPM系统“发行承销-发行结果公告”模块上传《发行结果公告》《招股说明书》；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3 解冻的剩余资金返还到账；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5 发行人聘请会计师事务所验资并出具验资报告；</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3.2.5.</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表7</w:t>
      </w:r>
    </w:p>
    <w:tbl>
      <w:tblPr>
        <w:tblStyle w:val="2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9"/>
        <w:gridCol w:w="1394"/>
        <w:gridCol w:w="151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3119"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39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51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6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发行结果公告</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119"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11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39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51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68"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4" w:name="_Toc18590853"/>
      <w:bookmarkStart w:id="15" w:name="_Toc72003962"/>
      <w:bookmarkStart w:id="16" w:name="_Toc18590856"/>
      <w:r>
        <w:rPr>
          <w:rFonts w:ascii="Times New Roman" w:hAnsi="Times New Roman" w:eastAsia="楷体" w:cs="Times New Roman"/>
          <w:b/>
          <w:sz w:val="32"/>
          <w:szCs w:val="32"/>
        </w:rPr>
        <w:t>3.3</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询价发行</w:t>
      </w:r>
      <w:bookmarkEnd w:id="14"/>
      <w:bookmarkEnd w:id="15"/>
    </w:p>
    <w:p>
      <w:pPr>
        <w:adjustRightInd w:val="0"/>
        <w:snapToGrid w:val="0"/>
        <w:rPr>
          <w:rFonts w:ascii="Times New Roman" w:hAnsi="Times New Roman" w:eastAsia="仿宋" w:cs="Times New Roman"/>
          <w:sz w:val="32"/>
          <w:szCs w:val="32"/>
        </w:rPr>
      </w:pPr>
      <w:r>
        <w:rPr>
          <w:rFonts w:hint="eastAsia" w:ascii="Times New Roman" w:hAnsi="Times New Roman" w:eastAsia="仿宋" w:cs="Times New Roman"/>
          <w:sz w:val="32"/>
          <w:szCs w:val="32"/>
        </w:rPr>
        <w:drawing>
          <wp:inline distT="0" distB="0" distL="114300" distR="114300">
            <wp:extent cx="5530850" cy="2042795"/>
            <wp:effectExtent l="0" t="0" r="12700" b="14605"/>
            <wp:docPr id="1" name="图片 1" descr="/home/chenai/Desktop/指南2号-流程图(2)/指南2号-流程图_01.png指南2号-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chenai/Desktop/指南2号-流程图(2)/指南2号-流程图_01.png指南2号-流程图_01"/>
                    <pic:cNvPicPr>
                      <a:picLocks noChangeAspect="true"/>
                    </pic:cNvPicPr>
                  </pic:nvPicPr>
                  <pic:blipFill>
                    <a:blip r:embed="rId8"/>
                    <a:srcRect t="12123" r="12362" b="30344"/>
                    <a:stretch>
                      <a:fillRect/>
                    </a:stretch>
                  </pic:blipFill>
                  <pic:spPr>
                    <a:xfrm>
                      <a:off x="0" y="0"/>
                      <a:ext cx="5530850" cy="2042795"/>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3.3.1 X-2日或之前</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3.3.1.1 X-2日10：00前，主承销商通过BPM系统“发行承销-询价申请”模块上传《向不特定合格投资者公开发行股票并在北京证券交易所上市发行安排及询价公告》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询价公告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《招股意向书》等文件，同时填写并提交询价信息单；</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3.3.1.2 公告于当日15：30后披露，主承销商可登陆本所网站查看公告文件标题、正文等信息是否正确，如有问题，及时与本所联系。 </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表8</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1197"/>
        <w:gridCol w:w="170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97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19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70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21"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询价公告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发行保荐书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财务报告及审计报告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发行人公司章程（草案）</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内部控制鉴证报告</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经注册会计师鉴证的非经常性损益明细表</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盈利预测报告及审核报告（如有）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上市保荐书</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系统自动提取</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战略投资者信息表（如有）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2</w:t>
            </w:r>
          </w:p>
        </w:tc>
        <w:tc>
          <w:tcPr>
            <w:tcW w:w="2977"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19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21"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X-2日10：00前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3.3.2 X-1日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12：00前，拟参与询价的网下投资者应开通北交所交易权限并在中国证券业协会完成注册。</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 询价日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3.3.3.1 询价日9：15-11：30，13：00-15：00，网下投资者可通过证券公司进行询价委托；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3.3.3.2 同一配售对象对同一只股票使用多个证券账户申报，或者使用同一证券账户申报多次的，以最后一笔申报为准；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3.3.3.3 同一网下投资者全部报价中的不同拟申购价格不超过三个，最高价格与最低价格的差额不超过最低价格的20%。不符合上述规定的，按照价格优先原则保留有效价格，其他价格对应的报价无效；</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3.3.3.4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3.3.3.5 每个询价日16：00后，主承销商在BPM系统“发行承销-询价结果”模块下载询价申报明细。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 T-3日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3.3.4.1 15：00前，主承销商在BPM系统“发行承销-询价路演公告”模块上传《网上路演公告》；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3.3.4.2 公告于当日15：30后披露，主承销商可登陆本所网站查看公告文件标题、正文等信息是否正确，如有问题，及时与本所联系</w:t>
      </w:r>
      <w:r>
        <w:rPr>
          <w:rFonts w:hint="eastAsia" w:ascii="Times New Roman" w:hAnsi="Times New Roman" w:eastAsia="仿宋" w:cs="Times New Roman"/>
          <w:sz w:val="32"/>
          <w:szCs w:val="32"/>
        </w:rPr>
        <w:t>。</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表9</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418"/>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41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701"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842"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网上路演公告</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701"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T-3日15：00前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41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披露/无需披露</w:t>
            </w:r>
          </w:p>
        </w:tc>
        <w:tc>
          <w:tcPr>
            <w:tcW w:w="1701"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T-3日15：00前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 T-2日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3.3.5.1 主承销商根据《发行与承销管理细则》规定以及公告的有效报价条件，依次剔除关联方报价、不符合参与询价条件的投资者报价、报价最高部分和低价未入围的报价，确定有效询价申报；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3.3.5.2 10：00前，主承销商在BPM系统“发行承销-申购申请”模块上传《发行公告》《投资风险特别公告》及有效询价申报明细表，有效询价申报明细表除包含有效询价申报明细外，还需包含剔除的询价申报明细及剔除原因，同时填写并提交申购信息单；存在战略投资者的，主承销商同时</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对战略投资者的专项核查报告；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3.3.5.3 公告于当日15：30后披露，主承销商可登陆本所网站查看公告文件标题、正文等信息是否正确，如有问题，及时与本所联系</w:t>
      </w:r>
      <w:r>
        <w:rPr>
          <w:rFonts w:hint="eastAsia" w:ascii="Times New Roman" w:hAnsi="Times New Roman" w:eastAsia="仿宋" w:cs="Times New Roman"/>
          <w:sz w:val="32"/>
          <w:szCs w:val="32"/>
        </w:rPr>
        <w:t>；</w:t>
      </w:r>
    </w:p>
    <w:p>
      <w:pPr>
        <w:adjustRightInd w:val="0"/>
        <w:snapToGrid w:val="0"/>
        <w:spacing w:line="600" w:lineRule="exact"/>
        <w:ind w:firstLine="640" w:firstLineChars="200"/>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战略投资者（如有）应当缴纳认购资金。</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表10</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1376"/>
        <w:gridCol w:w="146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835"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376"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467"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835" w:type="dxa"/>
            <w:shd w:val="clear" w:color="auto" w:fill="D8D8D8" w:themeFill="background1" w:themeFillShade="D9"/>
          </w:tcPr>
          <w:p>
            <w:pPr>
              <w:spacing w:line="400" w:lineRule="exact"/>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有效询价申报明细表</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2</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发行公告</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3</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投资风险特别公告</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4</w:t>
            </w:r>
          </w:p>
        </w:tc>
        <w:tc>
          <w:tcPr>
            <w:tcW w:w="2835" w:type="dxa"/>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主承销商关于战略投资者的专项核查报告（如有）</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30"/>
              </w:rPr>
              <w:t>披露</w:t>
            </w:r>
          </w:p>
        </w:tc>
        <w:tc>
          <w:tcPr>
            <w:tcW w:w="1467"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5</w:t>
            </w:r>
          </w:p>
        </w:tc>
        <w:tc>
          <w:tcPr>
            <w:tcW w:w="2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376" w:type="dxa"/>
            <w:vAlign w:val="center"/>
          </w:tcPr>
          <w:p>
            <w:pPr>
              <w:spacing w:line="400" w:lineRule="exact"/>
              <w:jc w:val="center"/>
              <w:rPr>
                <w:rFonts w:ascii="Times New Roman" w:hAnsi="Times New Roman" w:eastAsia="仿宋" w:cs="Times New Roman"/>
                <w:sz w:val="24"/>
                <w:szCs w:val="30"/>
              </w:rPr>
            </w:pPr>
            <w:r>
              <w:rPr>
                <w:rFonts w:ascii="Times New Roman" w:hAnsi="Times New Roman" w:eastAsia="仿宋" w:cs="Times New Roman"/>
                <w:sz w:val="24"/>
                <w:szCs w:val="24"/>
              </w:rPr>
              <w:t>披露/无需披露</w:t>
            </w:r>
          </w:p>
        </w:tc>
        <w:tc>
          <w:tcPr>
            <w:tcW w:w="1467" w:type="dxa"/>
            <w:vAlign w:val="center"/>
          </w:tcPr>
          <w:p>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35" w:type="dxa"/>
            <w:vAlign w:val="center"/>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T-2日10：00前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5"/>
          </w:tcPr>
          <w:p>
            <w:pPr>
              <w:spacing w:line="400" w:lineRule="exact"/>
              <w:rPr>
                <w:rFonts w:ascii="Times New Roman" w:hAnsi="Times New Roman" w:eastAsia="仿宋" w:cs="Times New Roman"/>
                <w:sz w:val="24"/>
                <w:szCs w:val="30"/>
              </w:rPr>
            </w:pPr>
            <w:r>
              <w:rPr>
                <w:rFonts w:ascii="Times New Roman" w:hAnsi="Times New Roman" w:eastAsia="仿宋" w:cs="Times New Roman"/>
                <w:sz w:val="24"/>
                <w:szCs w:val="30"/>
              </w:rPr>
              <w:t>注：有效询价申报明细表应区别列示关联方申报、有效询价申报、高价剔除申报、低价未入围申报、其他原因剔除申报。</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3.3.6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发行人、主承销商进行网上路演。</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 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3.3.7.1 申购日9：15-11：30，13：00-15：00，投资者可通过证券公司进行申购委托；</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3.3.7.2 同一投资者对同一只股票使用多个证券账户申购，或者使用同一证券账户申购多次的，以第一笔申购为准；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3.3.7.3 本所对重复申报等不符合要求的申报进行剔除；</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3.3.7.4 16：00后，主承销商在BPM系统“发行承销-申购结果”模块查看网下申购明细、网上申购结果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制作网下配售情况表</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 T+1日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8</w:t>
      </w:r>
      <w:r>
        <w:rPr>
          <w:rFonts w:ascii="Times New Roman" w:hAnsi="Times New Roman" w:eastAsia="仿宋" w:cs="Times New Roman"/>
          <w:sz w:val="32"/>
          <w:szCs w:val="32"/>
        </w:rPr>
        <w:t>.1 10：00前，主承销商在BPM系统“发行承销-配售申请”模块上传网下配售情况表、主要股东明细表、</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明细表（如有），同时填写是否回拨、网上向网下回拨数量、网下向网上回拨数量、回拨后网下实际发行数量、回拨后网上实际发行数量（含超额配售选择权）、最终战略投资者配售数量（非延期交付）、延期交付数量、</w:t>
      </w:r>
      <w:r>
        <w:rPr>
          <w:rFonts w:hint="eastAsia" w:ascii="Times New Roman" w:hAnsi="Times New Roman" w:eastAsia="仿宋" w:cs="Times New Roman"/>
          <w:sz w:val="32"/>
          <w:szCs w:val="32"/>
        </w:rPr>
        <w:t>余额包销</w:t>
      </w:r>
      <w:r>
        <w:rPr>
          <w:rFonts w:ascii="Times New Roman" w:hAnsi="Times New Roman" w:eastAsia="仿宋" w:cs="Times New Roman"/>
          <w:sz w:val="32"/>
          <w:szCs w:val="32"/>
        </w:rPr>
        <w:t>数量。其中，回拨后网上实际发行数量不包含主承销商包销部分；回拨后网下实际发行数量应当与网下配售情况表中获配总量一致；如不存在上述情形对应数据的，应填写“0”；</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存在战略投资者的，需上传战略投资者配售明细表（非延期交付），设置超额配售选择权的，还需上传战略投资者配售明细表（延期交付），不存在前述情形的，无需上传相应文件；</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表11</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28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序号</w:t>
            </w:r>
          </w:p>
        </w:tc>
        <w:tc>
          <w:tcPr>
            <w:tcW w:w="2893"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文件名称</w:t>
            </w:r>
          </w:p>
        </w:tc>
        <w:tc>
          <w:tcPr>
            <w:tcW w:w="1417"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披露要求</w:t>
            </w:r>
          </w:p>
        </w:tc>
        <w:tc>
          <w:tcPr>
            <w:tcW w:w="1282"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报送方式</w:t>
            </w:r>
          </w:p>
        </w:tc>
        <w:tc>
          <w:tcPr>
            <w:tcW w:w="1979" w:type="dxa"/>
            <w:shd w:val="clear" w:color="auto" w:fill="D8D8D8" w:themeFill="background1" w:themeFillShade="D9"/>
          </w:tcPr>
          <w:p>
            <w:pPr>
              <w:spacing w:line="276" w:lineRule="auto"/>
              <w:jc w:val="center"/>
              <w:rPr>
                <w:rFonts w:ascii="Times New Roman" w:hAnsi="Times New Roman" w:eastAsia="仿宋" w:cs="Times New Roman"/>
                <w:b/>
                <w:sz w:val="24"/>
                <w:szCs w:val="30"/>
              </w:rPr>
            </w:pPr>
            <w:r>
              <w:rPr>
                <w:rFonts w:ascii="Times New Roman" w:hAnsi="Times New Roman" w:eastAsia="仿宋" w:cs="Times New Roman"/>
                <w:b/>
                <w:sz w:val="24"/>
                <w:szCs w:val="30"/>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1</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网下配售情况表</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2</w:t>
            </w:r>
          </w:p>
        </w:tc>
        <w:tc>
          <w:tcPr>
            <w:tcW w:w="28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主要股东明细表</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3</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战略投资者配售明细表（非延期交付）（如有）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4</w:t>
            </w:r>
          </w:p>
        </w:tc>
        <w:tc>
          <w:tcPr>
            <w:tcW w:w="2893" w:type="dxa"/>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战略投资者配售明细表（延期交付）（如有）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30"/>
              </w:rPr>
              <w:t>T+</w:t>
            </w:r>
            <w:r>
              <w:rPr>
                <w:rFonts w:hint="eastAsia" w:ascii="Times New Roman" w:hAnsi="Times New Roman" w:eastAsia="仿宋" w:cs="Times New Roman"/>
                <w:sz w:val="24"/>
                <w:szCs w:val="30"/>
              </w:rPr>
              <w:t>1</w:t>
            </w:r>
            <w:r>
              <w:rPr>
                <w:rFonts w:ascii="Times New Roman" w:hAnsi="Times New Roman" w:eastAsia="仿宋" w:cs="Times New Roman"/>
                <w:sz w:val="24"/>
                <w:szCs w:val="30"/>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5</w:t>
            </w:r>
          </w:p>
        </w:tc>
        <w:tc>
          <w:tcPr>
            <w:tcW w:w="2893" w:type="dxa"/>
            <w:vAlign w:val="center"/>
          </w:tcPr>
          <w:p>
            <w:pPr>
              <w:spacing w:line="276" w:lineRule="auto"/>
              <w:rPr>
                <w:rFonts w:ascii="Times New Roman" w:hAnsi="Times New Roman" w:eastAsia="仿宋" w:cs="Times New Roman"/>
                <w:sz w:val="24"/>
                <w:szCs w:val="30"/>
              </w:rPr>
            </w:pPr>
            <w:r>
              <w:rPr>
                <w:rFonts w:hint="eastAsia" w:ascii="Times New Roman" w:hAnsi="Times New Roman" w:eastAsia="仿宋" w:cs="Times New Roman"/>
                <w:sz w:val="24"/>
                <w:szCs w:val="30"/>
              </w:rPr>
              <w:t>余额包销</w:t>
            </w:r>
            <w:r>
              <w:rPr>
                <w:rFonts w:ascii="Times New Roman" w:hAnsi="Times New Roman" w:eastAsia="仿宋" w:cs="Times New Roman"/>
                <w:sz w:val="24"/>
                <w:szCs w:val="30"/>
              </w:rPr>
              <w:t>明细表（如有）</w:t>
            </w:r>
          </w:p>
        </w:tc>
        <w:tc>
          <w:tcPr>
            <w:tcW w:w="1417"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30"/>
              </w:rPr>
            </w:pPr>
            <w:r>
              <w:rPr>
                <w:rFonts w:ascii="Times New Roman" w:hAnsi="Times New Roman" w:eastAsia="仿宋" w:cs="Times New Roman"/>
                <w:sz w:val="24"/>
                <w:szCs w:val="30"/>
              </w:rPr>
              <w:t>6</w:t>
            </w:r>
          </w:p>
        </w:tc>
        <w:tc>
          <w:tcPr>
            <w:tcW w:w="2893" w:type="dxa"/>
            <w:vAlign w:val="center"/>
          </w:tcPr>
          <w:p>
            <w:pPr>
              <w:spacing w:line="276" w:lineRule="auto"/>
              <w:rPr>
                <w:rFonts w:ascii="Times New Roman" w:hAnsi="Times New Roman" w:eastAsia="仿宋" w:cs="Times New Roman"/>
                <w:sz w:val="24"/>
                <w:szCs w:val="30"/>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8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79"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15：30前，结算参与人应当向中国结算北京分公司申报投资者资金不足导致的无效申购信息；</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16：00前，结算参与人根据中国结算北京分公司提供的清算数据将申购资金足额存入综合结算备付金账户，中国结算北京分公司与结算参与人完成股票申购资金交收；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中国结算北京分公司根据资金缺口数据及无效申购信息进行申购无效处理；</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3.3.8.</w:t>
      </w:r>
      <w:r>
        <w:rPr>
          <w:rFonts w:hint="eastAsia" w:ascii="Times New Roman" w:hAnsi="Times New Roman" w:eastAsia="仿宋" w:cs="Times New Roman"/>
          <w:sz w:val="32"/>
          <w:szCs w:val="32"/>
        </w:rPr>
        <w:t>5 18</w:t>
      </w:r>
      <w:r>
        <w:rPr>
          <w:rFonts w:ascii="Times New Roman" w:hAnsi="Times New Roman" w:eastAsia="仿宋" w:cs="Times New Roman"/>
          <w:sz w:val="32"/>
          <w:szCs w:val="32"/>
        </w:rPr>
        <w:t>：00后，主承销商在BPM系统“发行承销-配售结果”模块查看发行人配售结果</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w:t>
      </w: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中国结算北京分公司根据配售结果解冻剩余资金，完成认购资金的清算交收。</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3.3.9 T+2日</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.1 12：00前，主承销商在BPM系统“发行承销-发行结果公告”模块上传《发行结果公告》《招股说明书》；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.2 公告于当日15：30后披露，主承销商可登陆本所网站查看公告文件标题、正文等信息是否正确，如有问题，及时与本所联系；</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.3 解冻的剩余资金返还到账；</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.4 主承销商收到中国结算北京分公司划转的认购资金后，将认购资金款项由其自营结算备付金账户提取至其银行账户，并按约定划至发行人指定的银行账户；</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.5 发行人聘请会计师事务所验资并出具验资报告；</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3.3.9</w:t>
      </w:r>
      <w:r>
        <w:rPr>
          <w:rFonts w:ascii="Times New Roman" w:hAnsi="Times New Roman" w:eastAsia="仿宋" w:cs="Times New Roman"/>
          <w:sz w:val="32"/>
          <w:szCs w:val="32"/>
        </w:rPr>
        <w:t>.6 发行人向中国结算北京分公司申报余股登记（如有）、战略投资者登记明细数据（如有）。</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表12</w:t>
      </w:r>
    </w:p>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893"/>
        <w:gridCol w:w="1417"/>
        <w:gridCol w:w="132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8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417"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25"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3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893"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发行结果公告</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893" w:type="dxa"/>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8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417"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25"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36"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日12：00前</w:t>
            </w:r>
          </w:p>
        </w:tc>
      </w:tr>
    </w:tbl>
    <w:p>
      <w:pPr>
        <w:adjustRightInd w:val="0"/>
        <w:snapToGrid w:val="0"/>
        <w:spacing w:line="520" w:lineRule="exact"/>
        <w:ind w:firstLine="642" w:firstLineChars="200"/>
        <w:outlineLvl w:val="1"/>
        <w:rPr>
          <w:rFonts w:ascii="Times New Roman" w:hAnsi="Times New Roman" w:eastAsia="楷体" w:cs="Times New Roman"/>
          <w:b/>
          <w:sz w:val="32"/>
          <w:szCs w:val="32"/>
        </w:rPr>
      </w:pPr>
      <w:bookmarkStart w:id="17" w:name="_Toc72003963"/>
      <w:r>
        <w:rPr>
          <w:rFonts w:ascii="Times New Roman" w:hAnsi="Times New Roman" w:eastAsia="楷体" w:cs="Times New Roman"/>
          <w:b/>
          <w:sz w:val="32"/>
          <w:szCs w:val="32"/>
        </w:rPr>
        <w:t>3.4</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主承销商发行各时间节点涉及事项</w:t>
      </w:r>
      <w:bookmarkEnd w:id="17"/>
    </w:p>
    <w:p>
      <w:pPr>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3.4.1 直接定价方式发行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表13</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本所对发行与承销方案无异议的，应当在BPM系统“发行承销-启动发行”模块选择发行代码。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获得发行代码后，T-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日10：00前，在BPM系统“发行承销-申购申请”模块提交网上路演公告、招股说明书、发行公告、</w:t>
            </w:r>
            <w:r>
              <w:rPr>
                <w:rFonts w:hint="eastAsia" w:ascii="Times New Roman" w:hAnsi="Times New Roman" w:eastAsia="仿宋" w:cs="Times New Roman"/>
                <w:sz w:val="24"/>
                <w:szCs w:val="24"/>
              </w:rPr>
              <w:t>投资</w:t>
            </w:r>
            <w:r>
              <w:rPr>
                <w:rFonts w:ascii="Times New Roman" w:hAnsi="Times New Roman" w:eastAsia="仿宋" w:cs="Times New Roman"/>
                <w:sz w:val="24"/>
                <w:szCs w:val="24"/>
              </w:rPr>
              <w:t>风险特别公告、专项核查报告（如有）等文件，同时填写申购信息单；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相关文件上传当日15：30后公告披露，可登陆本所网站查看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16：00后，在BPM系统“发行承销-申购结果”模块查看定价申购结果。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10：00前，在BPM系统“发行承销-配售申请”模块填写网上实际发行数量（含超额配售选择权）、最终战略投资者配售数量（非延期交付）、延期交付总量、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数量，并上传主要股东明细表、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12：00前，在BPM系统“发行承销-发行结果公告”模块上传发行结果公告；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向中国结算申报余股登记（如有）、战略投资者登记明细数据（如有）。 </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3.4.2 竞价方式发行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表14</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本所对发行与承销方案无异议的，应当在BPM系统“发行承销-启动发行”模块选择发行代码。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获得发行代码后，T-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日10：00前，在BPM系统“发行承销-申购申请”模块提交网上路演公告、招股意向书、竞价发行公告、关联方明细表、专项核查报告（如有）等文件，同时填写申购信息单；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相关文件上传当日15：30后公告披露，可登陆本所网站查看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16：00后，在BPM系统“发行承销-申购结果”模块查看竞价申购明细。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10：00前，在BPM系统“发行承销-配售申请”模块上传竞价结果公告、主要股东明细表、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明细表（如有），并填写发行价格、发行市盈率、高报价剔除数量、网上实际发行数量（含超额配售选择权）、最终战略投资者配售数量（非延期交付）、延期交付数量、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12：00前，在BPM系统“发行承销-发行结果公告”模块上传发行结果公告、招股说明书；</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向中国结算申报余股登记（如有）、战略投资者登记明细数据（如有）。</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3.4.3 询价方式发行</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表15</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时间</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节点</w:t>
            </w:r>
          </w:p>
        </w:tc>
        <w:tc>
          <w:tcPr>
            <w:tcW w:w="6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角色</w:t>
            </w:r>
          </w:p>
        </w:tc>
        <w:tc>
          <w:tcPr>
            <w:tcW w:w="3800" w:type="pct"/>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提交发行与承销方案</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发行人向不特定合格投资者公开发行股票经中国证监会同意注册后，应当在BPM系统“发行承销-发行与承销方案填报”模块提交发行与承销方案及相关材料，同时填写申请项目的信息表单。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启动发行</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本所对发行与承销方案无异议的，在BPM系统“发行承销-启动发行”模块选择发行代码。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X-2日或之前</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获得发行代码后， X-2日10点前，在BPM系统“发行承销-询价申请”模块提交发行安排及询价公告、招股意向书等文件，同时填写询价信息单；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相关文件于上传当日15：30后披露，可登陆本所网站查看</w:t>
            </w:r>
            <w:r>
              <w:rPr>
                <w:rFonts w:hint="eastAsia" w:ascii="Times New Roman" w:hAnsi="Times New Roman" w:eastAsia="仿宋" w:cs="Times New Roman"/>
                <w:sz w:val="24"/>
                <w:szCs w:val="24"/>
              </w:rPr>
              <w:t>，</w:t>
            </w:r>
            <w:r>
              <w:rPr>
                <w:rFonts w:ascii="Times New Roman" w:hAnsi="Times New Roman" w:eastAsia="仿宋" w:cs="Times New Roman"/>
                <w:sz w:val="24"/>
                <w:szCs w:val="24"/>
              </w:rPr>
              <w:t>并通过“发行时间安排和联系方式”模块填写发行阶段时间安排，拟上市日期暂不填写。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X日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每个询价日16：00后，在BPM系统“发行承销-询价结果”模块下载询价申报明细。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T-3日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15：00前，在BPM系统“发行承销-询价路演公告”模块上传网上路演公告；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T-2日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 10：00前，在BPM系统“发行承销-申购申请”模块提交</w:t>
            </w:r>
            <w:r>
              <w:rPr>
                <w:rFonts w:ascii="Times New Roman" w:hAnsi="Times New Roman" w:eastAsia="仿宋" w:cs="Times New Roman"/>
                <w:sz w:val="24"/>
                <w:szCs w:val="30"/>
              </w:rPr>
              <w:t>有效询价申报明细表</w:t>
            </w:r>
            <w:r>
              <w:rPr>
                <w:rFonts w:ascii="Times New Roman" w:hAnsi="Times New Roman" w:eastAsia="仿宋" w:cs="Times New Roman"/>
                <w:sz w:val="24"/>
                <w:szCs w:val="24"/>
              </w:rPr>
              <w:t>、发行公告、投资风险特别公告、专项核查报告（如有）等文件，同时填写申购信息单；</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16：00后，在BPM系统“发行承销-申购结果”模块查看并下载网下投资者申购明细、网上投资者申购结果</w:t>
            </w:r>
            <w:r>
              <w:rPr>
                <w:rFonts w:hint="eastAsia" w:ascii="Times New Roman" w:hAnsi="Times New Roman" w:eastAsia="仿宋" w:cs="Times New Roman"/>
                <w:sz w:val="24"/>
                <w:szCs w:val="24"/>
              </w:rPr>
              <w:t>，制作网下配售情况表。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T+1日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10：00前，在BPM系统“发行承销-配售申请”模块上传网下配售情况表、主要股东明细表、</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明细表（如有），填写是否回拨、网上向网下回拨数量、网下向网上回拨数量、回拨后网下实际发行数量、回拨后网上实际发行数量（含超额配售选择权）、最终战略投资者配售数量（非延期交付）、延期交付数量、</w:t>
            </w:r>
            <w:r>
              <w:rPr>
                <w:rFonts w:hint="eastAsia" w:ascii="Times New Roman" w:hAnsi="Times New Roman" w:eastAsia="仿宋" w:cs="Times New Roman"/>
                <w:sz w:val="24"/>
                <w:szCs w:val="24"/>
              </w:rPr>
              <w:t>余额包销</w:t>
            </w:r>
            <w:r>
              <w:rPr>
                <w:rFonts w:ascii="Times New Roman" w:hAnsi="Times New Roman" w:eastAsia="仿宋" w:cs="Times New Roman"/>
                <w:sz w:val="24"/>
                <w:szCs w:val="24"/>
              </w:rPr>
              <w:t>数量。存在战略投资者的，需上传战略投资者配售明细表（非延期交付），设置超额配售选择权的，还需上传战略投资者配售明细表（延期交付）；</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：00后，在BPM系统“发行承销-配售结果”模块查看配售结果。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T+</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日</w:t>
            </w: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主承</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销商</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12：00前，在BPM系统“发行承销-发行结果公告”模块上传发行结果公告、招股说明书； </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15：30后公告披露，可登陆本所网站查看；</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cs="宋体"/>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收到中国结算北京分公司划转的认购资金后，扣除承销费用后划转发行人指定的银行账户。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vMerge w:val="continue"/>
            <w:vAlign w:val="center"/>
          </w:tcPr>
          <w:p>
            <w:pPr>
              <w:jc w:val="center"/>
              <w:rPr>
                <w:rFonts w:ascii="Times New Roman" w:hAnsi="Times New Roman" w:eastAsia="仿宋" w:cs="Times New Roman"/>
                <w:sz w:val="24"/>
                <w:szCs w:val="24"/>
              </w:rPr>
            </w:pPr>
          </w:p>
        </w:tc>
        <w:tc>
          <w:tcPr>
            <w:tcW w:w="600" w:type="pc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发行人</w:t>
            </w:r>
          </w:p>
        </w:tc>
        <w:tc>
          <w:tcPr>
            <w:tcW w:w="3800" w:type="pc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cs="宋体"/>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发行人聘请会计师事务所验资并出具验资报告；</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cs="宋体"/>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发行人向中国结算申报余股登记（如有）、战略投资者登记明细数据（如有）。</w:t>
            </w:r>
          </w:p>
        </w:tc>
      </w:tr>
    </w:tbl>
    <w:p>
      <w:pPr>
        <w:pStyle w:val="33"/>
        <w:widowControl/>
        <w:spacing w:line="600" w:lineRule="exact"/>
        <w:ind w:firstLine="640"/>
        <w:outlineLvl w:val="0"/>
        <w:rPr>
          <w:rFonts w:ascii="Times New Roman" w:hAnsi="Times New Roman" w:eastAsia="黑体" w:cs="Times New Roman"/>
          <w:sz w:val="32"/>
          <w:szCs w:val="32"/>
        </w:rPr>
      </w:pPr>
      <w:bookmarkStart w:id="18" w:name="_Toc72003964"/>
      <w:r>
        <w:rPr>
          <w:rFonts w:ascii="Times New Roman" w:hAnsi="Times New Roman" w:eastAsia="黑体" w:cs="Times New Roman"/>
          <w:sz w:val="32"/>
          <w:szCs w:val="32"/>
        </w:rPr>
        <w:t>4</w:t>
      </w:r>
      <w:r>
        <w:rPr>
          <w:rFonts w:ascii="Times New Roman" w:hAnsi="Times New Roman" w:eastAsia="仿宋" w:cs="Times New Roman"/>
          <w:sz w:val="32"/>
          <w:szCs w:val="32"/>
        </w:rPr>
        <w:t>．</w:t>
      </w:r>
      <w:r>
        <w:rPr>
          <w:rFonts w:ascii="Times New Roman" w:hAnsi="Times New Roman" w:eastAsia="黑体" w:cs="Times New Roman"/>
          <w:sz w:val="32"/>
          <w:szCs w:val="32"/>
        </w:rPr>
        <w:t>在</w:t>
      </w:r>
      <w:bookmarkEnd w:id="16"/>
      <w:r>
        <w:rPr>
          <w:rFonts w:ascii="Times New Roman" w:hAnsi="Times New Roman" w:eastAsia="黑体" w:cs="Times New Roman"/>
          <w:sz w:val="32"/>
          <w:szCs w:val="32"/>
        </w:rPr>
        <w:t>北京证券交易所上市</w:t>
      </w:r>
      <w:bookmarkEnd w:id="18"/>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19" w:name="_Toc72003965"/>
      <w:r>
        <w:rPr>
          <w:rFonts w:ascii="Times New Roman" w:hAnsi="Times New Roman" w:eastAsia="楷体" w:cs="Times New Roman"/>
          <w:b/>
          <w:sz w:val="32"/>
          <w:szCs w:val="32"/>
        </w:rPr>
        <w:t>4.1</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取得同意发行人股票在北京证券交易所上市的函</w:t>
      </w:r>
      <w:bookmarkEnd w:id="19"/>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T+2</w:t>
      </w:r>
      <w:r>
        <w:rPr>
          <w:rFonts w:ascii="Times New Roman" w:hAnsi="Times New Roman" w:eastAsia="仿宋" w:cs="Times New Roman"/>
          <w:sz w:val="32"/>
          <w:szCs w:val="32"/>
        </w:rPr>
        <w:t>日及以后，主承销商需在BPM系统“发行承销-上市申请”模块提交上市申请书、更新后的上市保荐书、验资报告、重大事项专项报告（如有）、法律意见书等文件。本所对上述文件进行审查确认后，向发行人出具同意其股票在北京证券交易所上市的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发行人挂牌期间已发行优先股、</w:t>
      </w:r>
      <w:r>
        <w:rPr>
          <w:rFonts w:ascii="Times New Roman" w:hAnsi="Times New Roman" w:eastAsia="仿宋" w:cs="Times New Roman"/>
          <w:color w:val="000000" w:themeColor="text1"/>
          <w:sz w:val="32"/>
          <w:szCs w:val="32"/>
          <w14:textFill>
            <w14:solidFill>
              <w14:schemeClr w14:val="tx1"/>
            </w14:solidFill>
          </w14:textFill>
        </w:rPr>
        <w:t>可转换为股票的公司债券</w:t>
      </w:r>
      <w:r>
        <w:rPr>
          <w:rFonts w:ascii="Times New Roman" w:hAnsi="Times New Roman" w:eastAsia="仿宋" w:cs="Times New Roman"/>
          <w:sz w:val="32"/>
          <w:szCs w:val="32"/>
        </w:rPr>
        <w:t>或其他证券并在全国股转系统挂牌转让的，发行人应在上市申请书中一并申请其发行的优先股、</w:t>
      </w:r>
      <w:r>
        <w:rPr>
          <w:rFonts w:ascii="Times New Roman" w:hAnsi="Times New Roman" w:eastAsia="仿宋" w:cs="Times New Roman"/>
          <w:color w:val="000000" w:themeColor="text1"/>
          <w:sz w:val="32"/>
          <w:szCs w:val="32"/>
          <w14:textFill>
            <w14:solidFill>
              <w14:schemeClr w14:val="tx1"/>
            </w14:solidFill>
          </w14:textFill>
        </w:rPr>
        <w:t>可转换为股票的公司债券</w:t>
      </w:r>
      <w:r>
        <w:rPr>
          <w:rFonts w:ascii="Times New Roman" w:hAnsi="Times New Roman" w:eastAsia="仿宋" w:cs="Times New Roman"/>
          <w:sz w:val="32"/>
          <w:szCs w:val="32"/>
        </w:rPr>
        <w:t>或其他证券在北交所挂牌转让。</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表16</w:t>
      </w:r>
    </w:p>
    <w:tbl>
      <w:tblPr>
        <w:tblStyle w:val="2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843"/>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84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27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842"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上市申请书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更新后的上市保荐书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验资报告</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重大事项专项报告（如有）</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法律意见书</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保荐机构关于办理完成限售登记及符合相关规定的承诺</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84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27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842"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T+2</w:t>
            </w:r>
            <w:r>
              <w:rPr>
                <w:rFonts w:ascii="Times New Roman" w:hAnsi="Times New Roman" w:eastAsia="仿宋" w:cs="Times New Roman"/>
                <w:sz w:val="24"/>
                <w:szCs w:val="24"/>
              </w:rPr>
              <w:t>日及以后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5"/>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注1上市申请书：发行人应根据《北京证券交易所股票上市规则（试行）》逐条分析其是否符合北京证券交易所上市条件，上市申请书应由发行人加盖公章。</w:t>
            </w:r>
          </w:p>
          <w:p>
            <w:pPr>
              <w:spacing w:line="276" w:lineRule="auto"/>
              <w:rPr>
                <w:rFonts w:ascii="Times New Roman" w:hAnsi="Times New Roman" w:eastAsia="仿宋" w:cs="Times New Roman"/>
                <w:sz w:val="24"/>
                <w:szCs w:val="24"/>
                <w:lang w:eastAsia="zh-Hans"/>
              </w:rPr>
            </w:pPr>
            <w:r>
              <w:rPr>
                <w:rFonts w:ascii="Times New Roman" w:hAnsi="Times New Roman" w:eastAsia="仿宋" w:cs="Times New Roman"/>
                <w:sz w:val="24"/>
                <w:szCs w:val="24"/>
              </w:rPr>
              <w:t>注2保荐机构关于发行人限售股份符合相关规定的承诺：保荐机构承诺发行人属于《北京证券交易所股票上市规则（试行）》第2.4.1-2.4.6条规定范围的股东所持股份已完成限售登记</w:t>
            </w:r>
            <w:r>
              <w:rPr>
                <w:rFonts w:hint="eastAsia" w:ascii="Times New Roman" w:hAnsi="Times New Roman" w:eastAsia="仿宋" w:cs="Times New Roman"/>
                <w:sz w:val="24"/>
                <w:szCs w:val="24"/>
                <w:lang w:eastAsia="zh-Hans"/>
              </w:rPr>
              <w:t>，同时将限售登记表作为附件上传。</w:t>
            </w:r>
          </w:p>
        </w:tc>
      </w:tr>
    </w:tbl>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20" w:name="_Toc18590859"/>
      <w:bookmarkStart w:id="21" w:name="_Toc72003966"/>
      <w:r>
        <w:rPr>
          <w:rFonts w:ascii="Times New Roman" w:hAnsi="Times New Roman" w:eastAsia="楷体" w:cs="Times New Roman"/>
          <w:b/>
          <w:sz w:val="32"/>
          <w:szCs w:val="32"/>
        </w:rPr>
        <w:t>4.2</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股票在北京证券交易所上市手续</w:t>
      </w:r>
      <w:bookmarkEnd w:id="20"/>
      <w:bookmarkEnd w:id="21"/>
    </w:p>
    <w:p>
      <w:pPr>
        <w:adjustRightInd w:val="0"/>
        <w:snapToGrid w:val="0"/>
        <w:outlineLvl w:val="1"/>
        <w:rPr>
          <w:rFonts w:ascii="Times New Roman" w:hAnsi="Times New Roman" w:eastAsia="楷体" w:cs="Times New Roman"/>
          <w:b/>
          <w:sz w:val="32"/>
          <w:szCs w:val="32"/>
        </w:rPr>
      </w:pPr>
    </w:p>
    <w:p>
      <w:pPr>
        <w:adjustRightInd w:val="0"/>
        <w:snapToGrid w:val="0"/>
        <w:outlineLvl w:val="1"/>
        <w:rPr>
          <w:rFonts w:ascii="Times New Roman" w:hAnsi="Times New Roman" w:eastAsia="楷体" w:cs="Times New Roman"/>
          <w:b/>
          <w:sz w:val="32"/>
          <w:szCs w:val="32"/>
        </w:rPr>
      </w:pPr>
      <w:r>
        <w:rPr>
          <w:rFonts w:hint="eastAsia" w:ascii="Times New Roman" w:hAnsi="Times New Roman" w:eastAsia="楷体" w:cs="Times New Roman"/>
          <w:b/>
          <w:sz w:val="32"/>
          <w:szCs w:val="32"/>
        </w:rPr>
        <w:drawing>
          <wp:inline distT="0" distB="0" distL="114300" distR="114300">
            <wp:extent cx="5401945" cy="1109980"/>
            <wp:effectExtent l="0" t="0" r="8255" b="13970"/>
            <wp:docPr id="8" name="图片 8" descr="/home/chenai/Desktop/指南2号-流程图(4)/指南2号-流程图_04.png指南2号-流程图_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home/chenai/Desktop/指南2号-流程图(4)/指南2号-流程图_04.png指南2号-流程图_04"/>
                    <pic:cNvPicPr>
                      <a:picLocks noChangeAspect="true"/>
                    </pic:cNvPicPr>
                  </pic:nvPicPr>
                  <pic:blipFill>
                    <a:blip r:embed="rId9"/>
                    <a:srcRect t="16564" b="46909"/>
                    <a:stretch>
                      <a:fillRect/>
                    </a:stretch>
                  </pic:blipFill>
                  <pic:spPr>
                    <a:xfrm>
                      <a:off x="0" y="0"/>
                      <a:ext cx="5401945" cy="1109980"/>
                    </a:xfrm>
                    <a:prstGeom prst="rect">
                      <a:avLst/>
                    </a:prstGeom>
                  </pic:spPr>
                </pic:pic>
              </a:graphicData>
            </a:graphic>
          </wp:inline>
        </w:drawing>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4.2.1 L-</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发行人取得同意其股票在北京证券交易所上市的函后，于</w:t>
      </w:r>
      <w:r>
        <w:rPr>
          <w:rFonts w:hint="eastAsia" w:ascii="Times New Roman" w:hAnsi="Times New Roman" w:eastAsia="仿宋" w:cs="Times New Roman"/>
          <w:sz w:val="32"/>
          <w:szCs w:val="32"/>
        </w:rPr>
        <w:t>L-2</w:t>
      </w:r>
      <w:r>
        <w:rPr>
          <w:rFonts w:ascii="Times New Roman" w:hAnsi="Times New Roman" w:eastAsia="仿宋" w:cs="Times New Roman"/>
          <w:sz w:val="32"/>
          <w:szCs w:val="32"/>
        </w:rPr>
        <w:t>日10：00前，在BPM系统“发行承销-北京证券交易所上市公告”模块上传《向不特定合格投资者公开发行股票并在北京证券交易所上市提示性公告》</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上市提示性公告》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《向不特定合格投资者公开发行股票并在北京证券交易所上市公告书》</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上市公告书》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以及重大事项确认函，中国结算北京分公司出具的股份登记相关文件。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w:t>
      </w:r>
      <w:r>
        <w:rPr>
          <w:rFonts w:ascii="Times New Roman" w:hAnsi="Times New Roman" w:eastAsia="仿宋" w:cs="Times New Roman"/>
          <w:sz w:val="32"/>
          <w:szCs w:val="32"/>
        </w:rPr>
        <w:t>上市提示性公告》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上市公告书》</w:t>
      </w:r>
      <w:r>
        <w:rPr>
          <w:rFonts w:hint="eastAsia" w:ascii="Times New Roman" w:hAnsi="Times New Roman" w:eastAsia="仿宋" w:cs="Times New Roman"/>
          <w:sz w:val="32"/>
          <w:szCs w:val="32"/>
        </w:rPr>
        <w:t>披露后，主承销商应通过“发行时间安排和联系方式”模块填写拟上市日期。</w:t>
      </w: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表17</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1742"/>
        <w:gridCol w:w="131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69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文件名称</w:t>
            </w:r>
          </w:p>
        </w:tc>
        <w:tc>
          <w:tcPr>
            <w:tcW w:w="1742"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披露要求</w:t>
            </w:r>
          </w:p>
        </w:tc>
        <w:tc>
          <w:tcPr>
            <w:tcW w:w="1313"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报送方式</w:t>
            </w:r>
          </w:p>
        </w:tc>
        <w:tc>
          <w:tcPr>
            <w:tcW w:w="1906" w:type="dxa"/>
            <w:shd w:val="clear" w:color="auto" w:fill="D8D8D8" w:themeFill="background1" w:themeFillShade="D9"/>
          </w:tcPr>
          <w:p>
            <w:pPr>
              <w:spacing w:line="276"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上市提示性公告</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上市公告书</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重大事项确认函</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股份登记相关文件</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2693" w:type="dxa"/>
            <w:vAlign w:val="center"/>
          </w:tcPr>
          <w:p>
            <w:pPr>
              <w:spacing w:line="276" w:lineRule="auto"/>
              <w:rPr>
                <w:rFonts w:ascii="Times New Roman" w:hAnsi="Times New Roman" w:eastAsia="仿宋" w:cs="Times New Roman"/>
                <w:sz w:val="24"/>
                <w:szCs w:val="24"/>
              </w:rPr>
            </w:pPr>
            <w:r>
              <w:rPr>
                <w:rFonts w:ascii="Times New Roman" w:hAnsi="Times New Roman" w:eastAsia="仿宋" w:cs="Times New Roman"/>
                <w:sz w:val="24"/>
                <w:szCs w:val="24"/>
              </w:rPr>
              <w:t>其他文件（如有）</w:t>
            </w:r>
          </w:p>
        </w:tc>
        <w:tc>
          <w:tcPr>
            <w:tcW w:w="1742"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披露/无需披露</w:t>
            </w:r>
          </w:p>
        </w:tc>
        <w:tc>
          <w:tcPr>
            <w:tcW w:w="1313" w:type="dxa"/>
            <w:vAlign w:val="center"/>
          </w:tcPr>
          <w:p>
            <w:pPr>
              <w:spacing w:line="27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BPM提交</w:t>
            </w:r>
          </w:p>
        </w:tc>
        <w:tc>
          <w:tcPr>
            <w:tcW w:w="1906" w:type="dxa"/>
            <w:vAlign w:val="center"/>
          </w:tcPr>
          <w:p>
            <w:pPr>
              <w:spacing w:line="276"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L-2</w:t>
            </w:r>
            <w:r>
              <w:rPr>
                <w:rFonts w:ascii="Times New Roman" w:hAnsi="Times New Roman" w:eastAsia="仿宋" w:cs="Times New Roman"/>
                <w:sz w:val="24"/>
                <w:szCs w:val="24"/>
              </w:rPr>
              <w:t>日10：00前</w:t>
            </w:r>
          </w:p>
        </w:tc>
      </w:tr>
    </w:tbl>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4.2.2 L日</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（1）中国结算北京分公司向发行人出具登记证明材料；</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（2）发行人股票在北京证券交易所上市交易。</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4.2.3 L+10日内</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票上市交易后十日内，主承销商应当在BPM系统“发行承销-发行项目归档”模块上传承销总结报告、专项法律意见书、承销补充协议（如有）、承销团补充协议（如有）、其他文件（如有）等文件，经本所确认，点击完成归档。</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存在超额配售选择权的情形，主承销商在超额配售选择权行使期届满或者累计购回股票数量达到超额配售选择权发行股票数量限额的十日内，应当上传前款所列文件以及超额配售选择权的实施情况报告、超额配售股票募集资金买入股票完整记录，经本所确认，点击完成归档。</w:t>
      </w:r>
    </w:p>
    <w:p>
      <w:pPr>
        <w:pStyle w:val="33"/>
        <w:widowControl/>
        <w:spacing w:line="600" w:lineRule="exact"/>
        <w:ind w:firstLine="640"/>
        <w:outlineLvl w:val="0"/>
        <w:rPr>
          <w:rFonts w:ascii="Times New Roman" w:hAnsi="Times New Roman" w:eastAsia="黑体" w:cs="Times New Roman"/>
          <w:sz w:val="32"/>
          <w:szCs w:val="32"/>
        </w:rPr>
      </w:pPr>
      <w:bookmarkStart w:id="22" w:name="_Toc21798094"/>
      <w:bookmarkEnd w:id="22"/>
      <w:bookmarkStart w:id="23" w:name="_Toc21798140"/>
      <w:bookmarkEnd w:id="23"/>
      <w:bookmarkStart w:id="24" w:name="_Toc21798139"/>
      <w:bookmarkEnd w:id="24"/>
      <w:bookmarkStart w:id="25" w:name="_Toc21785614"/>
      <w:bookmarkEnd w:id="25"/>
      <w:bookmarkStart w:id="26" w:name="_Toc21785615"/>
      <w:bookmarkEnd w:id="26"/>
      <w:bookmarkStart w:id="27" w:name="_Toc21798093"/>
      <w:bookmarkEnd w:id="27"/>
      <w:bookmarkStart w:id="28" w:name="_Toc21798138"/>
      <w:bookmarkEnd w:id="28"/>
      <w:bookmarkStart w:id="29" w:name="_Toc21785613"/>
      <w:bookmarkEnd w:id="29"/>
      <w:bookmarkStart w:id="30" w:name="_Toc21798095"/>
      <w:bookmarkEnd w:id="30"/>
      <w:bookmarkStart w:id="31" w:name="_Toc72003967"/>
      <w:r>
        <w:rPr>
          <w:rFonts w:ascii="Times New Roman" w:hAnsi="Times New Roman" w:eastAsia="黑体" w:cs="Times New Roman"/>
          <w:sz w:val="32"/>
          <w:szCs w:val="32"/>
        </w:rPr>
        <w:t>5</w:t>
      </w:r>
      <w:r>
        <w:rPr>
          <w:rFonts w:ascii="Times New Roman" w:hAnsi="Times New Roman" w:eastAsia="仿宋" w:cs="Times New Roman"/>
          <w:sz w:val="32"/>
          <w:szCs w:val="32"/>
        </w:rPr>
        <w:t>．</w:t>
      </w:r>
      <w:r>
        <w:rPr>
          <w:rFonts w:ascii="Times New Roman" w:hAnsi="Times New Roman" w:eastAsia="黑体" w:cs="Times New Roman"/>
          <w:sz w:val="32"/>
          <w:szCs w:val="32"/>
        </w:rPr>
        <w:t>特殊情形处理</w:t>
      </w:r>
      <w:bookmarkEnd w:id="31"/>
    </w:p>
    <w:p>
      <w:pPr>
        <w:adjustRightInd w:val="0"/>
        <w:snapToGrid w:val="0"/>
        <w:spacing w:line="600" w:lineRule="exact"/>
        <w:ind w:firstLine="642" w:firstLineChars="200"/>
        <w:outlineLvl w:val="1"/>
        <w:rPr>
          <w:rFonts w:ascii="Times New Roman" w:hAnsi="Times New Roman" w:cs="Times New Roman" w:eastAsiaTheme="majorEastAsia"/>
          <w:b/>
          <w:sz w:val="32"/>
          <w:szCs w:val="32"/>
          <w:lang w:eastAsia="zh-Hans"/>
        </w:rPr>
      </w:pPr>
      <w:bookmarkStart w:id="32" w:name="_Toc72003968"/>
      <w:r>
        <w:rPr>
          <w:rFonts w:ascii="Times New Roman" w:hAnsi="Times New Roman" w:eastAsia="楷体" w:cs="Times New Roman"/>
          <w:b/>
          <w:sz w:val="32"/>
          <w:szCs w:val="32"/>
        </w:rPr>
        <w:t>5.1</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lang w:eastAsia="zh-Hans"/>
        </w:rPr>
        <w:t>公告更正</w:t>
      </w:r>
    </w:p>
    <w:p>
      <w:pPr>
        <w:adjustRightInd w:val="0"/>
        <w:snapToGrid w:val="0"/>
        <w:spacing w:line="600" w:lineRule="exact"/>
        <w:ind w:firstLine="640" w:firstLineChars="200"/>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rPr>
        <w:t>信息披露文件披露</w:t>
      </w:r>
      <w:r>
        <w:rPr>
          <w:rFonts w:ascii="Times New Roman" w:hAnsi="Times New Roman" w:eastAsia="仿宋" w:cs="Times New Roman"/>
          <w:sz w:val="32"/>
          <w:szCs w:val="32"/>
          <w:lang w:eastAsia="zh-Hans"/>
        </w:rPr>
        <w:t>后</w:t>
      </w:r>
      <w:r>
        <w:rPr>
          <w:rFonts w:hint="eastAsia" w:ascii="Times New Roman" w:hAnsi="Times New Roman" w:eastAsia="仿宋" w:cs="Times New Roman"/>
          <w:sz w:val="32"/>
          <w:szCs w:val="32"/>
          <w:lang w:eastAsia="zh-Hans"/>
        </w:rPr>
        <w:t>需更正</w:t>
      </w:r>
      <w:r>
        <w:rPr>
          <w:rFonts w:ascii="Times New Roman" w:hAnsi="Times New Roman" w:eastAsia="仿宋" w:cs="Times New Roman"/>
          <w:sz w:val="32"/>
          <w:szCs w:val="32"/>
          <w:lang w:eastAsia="zh-Hans"/>
        </w:rPr>
        <w:t>的，主承销商</w:t>
      </w:r>
      <w:r>
        <w:rPr>
          <w:rFonts w:hint="eastAsia" w:ascii="Times New Roman" w:hAnsi="Times New Roman" w:eastAsia="仿宋" w:cs="Times New Roman"/>
          <w:sz w:val="32"/>
          <w:szCs w:val="32"/>
          <w:lang w:eastAsia="zh-Hans"/>
        </w:rPr>
        <w:t>应及时</w:t>
      </w:r>
      <w:r>
        <w:rPr>
          <w:rFonts w:ascii="Times New Roman" w:hAnsi="Times New Roman" w:eastAsia="仿宋" w:cs="Times New Roman"/>
          <w:sz w:val="32"/>
          <w:szCs w:val="32"/>
          <w:lang w:eastAsia="zh-Hans"/>
        </w:rPr>
        <w:t>通过</w:t>
      </w:r>
      <w:r>
        <w:rPr>
          <w:rFonts w:ascii="Times New Roman" w:hAnsi="Times New Roman" w:eastAsia="仿宋" w:cs="Times New Roman"/>
          <w:sz w:val="32"/>
          <w:szCs w:val="32"/>
        </w:rPr>
        <w:t>BPM系统“发行承销-特殊事项”</w:t>
      </w:r>
      <w:r>
        <w:rPr>
          <w:rFonts w:hint="eastAsia" w:ascii="Times New Roman" w:hAnsi="Times New Roman" w:eastAsia="仿宋"/>
          <w:bCs/>
          <w:color w:val="000000" w:themeColor="text1"/>
          <w:sz w:val="32"/>
          <w:szCs w:val="32"/>
          <w14:textFill>
            <w14:solidFill>
              <w14:schemeClr w14:val="tx1"/>
            </w14:solidFill>
          </w14:textFill>
        </w:rPr>
        <w:t>模块</w:t>
      </w:r>
      <w:r>
        <w:rPr>
          <w:rFonts w:ascii="Times New Roman" w:hAnsi="Times New Roman" w:eastAsia="仿宋" w:cs="Times New Roman"/>
          <w:sz w:val="32"/>
          <w:szCs w:val="32"/>
          <w:lang w:eastAsia="zh-Hans"/>
        </w:rPr>
        <w:t>提交</w:t>
      </w:r>
      <w:r>
        <w:rPr>
          <w:rFonts w:hint="eastAsia" w:ascii="Times New Roman" w:hAnsi="Times New Roman" w:eastAsia="仿宋" w:cs="Times New Roman"/>
          <w:sz w:val="32"/>
          <w:szCs w:val="32"/>
          <w:lang w:eastAsia="zh-Hans"/>
        </w:rPr>
        <w:t>公告</w:t>
      </w:r>
      <w:r>
        <w:rPr>
          <w:rFonts w:ascii="Times New Roman" w:hAnsi="Times New Roman" w:eastAsia="仿宋" w:cs="Times New Roman"/>
          <w:sz w:val="32"/>
          <w:szCs w:val="32"/>
          <w:lang w:eastAsia="zh-Hans"/>
        </w:rPr>
        <w:t>更正申请</w:t>
      </w:r>
      <w:r>
        <w:rPr>
          <w:rFonts w:hint="eastAsia" w:ascii="Times New Roman" w:hAnsi="Times New Roman" w:eastAsia="仿宋" w:cs="Times New Roman"/>
          <w:sz w:val="32"/>
          <w:szCs w:val="32"/>
        </w:rPr>
        <w:t>及更正文件，更正文件包括</w:t>
      </w:r>
      <w:r>
        <w:rPr>
          <w:rFonts w:ascii="Times New Roman" w:hAnsi="Times New Roman" w:eastAsia="仿宋" w:cs="Times New Roman"/>
          <w:sz w:val="32"/>
          <w:szCs w:val="32"/>
          <w:lang w:eastAsia="zh-Hans"/>
        </w:rPr>
        <w:t>更正公告</w:t>
      </w:r>
      <w:r>
        <w:rPr>
          <w:rFonts w:hint="eastAsia" w:ascii="Times New Roman" w:hAnsi="Times New Roman" w:eastAsia="仿宋" w:cs="Times New Roman"/>
          <w:sz w:val="32"/>
          <w:szCs w:val="32"/>
        </w:rPr>
        <w:t>和</w:t>
      </w:r>
      <w:r>
        <w:rPr>
          <w:rFonts w:ascii="Times New Roman" w:hAnsi="Times New Roman" w:eastAsia="仿宋" w:cs="Times New Roman"/>
          <w:sz w:val="32"/>
          <w:szCs w:val="32"/>
          <w:lang w:eastAsia="zh-Hans"/>
        </w:rPr>
        <w:t>更正后公告。</w:t>
      </w:r>
    </w:p>
    <w:p>
      <w:pPr>
        <w:adjustRightInd w:val="0"/>
        <w:snapToGrid w:val="0"/>
        <w:spacing w:line="600" w:lineRule="exact"/>
        <w:ind w:firstLine="642" w:firstLineChars="200"/>
        <w:outlineLvl w:val="1"/>
        <w:rPr>
          <w:rFonts w:ascii="Times New Roman" w:hAnsi="Times New Roman" w:eastAsia="楷体" w:cs="Times New Roman"/>
          <w:b/>
          <w:sz w:val="32"/>
          <w:szCs w:val="32"/>
        </w:rPr>
      </w:pPr>
      <w:r>
        <w:rPr>
          <w:rFonts w:ascii="Times New Roman" w:hAnsi="Times New Roman" w:eastAsia="楷体" w:cs="Times New Roman"/>
          <w:b/>
          <w:sz w:val="32"/>
          <w:szCs w:val="32"/>
        </w:rPr>
        <w:t>5.2 重大事项报告</w:t>
      </w:r>
      <w:bookmarkEnd w:id="32"/>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提交发行与承销方案后至发行人股票在北京证券交易所上市前，发行人发生重大事项可能对发行人是否符合公开发行条件、北京证券交易所上市及信息披露要求产生重大影响的，发行人应当提交重大事项专项报告，对具体影响作出解释说明，保荐机构及相关证券服务机构应出具专项核查意见。上述文件通过BPM系统“发行承销-特殊事项”模块提交。</w:t>
      </w:r>
    </w:p>
    <w:p>
      <w:pPr>
        <w:adjustRightInd w:val="0"/>
        <w:snapToGrid w:val="0"/>
        <w:spacing w:line="600" w:lineRule="exact"/>
        <w:ind w:firstLine="642" w:firstLineChars="200"/>
        <w:outlineLvl w:val="1"/>
        <w:rPr>
          <w:rFonts w:ascii="Times New Roman" w:hAnsi="Times New Roman" w:eastAsia="楷体" w:cs="Times New Roman"/>
          <w:b/>
          <w:sz w:val="32"/>
          <w:szCs w:val="32"/>
        </w:rPr>
      </w:pPr>
      <w:bookmarkStart w:id="33" w:name="_Toc72003969"/>
      <w:r>
        <w:rPr>
          <w:rFonts w:ascii="Times New Roman" w:hAnsi="Times New Roman" w:eastAsia="楷体" w:cs="Times New Roman"/>
          <w:b/>
          <w:sz w:val="32"/>
          <w:szCs w:val="32"/>
        </w:rPr>
        <w:t>5.3</w:t>
      </w:r>
      <w:r>
        <w:rPr>
          <w:rFonts w:ascii="Times New Roman" w:hAnsi="Times New Roman" w:cs="Times New Roman" w:eastAsiaTheme="majorEastAsia"/>
          <w:b/>
          <w:sz w:val="32"/>
          <w:szCs w:val="32"/>
        </w:rPr>
        <w:t xml:space="preserve"> </w:t>
      </w:r>
      <w:r>
        <w:rPr>
          <w:rFonts w:ascii="Times New Roman" w:hAnsi="Times New Roman" w:eastAsia="楷体" w:cs="Times New Roman"/>
          <w:b/>
          <w:sz w:val="32"/>
          <w:szCs w:val="32"/>
        </w:rPr>
        <w:t>中止发行</w:t>
      </w:r>
      <w:bookmarkEnd w:id="33"/>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出现中止发行情形时，发行人和主承销商应当及时联系本所，并根据相关规则启动中止发行流程，通过BPM系统“发行承销-中止发行”模块上传中止申请文件、中止发行公告。</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中止发行公告披露后，在中国证监会注册文件有效期内，发行人和主承销商可再次启动发行。</w:t>
      </w:r>
    </w:p>
    <w:p>
      <w:pPr>
        <w:widowControl/>
        <w:spacing w:line="600" w:lineRule="exact"/>
        <w:ind w:firstLine="640" w:firstLineChars="200"/>
        <w:outlineLvl w:val="0"/>
        <w:rPr>
          <w:rFonts w:ascii="Times New Roman" w:hAnsi="Times New Roman" w:eastAsia="黑体" w:cs="Times New Roman"/>
          <w:sz w:val="32"/>
          <w:szCs w:val="32"/>
        </w:rPr>
      </w:pPr>
      <w:bookmarkStart w:id="34" w:name="_Toc16836123"/>
      <w:bookmarkEnd w:id="34"/>
      <w:bookmarkStart w:id="35" w:name="_Toc16834908"/>
      <w:bookmarkEnd w:id="35"/>
      <w:bookmarkStart w:id="36" w:name="_Toc16835700"/>
      <w:bookmarkEnd w:id="36"/>
      <w:bookmarkStart w:id="37" w:name="_Toc16834575"/>
      <w:bookmarkEnd w:id="37"/>
      <w:bookmarkStart w:id="38" w:name="_Toc16835259"/>
      <w:bookmarkEnd w:id="38"/>
      <w:bookmarkStart w:id="39" w:name="_Toc16835787"/>
      <w:bookmarkEnd w:id="39"/>
      <w:bookmarkStart w:id="40" w:name="_Toc16834693"/>
      <w:bookmarkEnd w:id="40"/>
      <w:bookmarkStart w:id="41" w:name="_Toc16835378"/>
      <w:bookmarkEnd w:id="41"/>
      <w:bookmarkStart w:id="42" w:name="_Toc16835432"/>
      <w:bookmarkEnd w:id="42"/>
      <w:bookmarkStart w:id="43" w:name="_Toc16834542"/>
      <w:bookmarkEnd w:id="43"/>
      <w:bookmarkStart w:id="44" w:name="_Toc16834848"/>
      <w:bookmarkEnd w:id="44"/>
      <w:bookmarkStart w:id="45" w:name="_Toc16835597"/>
      <w:bookmarkEnd w:id="45"/>
      <w:bookmarkStart w:id="46" w:name="_Toc16835386"/>
      <w:bookmarkEnd w:id="46"/>
      <w:bookmarkStart w:id="47" w:name="_Toc16835608"/>
      <w:bookmarkEnd w:id="47"/>
      <w:bookmarkStart w:id="48" w:name="_Toc16834843"/>
      <w:bookmarkEnd w:id="48"/>
      <w:bookmarkStart w:id="49" w:name="_Toc16835605"/>
      <w:bookmarkEnd w:id="49"/>
      <w:bookmarkStart w:id="50" w:name="_Toc16834487"/>
      <w:bookmarkEnd w:id="50"/>
      <w:bookmarkStart w:id="51" w:name="_Toc16835534"/>
      <w:bookmarkEnd w:id="51"/>
      <w:bookmarkStart w:id="52" w:name="_Toc16836239"/>
      <w:bookmarkEnd w:id="52"/>
      <w:bookmarkStart w:id="53" w:name="_Toc16834599"/>
      <w:bookmarkEnd w:id="53"/>
      <w:bookmarkStart w:id="54" w:name="_Toc16835785"/>
      <w:bookmarkEnd w:id="54"/>
      <w:bookmarkStart w:id="55" w:name="_Toc16835528"/>
      <w:bookmarkEnd w:id="55"/>
      <w:bookmarkStart w:id="56" w:name="_Toc16834918"/>
      <w:bookmarkEnd w:id="56"/>
      <w:bookmarkStart w:id="57" w:name="_Toc16835417"/>
      <w:bookmarkEnd w:id="57"/>
      <w:bookmarkStart w:id="58" w:name="_Toc16835228"/>
      <w:bookmarkEnd w:id="58"/>
      <w:bookmarkStart w:id="59" w:name="_Toc16835381"/>
      <w:bookmarkEnd w:id="59"/>
      <w:bookmarkStart w:id="60" w:name="_Toc16835868"/>
      <w:bookmarkEnd w:id="60"/>
      <w:bookmarkStart w:id="61" w:name="_Toc16834703"/>
      <w:bookmarkEnd w:id="61"/>
      <w:bookmarkStart w:id="62" w:name="_Toc16834395"/>
      <w:bookmarkEnd w:id="62"/>
      <w:bookmarkStart w:id="63" w:name="_Toc16835263"/>
      <w:bookmarkEnd w:id="63"/>
      <w:bookmarkStart w:id="64" w:name="_Toc16834696"/>
      <w:bookmarkEnd w:id="64"/>
      <w:bookmarkStart w:id="65" w:name="_Toc16834852"/>
      <w:bookmarkEnd w:id="65"/>
      <w:bookmarkStart w:id="66" w:name="_Toc16835284"/>
      <w:bookmarkEnd w:id="66"/>
      <w:bookmarkStart w:id="67" w:name="_Toc16835227"/>
      <w:bookmarkEnd w:id="67"/>
      <w:bookmarkStart w:id="68" w:name="_Toc16835077"/>
      <w:bookmarkEnd w:id="68"/>
      <w:bookmarkStart w:id="69" w:name="_Toc16836246"/>
      <w:bookmarkEnd w:id="69"/>
      <w:bookmarkStart w:id="70" w:name="_Toc16834463"/>
      <w:bookmarkEnd w:id="70"/>
      <w:bookmarkStart w:id="71" w:name="_Toc16835971"/>
      <w:bookmarkEnd w:id="71"/>
      <w:bookmarkStart w:id="72" w:name="_Toc16835936"/>
      <w:bookmarkEnd w:id="72"/>
      <w:bookmarkStart w:id="73" w:name="_Toc16836306"/>
      <w:bookmarkEnd w:id="73"/>
      <w:bookmarkStart w:id="74" w:name="_Toc16835288"/>
      <w:bookmarkEnd w:id="74"/>
      <w:bookmarkStart w:id="75" w:name="_Toc16835391"/>
      <w:bookmarkEnd w:id="75"/>
      <w:bookmarkStart w:id="76" w:name="_Toc16834723"/>
      <w:bookmarkEnd w:id="76"/>
      <w:bookmarkStart w:id="77" w:name="_Toc16834467"/>
      <w:bookmarkEnd w:id="77"/>
      <w:bookmarkStart w:id="78" w:name="_Toc16835434"/>
      <w:bookmarkEnd w:id="78"/>
      <w:bookmarkStart w:id="79" w:name="_Toc16835220"/>
      <w:bookmarkEnd w:id="79"/>
      <w:bookmarkStart w:id="80" w:name="_Toc16835696"/>
      <w:bookmarkEnd w:id="80"/>
      <w:bookmarkStart w:id="81" w:name="_Toc16834538"/>
      <w:bookmarkEnd w:id="81"/>
      <w:bookmarkStart w:id="82" w:name="_Toc16834394"/>
      <w:bookmarkEnd w:id="82"/>
      <w:bookmarkStart w:id="83" w:name="_Toc16834702"/>
      <w:bookmarkEnd w:id="83"/>
      <w:bookmarkStart w:id="84" w:name="_Toc16834906"/>
      <w:bookmarkEnd w:id="84"/>
      <w:bookmarkStart w:id="85" w:name="_Toc16835790"/>
      <w:bookmarkEnd w:id="85"/>
      <w:bookmarkStart w:id="86" w:name="_Toc16834698"/>
      <w:bookmarkEnd w:id="86"/>
      <w:bookmarkStart w:id="87" w:name="_Toc16835939"/>
      <w:bookmarkEnd w:id="87"/>
      <w:bookmarkStart w:id="88" w:name="_Toc16835604"/>
      <w:bookmarkEnd w:id="88"/>
      <w:bookmarkStart w:id="89" w:name="_Toc16835969"/>
      <w:bookmarkEnd w:id="89"/>
      <w:bookmarkStart w:id="90" w:name="_Toc16835287"/>
      <w:bookmarkEnd w:id="90"/>
      <w:bookmarkStart w:id="91" w:name="_Toc16835926"/>
      <w:bookmarkEnd w:id="91"/>
      <w:bookmarkStart w:id="92" w:name="_Toc16835994"/>
      <w:bookmarkEnd w:id="92"/>
      <w:bookmarkStart w:id="93" w:name="_Toc16835701"/>
      <w:bookmarkEnd w:id="93"/>
      <w:bookmarkStart w:id="94" w:name="_Toc16834704"/>
      <w:bookmarkEnd w:id="94"/>
      <w:bookmarkStart w:id="95" w:name="_Toc16835869"/>
      <w:bookmarkEnd w:id="95"/>
      <w:bookmarkStart w:id="96" w:name="_Toc16836248"/>
      <w:bookmarkEnd w:id="96"/>
      <w:bookmarkStart w:id="97" w:name="_Toc16835609"/>
      <w:bookmarkEnd w:id="97"/>
      <w:bookmarkStart w:id="98" w:name="_Toc16834989"/>
      <w:bookmarkEnd w:id="98"/>
      <w:bookmarkStart w:id="99" w:name="_Toc16836316"/>
      <w:bookmarkEnd w:id="99"/>
      <w:bookmarkStart w:id="100" w:name="_Toc16835433"/>
      <w:bookmarkEnd w:id="100"/>
      <w:bookmarkStart w:id="101" w:name="_Toc16835159"/>
      <w:bookmarkEnd w:id="101"/>
      <w:bookmarkStart w:id="102" w:name="_Toc16598010"/>
      <w:bookmarkEnd w:id="102"/>
      <w:bookmarkStart w:id="103" w:name="_Toc16836309"/>
      <w:bookmarkEnd w:id="103"/>
      <w:bookmarkStart w:id="104" w:name="_Toc16835264"/>
      <w:bookmarkEnd w:id="104"/>
      <w:bookmarkStart w:id="105" w:name="_Toc16835527"/>
      <w:bookmarkEnd w:id="105"/>
      <w:bookmarkStart w:id="106" w:name="_Toc16835219"/>
      <w:bookmarkEnd w:id="106"/>
      <w:bookmarkStart w:id="107" w:name="_Toc16835928"/>
      <w:bookmarkEnd w:id="107"/>
      <w:bookmarkStart w:id="108" w:name="_Toc16836283"/>
      <w:bookmarkEnd w:id="108"/>
      <w:bookmarkStart w:id="109" w:name="_Toc16835791"/>
      <w:bookmarkEnd w:id="109"/>
      <w:bookmarkStart w:id="110" w:name="_Toc16835538"/>
      <w:bookmarkEnd w:id="110"/>
      <w:bookmarkStart w:id="111" w:name="_Toc16834389"/>
      <w:bookmarkEnd w:id="111"/>
      <w:bookmarkStart w:id="112" w:name="_Toc16835863"/>
      <w:bookmarkEnd w:id="112"/>
      <w:bookmarkStart w:id="113" w:name="_Toc16834747"/>
      <w:bookmarkEnd w:id="113"/>
      <w:bookmarkStart w:id="114" w:name="_Toc16835539"/>
      <w:bookmarkEnd w:id="114"/>
      <w:bookmarkStart w:id="115" w:name="_Toc16834730"/>
      <w:bookmarkEnd w:id="115"/>
      <w:bookmarkStart w:id="116" w:name="_Toc16835530"/>
      <w:bookmarkEnd w:id="116"/>
      <w:bookmarkStart w:id="117" w:name="_Toc16834597"/>
      <w:bookmarkEnd w:id="117"/>
      <w:bookmarkStart w:id="118" w:name="_Toc16834694"/>
      <w:bookmarkEnd w:id="118"/>
      <w:bookmarkStart w:id="119" w:name="_Toc16835290"/>
      <w:bookmarkEnd w:id="119"/>
      <w:bookmarkStart w:id="120" w:name="_Toc16835380"/>
      <w:bookmarkEnd w:id="120"/>
      <w:bookmarkStart w:id="121" w:name="_Toc16835286"/>
      <w:bookmarkEnd w:id="121"/>
      <w:bookmarkStart w:id="122" w:name="_Toc16836087"/>
      <w:bookmarkEnd w:id="122"/>
      <w:bookmarkStart w:id="123" w:name="_Toc16835600"/>
      <w:bookmarkEnd w:id="123"/>
      <w:bookmarkStart w:id="124" w:name="_Toc16834396"/>
      <w:bookmarkEnd w:id="124"/>
      <w:bookmarkStart w:id="125" w:name="_Toc16834701"/>
      <w:bookmarkEnd w:id="125"/>
      <w:bookmarkStart w:id="126" w:name="_Toc16836312"/>
      <w:bookmarkEnd w:id="126"/>
      <w:bookmarkStart w:id="127" w:name="_Toc16834849"/>
      <w:bookmarkEnd w:id="127"/>
      <w:bookmarkStart w:id="128" w:name="_Toc16835387"/>
      <w:bookmarkEnd w:id="128"/>
      <w:bookmarkStart w:id="129" w:name="_Toc16834886"/>
      <w:bookmarkEnd w:id="129"/>
      <w:bookmarkStart w:id="130" w:name="_Toc16835383"/>
      <w:bookmarkEnd w:id="130"/>
      <w:bookmarkStart w:id="131" w:name="_Toc16834916"/>
      <w:bookmarkEnd w:id="131"/>
      <w:bookmarkStart w:id="132" w:name="_Toc16835886"/>
      <w:bookmarkEnd w:id="132"/>
      <w:bookmarkStart w:id="133" w:name="_Toc16834700"/>
      <w:bookmarkEnd w:id="133"/>
      <w:bookmarkStart w:id="134" w:name="_Toc16836094"/>
      <w:bookmarkEnd w:id="134"/>
      <w:bookmarkStart w:id="135" w:name="_Toc16834302"/>
      <w:bookmarkEnd w:id="135"/>
      <w:bookmarkStart w:id="136" w:name="_Toc16835698"/>
      <w:bookmarkEnd w:id="136"/>
      <w:bookmarkStart w:id="137" w:name="_Toc16836240"/>
      <w:bookmarkEnd w:id="137"/>
      <w:bookmarkStart w:id="138" w:name="_Toc16834846"/>
      <w:bookmarkEnd w:id="138"/>
      <w:bookmarkStart w:id="139" w:name="_Toc16835176"/>
      <w:bookmarkEnd w:id="139"/>
      <w:bookmarkStart w:id="140" w:name="_Toc16835531"/>
      <w:bookmarkEnd w:id="140"/>
      <w:bookmarkStart w:id="141" w:name="_Toc16835574"/>
      <w:bookmarkEnd w:id="141"/>
      <w:bookmarkStart w:id="142" w:name="_Toc16836085"/>
      <w:bookmarkEnd w:id="142"/>
      <w:bookmarkStart w:id="143" w:name="_Toc16836147"/>
      <w:bookmarkEnd w:id="143"/>
      <w:bookmarkStart w:id="144" w:name="_Toc16836144"/>
      <w:bookmarkEnd w:id="144"/>
      <w:bookmarkStart w:id="145" w:name="_Toc16834907"/>
      <w:bookmarkEnd w:id="145"/>
      <w:bookmarkStart w:id="146" w:name="_Toc16835601"/>
      <w:bookmarkEnd w:id="146"/>
      <w:bookmarkStart w:id="147" w:name="_Toc16834842"/>
      <w:bookmarkEnd w:id="147"/>
      <w:bookmarkStart w:id="148" w:name="_Toc16834464"/>
      <w:bookmarkEnd w:id="148"/>
      <w:bookmarkStart w:id="149" w:name="_Toc16835996"/>
      <w:bookmarkEnd w:id="149"/>
      <w:bookmarkStart w:id="150" w:name="_Toc16836100"/>
      <w:bookmarkEnd w:id="150"/>
      <w:bookmarkStart w:id="151" w:name="_Toc16835162"/>
      <w:bookmarkEnd w:id="151"/>
      <w:bookmarkStart w:id="152" w:name="_Toc16835596"/>
      <w:bookmarkEnd w:id="152"/>
      <w:bookmarkStart w:id="153" w:name="_Toc16834489"/>
      <w:bookmarkEnd w:id="153"/>
      <w:bookmarkStart w:id="154" w:name="_Toc16835992"/>
      <w:bookmarkEnd w:id="154"/>
      <w:bookmarkStart w:id="155" w:name="_Toc16835699"/>
      <w:bookmarkEnd w:id="155"/>
      <w:bookmarkStart w:id="156" w:name="_Toc16834851"/>
      <w:bookmarkEnd w:id="156"/>
      <w:bookmarkStart w:id="157" w:name="_Toc16835230"/>
      <w:bookmarkEnd w:id="157"/>
      <w:bookmarkStart w:id="158" w:name="_Toc16835786"/>
      <w:bookmarkEnd w:id="158"/>
      <w:bookmarkStart w:id="159" w:name="_Toc16834911"/>
      <w:bookmarkEnd w:id="159"/>
      <w:bookmarkStart w:id="160" w:name="_Toc16836126"/>
      <w:bookmarkEnd w:id="160"/>
      <w:bookmarkStart w:id="161" w:name="_Toc16834990"/>
      <w:bookmarkEnd w:id="161"/>
      <w:bookmarkStart w:id="162" w:name="_Toc16835595"/>
      <w:bookmarkEnd w:id="162"/>
      <w:bookmarkStart w:id="163" w:name="_Toc16835392"/>
      <w:bookmarkEnd w:id="163"/>
      <w:bookmarkStart w:id="164" w:name="_Toc16836120"/>
      <w:bookmarkEnd w:id="164"/>
      <w:bookmarkStart w:id="165" w:name="_Toc16836302"/>
      <w:bookmarkEnd w:id="165"/>
      <w:bookmarkStart w:id="166" w:name="_Toc16834749"/>
      <w:bookmarkEnd w:id="166"/>
      <w:bookmarkStart w:id="167" w:name="_Toc16836089"/>
      <w:bookmarkEnd w:id="167"/>
      <w:bookmarkStart w:id="168" w:name="_Toc16834991"/>
      <w:bookmarkEnd w:id="168"/>
      <w:bookmarkStart w:id="169" w:name="_Toc16834568"/>
      <w:bookmarkEnd w:id="169"/>
      <w:bookmarkStart w:id="170" w:name="_Toc16834748"/>
      <w:bookmarkEnd w:id="170"/>
      <w:bookmarkStart w:id="171" w:name="_Toc16835884"/>
      <w:bookmarkEnd w:id="171"/>
      <w:bookmarkStart w:id="172" w:name="_Toc16835182"/>
      <w:bookmarkEnd w:id="172"/>
      <w:bookmarkStart w:id="173" w:name="_Toc16835085"/>
      <w:bookmarkEnd w:id="173"/>
      <w:bookmarkStart w:id="174" w:name="_Toc16835991"/>
      <w:bookmarkEnd w:id="174"/>
      <w:bookmarkStart w:id="175" w:name="_Toc16835864"/>
      <w:bookmarkEnd w:id="175"/>
      <w:bookmarkStart w:id="176" w:name="_Toc16834913"/>
      <w:bookmarkEnd w:id="176"/>
      <w:bookmarkStart w:id="177" w:name="_Toc16834490"/>
      <w:bookmarkEnd w:id="177"/>
      <w:bookmarkStart w:id="178" w:name="_Toc16834746"/>
      <w:bookmarkEnd w:id="178"/>
      <w:bookmarkStart w:id="179" w:name="_Toc16836346"/>
      <w:bookmarkEnd w:id="179"/>
      <w:bookmarkStart w:id="180" w:name="_Toc16834727"/>
      <w:bookmarkEnd w:id="180"/>
      <w:bookmarkStart w:id="181" w:name="_Toc16835792"/>
      <w:bookmarkEnd w:id="181"/>
      <w:bookmarkStart w:id="182" w:name="_Toc16834539"/>
      <w:bookmarkEnd w:id="182"/>
      <w:bookmarkStart w:id="183" w:name="_Toc16835866"/>
      <w:bookmarkEnd w:id="183"/>
      <w:bookmarkStart w:id="184" w:name="_Toc16835702"/>
      <w:bookmarkEnd w:id="184"/>
      <w:bookmarkStart w:id="185" w:name="_Toc16834492"/>
      <w:bookmarkEnd w:id="185"/>
      <w:bookmarkStart w:id="186" w:name="_Toc16834465"/>
      <w:bookmarkEnd w:id="186"/>
      <w:bookmarkStart w:id="187" w:name="_Toc16835541"/>
      <w:bookmarkEnd w:id="187"/>
      <w:bookmarkStart w:id="188" w:name="_Toc16834726"/>
      <w:bookmarkEnd w:id="188"/>
      <w:bookmarkStart w:id="189" w:name="_Toc16834725"/>
      <w:bookmarkEnd w:id="189"/>
      <w:bookmarkStart w:id="190" w:name="_Toc16835260"/>
      <w:bookmarkEnd w:id="190"/>
      <w:bookmarkStart w:id="191" w:name="_Toc16836127"/>
      <w:bookmarkEnd w:id="191"/>
      <w:bookmarkStart w:id="192" w:name="_Toc16836099"/>
      <w:bookmarkEnd w:id="192"/>
      <w:bookmarkStart w:id="193" w:name="_Toc16835152"/>
      <w:bookmarkEnd w:id="193"/>
      <w:bookmarkStart w:id="194" w:name="_Toc16836088"/>
      <w:bookmarkEnd w:id="194"/>
      <w:bookmarkStart w:id="195" w:name="_Toc16834837"/>
      <w:bookmarkEnd w:id="195"/>
      <w:bookmarkStart w:id="196" w:name="_Toc16835415"/>
      <w:bookmarkEnd w:id="196"/>
      <w:bookmarkStart w:id="197" w:name="_Toc16835616"/>
      <w:bookmarkEnd w:id="197"/>
      <w:bookmarkStart w:id="198" w:name="_Toc16835967"/>
      <w:bookmarkEnd w:id="198"/>
      <w:bookmarkStart w:id="199" w:name="_Toc16836243"/>
      <w:bookmarkEnd w:id="199"/>
      <w:bookmarkStart w:id="200" w:name="_Toc16834882"/>
      <w:bookmarkEnd w:id="200"/>
      <w:bookmarkStart w:id="201" w:name="_Toc16834529"/>
      <w:bookmarkEnd w:id="201"/>
      <w:bookmarkStart w:id="202" w:name="_Toc16835261"/>
      <w:bookmarkEnd w:id="202"/>
      <w:bookmarkStart w:id="203" w:name="_Toc16835931"/>
      <w:bookmarkEnd w:id="203"/>
      <w:bookmarkStart w:id="204" w:name="_Toc16834299"/>
      <w:bookmarkEnd w:id="204"/>
      <w:bookmarkStart w:id="205" w:name="_Toc16836086"/>
      <w:bookmarkEnd w:id="205"/>
      <w:bookmarkStart w:id="206" w:name="_Toc16836236"/>
      <w:bookmarkEnd w:id="206"/>
      <w:bookmarkStart w:id="207" w:name="_Toc16834304"/>
      <w:bookmarkEnd w:id="207"/>
      <w:bookmarkStart w:id="208" w:name="_Toc16836245"/>
      <w:bookmarkEnd w:id="208"/>
      <w:bookmarkStart w:id="209" w:name="_Toc16834530"/>
      <w:bookmarkEnd w:id="209"/>
      <w:bookmarkStart w:id="210" w:name="_Toc16836324"/>
      <w:bookmarkEnd w:id="210"/>
      <w:bookmarkStart w:id="211" w:name="_Toc16835615"/>
      <w:bookmarkEnd w:id="211"/>
      <w:bookmarkStart w:id="212" w:name="_Toc16834393"/>
      <w:bookmarkEnd w:id="212"/>
      <w:bookmarkStart w:id="213" w:name="_Toc16835217"/>
      <w:bookmarkEnd w:id="213"/>
      <w:bookmarkStart w:id="214" w:name="_Toc16834850"/>
      <w:bookmarkEnd w:id="214"/>
      <w:bookmarkStart w:id="215" w:name="_Toc16836234"/>
      <w:bookmarkEnd w:id="215"/>
      <w:bookmarkStart w:id="216" w:name="_Toc16834992"/>
      <w:bookmarkEnd w:id="216"/>
      <w:bookmarkStart w:id="217" w:name="_Toc16834390"/>
      <w:bookmarkEnd w:id="217"/>
      <w:bookmarkStart w:id="218" w:name="_Toc16834910"/>
      <w:bookmarkEnd w:id="218"/>
      <w:bookmarkStart w:id="219" w:name="_Toc16835860"/>
      <w:bookmarkEnd w:id="219"/>
      <w:bookmarkStart w:id="220" w:name="_Toc16835379"/>
      <w:bookmarkEnd w:id="220"/>
      <w:bookmarkStart w:id="221" w:name="_Toc16835861"/>
      <w:bookmarkEnd w:id="221"/>
      <w:bookmarkStart w:id="222" w:name="_Toc16834469"/>
      <w:bookmarkEnd w:id="222"/>
      <w:bookmarkStart w:id="223" w:name="_Toc16836091"/>
      <w:bookmarkEnd w:id="223"/>
      <w:bookmarkStart w:id="224" w:name="_Toc16835285"/>
      <w:bookmarkEnd w:id="224"/>
      <w:bookmarkStart w:id="225" w:name="_Toc16835930"/>
      <w:bookmarkEnd w:id="225"/>
      <w:bookmarkStart w:id="226" w:name="_Toc16834838"/>
      <w:bookmarkEnd w:id="226"/>
      <w:bookmarkStart w:id="227" w:name="_Toc16836249"/>
      <w:bookmarkEnd w:id="227"/>
      <w:bookmarkStart w:id="228" w:name="_Toc16834541"/>
      <w:bookmarkEnd w:id="228"/>
      <w:bookmarkStart w:id="229" w:name="_Toc16836303"/>
      <w:bookmarkEnd w:id="229"/>
      <w:bookmarkStart w:id="230" w:name="_Toc16835606"/>
      <w:bookmarkEnd w:id="230"/>
      <w:bookmarkStart w:id="231" w:name="_Toc16836282"/>
      <w:bookmarkEnd w:id="231"/>
      <w:bookmarkStart w:id="232" w:name="_Toc16836305"/>
      <w:bookmarkEnd w:id="232"/>
      <w:bookmarkStart w:id="233" w:name="_Toc16835218"/>
      <w:bookmarkEnd w:id="233"/>
      <w:bookmarkStart w:id="234" w:name="_Toc16834915"/>
      <w:bookmarkEnd w:id="234"/>
      <w:bookmarkStart w:id="235" w:name="_Toc16836280"/>
      <w:bookmarkEnd w:id="235"/>
      <w:bookmarkStart w:id="236" w:name="_Toc16835532"/>
      <w:bookmarkEnd w:id="236"/>
      <w:bookmarkStart w:id="237" w:name="_Toc16834745"/>
      <w:bookmarkEnd w:id="237"/>
      <w:bookmarkStart w:id="238" w:name="_Toc16834537"/>
      <w:bookmarkEnd w:id="238"/>
      <w:bookmarkStart w:id="239" w:name="_Toc16834468"/>
      <w:bookmarkEnd w:id="239"/>
      <w:bookmarkStart w:id="240" w:name="_Toc16836093"/>
      <w:bookmarkEnd w:id="240"/>
      <w:bookmarkStart w:id="241" w:name="_Toc16835934"/>
      <w:bookmarkEnd w:id="241"/>
      <w:bookmarkStart w:id="242" w:name="_Toc16834844"/>
      <w:bookmarkEnd w:id="242"/>
      <w:bookmarkStart w:id="243" w:name="_Toc16835572"/>
      <w:bookmarkEnd w:id="243"/>
      <w:bookmarkStart w:id="244" w:name="_Toc16835180"/>
      <w:bookmarkEnd w:id="244"/>
      <w:bookmarkStart w:id="245" w:name="_Toc16836124"/>
      <w:bookmarkEnd w:id="245"/>
      <w:bookmarkStart w:id="246" w:name="_Toc16835965"/>
      <w:bookmarkEnd w:id="246"/>
      <w:bookmarkStart w:id="247" w:name="_Toc16835155"/>
      <w:bookmarkEnd w:id="247"/>
      <w:bookmarkStart w:id="248" w:name="_Toc16834688"/>
      <w:bookmarkEnd w:id="248"/>
      <w:bookmarkStart w:id="249" w:name="_Toc16835385"/>
      <w:bookmarkEnd w:id="249"/>
      <w:bookmarkStart w:id="250" w:name="_Toc16836311"/>
      <w:bookmarkEnd w:id="250"/>
      <w:bookmarkStart w:id="251" w:name="_Toc16834536"/>
      <w:bookmarkEnd w:id="251"/>
      <w:bookmarkStart w:id="252" w:name="_Toc16836279"/>
      <w:bookmarkEnd w:id="252"/>
      <w:bookmarkStart w:id="253" w:name="_Toc16834905"/>
      <w:bookmarkEnd w:id="253"/>
      <w:bookmarkStart w:id="254" w:name="_Toc16835225"/>
      <w:bookmarkEnd w:id="254"/>
      <w:bookmarkStart w:id="255" w:name="_Toc16835925"/>
      <w:bookmarkEnd w:id="255"/>
      <w:bookmarkStart w:id="256" w:name="_Toc16835283"/>
      <w:bookmarkEnd w:id="256"/>
      <w:bookmarkStart w:id="257" w:name="_Toc16835885"/>
      <w:bookmarkEnd w:id="257"/>
      <w:bookmarkStart w:id="258" w:name="_Toc16834470"/>
      <w:bookmarkEnd w:id="258"/>
      <w:bookmarkStart w:id="259" w:name="_Toc16835571"/>
      <w:bookmarkEnd w:id="259"/>
      <w:bookmarkStart w:id="260" w:name="_Toc16834883"/>
      <w:bookmarkEnd w:id="260"/>
      <w:bookmarkStart w:id="261" w:name="_Toc16835789"/>
      <w:bookmarkEnd w:id="261"/>
      <w:bookmarkStart w:id="262" w:name="_Toc16836313"/>
      <w:bookmarkEnd w:id="262"/>
      <w:bookmarkStart w:id="263" w:name="_Toc16835262"/>
      <w:bookmarkEnd w:id="263"/>
      <w:bookmarkStart w:id="264" w:name="_Toc16835929"/>
      <w:bookmarkEnd w:id="264"/>
      <w:bookmarkStart w:id="265" w:name="_Toc16836277"/>
      <w:bookmarkEnd w:id="265"/>
      <w:bookmarkStart w:id="266" w:name="_Toc16835082"/>
      <w:bookmarkEnd w:id="266"/>
      <w:bookmarkStart w:id="267" w:name="_Toc16835569"/>
      <w:bookmarkEnd w:id="267"/>
      <w:bookmarkStart w:id="268" w:name="_Toc16836122"/>
      <w:bookmarkEnd w:id="268"/>
      <w:bookmarkStart w:id="269" w:name="_Toc16834596"/>
      <w:bookmarkEnd w:id="269"/>
      <w:bookmarkStart w:id="270" w:name="_Toc16835997"/>
      <w:bookmarkEnd w:id="270"/>
      <w:bookmarkStart w:id="271" w:name="_Toc16834301"/>
      <w:bookmarkEnd w:id="271"/>
      <w:bookmarkStart w:id="272" w:name="_Toc16834993"/>
      <w:bookmarkEnd w:id="272"/>
      <w:bookmarkStart w:id="273" w:name="_Toc16835935"/>
      <w:bookmarkEnd w:id="273"/>
      <w:bookmarkStart w:id="274" w:name="_Toc16835888"/>
      <w:bookmarkEnd w:id="274"/>
      <w:bookmarkStart w:id="275" w:name="_Toc16834533"/>
      <w:bookmarkEnd w:id="275"/>
      <w:bookmarkStart w:id="276" w:name="_Toc16835224"/>
      <w:bookmarkEnd w:id="276"/>
      <w:bookmarkStart w:id="277" w:name="_Toc16834919"/>
      <w:bookmarkEnd w:id="277"/>
      <w:bookmarkStart w:id="278" w:name="_Toc16836098"/>
      <w:bookmarkEnd w:id="278"/>
      <w:bookmarkStart w:id="279" w:name="_Toc16835540"/>
      <w:bookmarkEnd w:id="279"/>
      <w:bookmarkStart w:id="280" w:name="_Toc16835436"/>
      <w:bookmarkEnd w:id="280"/>
      <w:bookmarkStart w:id="281" w:name="_Toc16834473"/>
      <w:bookmarkEnd w:id="281"/>
      <w:bookmarkStart w:id="282" w:name="_Toc16836314"/>
      <w:bookmarkEnd w:id="282"/>
      <w:bookmarkStart w:id="283" w:name="_Toc16835995"/>
      <w:bookmarkEnd w:id="283"/>
      <w:bookmarkStart w:id="284" w:name="_Toc16835389"/>
      <w:bookmarkEnd w:id="284"/>
      <w:bookmarkStart w:id="285" w:name="_Toc16834595"/>
      <w:bookmarkEnd w:id="285"/>
      <w:bookmarkStart w:id="286" w:name="_Toc16835602"/>
      <w:bookmarkEnd w:id="286"/>
      <w:bookmarkStart w:id="287" w:name="_Toc16835179"/>
      <w:bookmarkEnd w:id="287"/>
      <w:bookmarkStart w:id="288" w:name="_Toc16834914"/>
      <w:bookmarkEnd w:id="288"/>
      <w:bookmarkStart w:id="289" w:name="_Toc16834839"/>
      <w:bookmarkEnd w:id="289"/>
      <w:bookmarkStart w:id="290" w:name="_Toc16835181"/>
      <w:bookmarkEnd w:id="290"/>
      <w:bookmarkStart w:id="291" w:name="_Toc16835536"/>
      <w:bookmarkEnd w:id="291"/>
      <w:bookmarkStart w:id="292" w:name="_Toc16835526"/>
      <w:bookmarkEnd w:id="292"/>
      <w:bookmarkStart w:id="293" w:name="_Toc16834917"/>
      <w:bookmarkEnd w:id="293"/>
      <w:bookmarkStart w:id="294" w:name="_Toc16834534"/>
      <w:bookmarkEnd w:id="294"/>
      <w:bookmarkStart w:id="295" w:name="_Toc16834573"/>
      <w:bookmarkEnd w:id="295"/>
      <w:bookmarkStart w:id="296" w:name="_Toc16835257"/>
      <w:bookmarkEnd w:id="296"/>
      <w:bookmarkStart w:id="297" w:name="_Toc16834543"/>
      <w:bookmarkEnd w:id="297"/>
      <w:bookmarkStart w:id="298" w:name="_Toc16835607"/>
      <w:bookmarkEnd w:id="298"/>
      <w:bookmarkStart w:id="299" w:name="_Toc16835887"/>
      <w:bookmarkEnd w:id="299"/>
      <w:bookmarkStart w:id="300" w:name="_Toc16835435"/>
      <w:bookmarkEnd w:id="300"/>
      <w:bookmarkStart w:id="301" w:name="_Toc16835998"/>
      <w:bookmarkEnd w:id="301"/>
      <w:bookmarkStart w:id="302" w:name="_Toc16835083"/>
      <w:bookmarkEnd w:id="302"/>
      <w:bookmarkStart w:id="303" w:name="_Toc16834493"/>
      <w:bookmarkEnd w:id="303"/>
      <w:bookmarkStart w:id="304" w:name="_Toc16835289"/>
      <w:bookmarkEnd w:id="304"/>
      <w:bookmarkStart w:id="305" w:name="_Toc16836096"/>
      <w:bookmarkEnd w:id="305"/>
      <w:bookmarkStart w:id="306" w:name="_Toc16835158"/>
      <w:bookmarkEnd w:id="306"/>
      <w:bookmarkStart w:id="307" w:name="_Toc16835080"/>
      <w:bookmarkEnd w:id="307"/>
      <w:bookmarkStart w:id="308" w:name="_Toc16835871"/>
      <w:bookmarkEnd w:id="308"/>
      <w:bookmarkStart w:id="309" w:name="_Toc16834391"/>
      <w:bookmarkEnd w:id="309"/>
      <w:bookmarkStart w:id="310" w:name="_Toc16834300"/>
      <w:bookmarkEnd w:id="310"/>
      <w:bookmarkStart w:id="311" w:name="_Toc16835870"/>
      <w:bookmarkEnd w:id="311"/>
      <w:bookmarkStart w:id="312" w:name="_Toc16835229"/>
      <w:bookmarkEnd w:id="312"/>
      <w:bookmarkStart w:id="313" w:name="_Toc16834601"/>
      <w:bookmarkEnd w:id="313"/>
      <w:bookmarkStart w:id="314" w:name="_Toc16834691"/>
      <w:bookmarkEnd w:id="314"/>
      <w:bookmarkStart w:id="315" w:name="_Toc16834388"/>
      <w:bookmarkEnd w:id="315"/>
      <w:bookmarkStart w:id="316" w:name="_Toc16835232"/>
      <w:bookmarkEnd w:id="316"/>
      <w:bookmarkStart w:id="317" w:name="_Toc16834845"/>
      <w:bookmarkEnd w:id="317"/>
      <w:bookmarkStart w:id="318" w:name="_Toc16836090"/>
      <w:bookmarkEnd w:id="318"/>
      <w:bookmarkStart w:id="319" w:name="_Toc16835966"/>
      <w:bookmarkEnd w:id="319"/>
      <w:bookmarkStart w:id="320" w:name="_Toc16597828"/>
      <w:bookmarkEnd w:id="320"/>
      <w:bookmarkStart w:id="321" w:name="_Toc16835382"/>
      <w:bookmarkEnd w:id="321"/>
      <w:bookmarkStart w:id="322" w:name="_Toc16834697"/>
      <w:bookmarkEnd w:id="322"/>
      <w:bookmarkStart w:id="323" w:name="_Toc16834994"/>
      <w:bookmarkEnd w:id="323"/>
      <w:bookmarkStart w:id="324" w:name="_Toc16834881"/>
      <w:bookmarkEnd w:id="324"/>
      <w:bookmarkStart w:id="325" w:name="_Toc16834491"/>
      <w:bookmarkEnd w:id="325"/>
      <w:bookmarkStart w:id="326" w:name="_Toc16835968"/>
      <w:bookmarkEnd w:id="326"/>
      <w:bookmarkStart w:id="327" w:name="_Toc16836141"/>
      <w:bookmarkEnd w:id="327"/>
      <w:bookmarkStart w:id="328" w:name="_Toc16835793"/>
      <w:bookmarkEnd w:id="328"/>
      <w:bookmarkStart w:id="329" w:name="_Toc16835221"/>
      <w:bookmarkEnd w:id="329"/>
      <w:bookmarkStart w:id="330" w:name="_Toc16834699"/>
      <w:bookmarkEnd w:id="330"/>
      <w:bookmarkStart w:id="331" w:name="_Toc16835890"/>
      <w:bookmarkEnd w:id="331"/>
      <w:bookmarkStart w:id="332" w:name="_Toc16835932"/>
      <w:bookmarkEnd w:id="332"/>
      <w:bookmarkStart w:id="333" w:name="_Toc16834744"/>
      <w:bookmarkEnd w:id="333"/>
      <w:bookmarkStart w:id="334" w:name="_Toc16836276"/>
      <w:bookmarkEnd w:id="334"/>
      <w:bookmarkStart w:id="335" w:name="_Toc16836121"/>
      <w:bookmarkEnd w:id="335"/>
      <w:bookmarkStart w:id="336" w:name="_Toc16834750"/>
      <w:bookmarkEnd w:id="336"/>
      <w:bookmarkStart w:id="337" w:name="_Toc16835927"/>
      <w:bookmarkEnd w:id="337"/>
      <w:bookmarkStart w:id="338" w:name="_Toc16836304"/>
      <w:bookmarkEnd w:id="338"/>
      <w:bookmarkStart w:id="339" w:name="_Toc16834303"/>
      <w:bookmarkEnd w:id="339"/>
      <w:bookmarkStart w:id="340" w:name="_Toc16836315"/>
      <w:bookmarkEnd w:id="340"/>
      <w:bookmarkStart w:id="341" w:name="_Toc16835993"/>
      <w:bookmarkEnd w:id="341"/>
      <w:bookmarkStart w:id="342" w:name="_Toc16835414"/>
      <w:bookmarkEnd w:id="342"/>
      <w:bookmarkStart w:id="343" w:name="_Toc16836125"/>
      <w:bookmarkEnd w:id="343"/>
      <w:bookmarkStart w:id="344" w:name="_Toc16835153"/>
      <w:bookmarkEnd w:id="344"/>
      <w:bookmarkStart w:id="345" w:name="_Toc16835412"/>
      <w:bookmarkEnd w:id="345"/>
      <w:bookmarkStart w:id="346" w:name="_Toc16835933"/>
      <w:bookmarkEnd w:id="346"/>
      <w:bookmarkStart w:id="347" w:name="_Toc16834743"/>
      <w:bookmarkEnd w:id="347"/>
      <w:bookmarkStart w:id="348" w:name="_Toc16834847"/>
      <w:bookmarkEnd w:id="348"/>
      <w:bookmarkStart w:id="349" w:name="_Toc16835697"/>
      <w:bookmarkEnd w:id="349"/>
      <w:bookmarkStart w:id="350" w:name="_Toc16835529"/>
      <w:bookmarkEnd w:id="350"/>
      <w:bookmarkStart w:id="351" w:name="_Toc16835418"/>
      <w:bookmarkEnd w:id="351"/>
      <w:bookmarkStart w:id="352" w:name="_Toc16834885"/>
      <w:bookmarkEnd w:id="352"/>
      <w:bookmarkStart w:id="353" w:name="_Toc16836317"/>
      <w:bookmarkEnd w:id="353"/>
      <w:bookmarkStart w:id="354" w:name="_Toc16836097"/>
      <w:bookmarkEnd w:id="354"/>
      <w:bookmarkStart w:id="355" w:name="_Toc16835603"/>
      <w:bookmarkEnd w:id="355"/>
      <w:bookmarkStart w:id="356" w:name="_Toc16834488"/>
      <w:bookmarkEnd w:id="356"/>
      <w:bookmarkStart w:id="357" w:name="_Toc16835160"/>
      <w:bookmarkEnd w:id="357"/>
      <w:bookmarkStart w:id="358" w:name="_Toc16834574"/>
      <w:bookmarkEnd w:id="358"/>
      <w:bookmarkStart w:id="359" w:name="_Toc16834600"/>
      <w:bookmarkEnd w:id="359"/>
      <w:bookmarkStart w:id="360" w:name="_Toc16835157"/>
      <w:bookmarkEnd w:id="360"/>
      <w:bookmarkStart w:id="361" w:name="_Toc16835223"/>
      <w:bookmarkEnd w:id="361"/>
      <w:bookmarkStart w:id="362" w:name="_Toc16835535"/>
      <w:bookmarkEnd w:id="362"/>
      <w:bookmarkStart w:id="363" w:name="_Toc16835258"/>
      <w:bookmarkEnd w:id="363"/>
      <w:bookmarkStart w:id="364" w:name="_Toc16836310"/>
      <w:bookmarkEnd w:id="364"/>
      <w:bookmarkStart w:id="365" w:name="_Toc16835081"/>
      <w:bookmarkEnd w:id="365"/>
      <w:bookmarkStart w:id="366" w:name="_Toc16835377"/>
      <w:bookmarkEnd w:id="366"/>
      <w:bookmarkStart w:id="367" w:name="_Toc16834528"/>
      <w:bookmarkEnd w:id="367"/>
      <w:bookmarkStart w:id="368" w:name="_Toc16836247"/>
      <w:bookmarkEnd w:id="368"/>
      <w:bookmarkStart w:id="369" w:name="_Toc16835416"/>
      <w:bookmarkEnd w:id="369"/>
      <w:bookmarkStart w:id="370" w:name="_Toc16834689"/>
      <w:bookmarkEnd w:id="370"/>
      <w:bookmarkStart w:id="371" w:name="_Toc16834531"/>
      <w:bookmarkEnd w:id="371"/>
      <w:bookmarkStart w:id="372" w:name="_Toc16834912"/>
      <w:bookmarkEnd w:id="372"/>
      <w:bookmarkStart w:id="373" w:name="_Toc16835865"/>
      <w:bookmarkEnd w:id="373"/>
      <w:bookmarkStart w:id="374" w:name="_Toc16835154"/>
      <w:bookmarkEnd w:id="374"/>
      <w:bookmarkStart w:id="375" w:name="_Toc16834474"/>
      <w:bookmarkEnd w:id="375"/>
      <w:bookmarkStart w:id="376" w:name="_Toc16834695"/>
      <w:bookmarkEnd w:id="376"/>
      <w:bookmarkStart w:id="377" w:name="_Toc16835413"/>
      <w:bookmarkEnd w:id="377"/>
      <w:bookmarkStart w:id="378" w:name="_Toc16835419"/>
      <w:bookmarkEnd w:id="378"/>
      <w:bookmarkStart w:id="379" w:name="_Toc16834466"/>
      <w:bookmarkEnd w:id="379"/>
      <w:bookmarkStart w:id="380" w:name="_Toc16835178"/>
      <w:bookmarkEnd w:id="380"/>
      <w:bookmarkStart w:id="381" w:name="_Toc16836325"/>
      <w:bookmarkEnd w:id="381"/>
      <w:bookmarkStart w:id="382" w:name="_Toc16834569"/>
      <w:bookmarkEnd w:id="382"/>
      <w:bookmarkStart w:id="383" w:name="_Toc16836244"/>
      <w:bookmarkEnd w:id="383"/>
      <w:bookmarkStart w:id="384" w:name="_Toc16834472"/>
      <w:bookmarkEnd w:id="384"/>
      <w:bookmarkStart w:id="385" w:name="_Toc16834841"/>
      <w:bookmarkEnd w:id="385"/>
      <w:bookmarkStart w:id="386" w:name="_Toc16836281"/>
      <w:bookmarkEnd w:id="386"/>
      <w:bookmarkStart w:id="387" w:name="_Toc16834532"/>
      <w:bookmarkEnd w:id="387"/>
      <w:bookmarkStart w:id="388" w:name="_Toc16834572"/>
      <w:bookmarkEnd w:id="388"/>
      <w:bookmarkStart w:id="389" w:name="_Toc16834692"/>
      <w:bookmarkEnd w:id="389"/>
      <w:bookmarkStart w:id="390" w:name="_Toc16835216"/>
      <w:bookmarkEnd w:id="390"/>
      <w:bookmarkStart w:id="391" w:name="_Toc16836237"/>
      <w:bookmarkEnd w:id="391"/>
      <w:bookmarkStart w:id="392" w:name="_Toc16836278"/>
      <w:bookmarkEnd w:id="392"/>
      <w:bookmarkStart w:id="393" w:name="_Toc16834728"/>
      <w:bookmarkEnd w:id="393"/>
      <w:bookmarkStart w:id="394" w:name="_Toc16835867"/>
      <w:bookmarkEnd w:id="394"/>
      <w:bookmarkStart w:id="395" w:name="_Toc16834928"/>
      <w:bookmarkEnd w:id="395"/>
      <w:bookmarkStart w:id="396" w:name="_Toc16835437"/>
      <w:bookmarkEnd w:id="396"/>
      <w:bookmarkStart w:id="397" w:name="_Toc16835226"/>
      <w:bookmarkEnd w:id="397"/>
      <w:bookmarkStart w:id="398" w:name="_Toc16834305"/>
      <w:bookmarkEnd w:id="398"/>
      <w:bookmarkStart w:id="399" w:name="_Toc16834724"/>
      <w:bookmarkEnd w:id="399"/>
      <w:bookmarkStart w:id="400" w:name="_Toc16834535"/>
      <w:bookmarkEnd w:id="400"/>
      <w:bookmarkStart w:id="401" w:name="_Toc16835537"/>
      <w:bookmarkEnd w:id="401"/>
      <w:bookmarkStart w:id="402" w:name="_Toc16836308"/>
      <w:bookmarkEnd w:id="402"/>
      <w:bookmarkStart w:id="403" w:name="_Toc16835937"/>
      <w:bookmarkEnd w:id="403"/>
      <w:bookmarkStart w:id="404" w:name="_Toc16835570"/>
      <w:bookmarkEnd w:id="404"/>
      <w:bookmarkStart w:id="405" w:name="_Toc16834598"/>
      <w:bookmarkEnd w:id="405"/>
      <w:bookmarkStart w:id="406" w:name="_Toc16836092"/>
      <w:bookmarkEnd w:id="406"/>
      <w:bookmarkStart w:id="407" w:name="_Toc16835390"/>
      <w:bookmarkEnd w:id="407"/>
      <w:bookmarkStart w:id="408" w:name="_Toc16835970"/>
      <w:bookmarkEnd w:id="408"/>
      <w:bookmarkStart w:id="409" w:name="_Toc16834471"/>
      <w:bookmarkEnd w:id="409"/>
      <w:bookmarkStart w:id="410" w:name="_Toc16835568"/>
      <w:bookmarkEnd w:id="410"/>
      <w:bookmarkStart w:id="411" w:name="_Toc16834729"/>
      <w:bookmarkEnd w:id="411"/>
      <w:bookmarkStart w:id="412" w:name="_Toc16834920"/>
      <w:bookmarkEnd w:id="412"/>
      <w:bookmarkStart w:id="413" w:name="_Toc16834880"/>
      <w:bookmarkEnd w:id="413"/>
      <w:bookmarkStart w:id="414" w:name="_Toc16835940"/>
      <w:bookmarkEnd w:id="414"/>
      <w:bookmarkStart w:id="415" w:name="_Toc16835163"/>
      <w:bookmarkEnd w:id="415"/>
      <w:bookmarkStart w:id="416" w:name="_Toc16835533"/>
      <w:bookmarkEnd w:id="416"/>
      <w:bookmarkStart w:id="417" w:name="_Toc16835938"/>
      <w:bookmarkEnd w:id="417"/>
      <w:bookmarkStart w:id="418" w:name="_Toc16836145"/>
      <w:bookmarkEnd w:id="418"/>
      <w:bookmarkStart w:id="419" w:name="_Toc16835393"/>
      <w:bookmarkEnd w:id="419"/>
      <w:bookmarkStart w:id="420" w:name="_Toc16835161"/>
      <w:bookmarkEnd w:id="420"/>
      <w:bookmarkStart w:id="421" w:name="_Toc16836095"/>
      <w:bookmarkEnd w:id="421"/>
      <w:bookmarkStart w:id="422" w:name="_Toc16834540"/>
      <w:bookmarkEnd w:id="422"/>
      <w:bookmarkStart w:id="423" w:name="_Toc16835084"/>
      <w:bookmarkEnd w:id="423"/>
      <w:bookmarkStart w:id="424" w:name="_Toc16835177"/>
      <w:bookmarkEnd w:id="424"/>
      <w:bookmarkStart w:id="425" w:name="_Toc16835222"/>
      <w:bookmarkEnd w:id="425"/>
      <w:bookmarkStart w:id="426" w:name="_Toc16836140"/>
      <w:bookmarkEnd w:id="426"/>
      <w:bookmarkStart w:id="427" w:name="_Toc16835438"/>
      <w:bookmarkEnd w:id="427"/>
      <w:bookmarkStart w:id="428" w:name="_Toc16836143"/>
      <w:bookmarkEnd w:id="428"/>
      <w:bookmarkStart w:id="429" w:name="_Toc16834988"/>
      <w:bookmarkEnd w:id="429"/>
      <w:bookmarkStart w:id="430" w:name="_Toc16835924"/>
      <w:bookmarkEnd w:id="430"/>
      <w:bookmarkStart w:id="431" w:name="_Toc16836146"/>
      <w:bookmarkEnd w:id="431"/>
      <w:bookmarkStart w:id="432" w:name="_Toc16835972"/>
      <w:bookmarkEnd w:id="432"/>
      <w:bookmarkStart w:id="433" w:name="_Toc16835638"/>
      <w:bookmarkEnd w:id="433"/>
      <w:bookmarkStart w:id="434" w:name="_Toc16835079"/>
      <w:bookmarkEnd w:id="434"/>
      <w:bookmarkStart w:id="435" w:name="_Toc16834570"/>
      <w:bookmarkEnd w:id="435"/>
      <w:bookmarkStart w:id="436" w:name="_Toc16597939"/>
      <w:bookmarkEnd w:id="436"/>
      <w:bookmarkStart w:id="437" w:name="_Toc16834879"/>
      <w:bookmarkEnd w:id="437"/>
      <w:bookmarkStart w:id="438" w:name="_Toc16835573"/>
      <w:bookmarkEnd w:id="438"/>
      <w:bookmarkStart w:id="439" w:name="_Toc16835078"/>
      <w:bookmarkEnd w:id="439"/>
      <w:bookmarkStart w:id="440" w:name="_Toc16834571"/>
      <w:bookmarkEnd w:id="440"/>
      <w:bookmarkStart w:id="441" w:name="_Toc16836142"/>
      <w:bookmarkEnd w:id="441"/>
      <w:bookmarkStart w:id="442" w:name="_Toc16836101"/>
      <w:bookmarkEnd w:id="442"/>
      <w:bookmarkStart w:id="443" w:name="_Toc16835231"/>
      <w:bookmarkEnd w:id="443"/>
      <w:bookmarkStart w:id="444" w:name="_Toc16834392"/>
      <w:bookmarkEnd w:id="444"/>
      <w:bookmarkStart w:id="445" w:name="_Toc16835862"/>
      <w:bookmarkEnd w:id="445"/>
      <w:bookmarkStart w:id="446" w:name="_Toc16835156"/>
      <w:bookmarkEnd w:id="446"/>
      <w:bookmarkStart w:id="447" w:name="_Toc16836242"/>
      <w:bookmarkEnd w:id="447"/>
      <w:bookmarkStart w:id="448" w:name="_Toc16836238"/>
      <w:bookmarkEnd w:id="448"/>
      <w:bookmarkStart w:id="449" w:name="_Toc16835439"/>
      <w:bookmarkEnd w:id="449"/>
      <w:bookmarkStart w:id="450" w:name="_Toc16834909"/>
      <w:bookmarkEnd w:id="450"/>
      <w:bookmarkStart w:id="451" w:name="_Toc16835575"/>
      <w:bookmarkEnd w:id="451"/>
      <w:bookmarkStart w:id="452" w:name="_Toc16835889"/>
      <w:bookmarkEnd w:id="452"/>
      <w:bookmarkStart w:id="453" w:name="_Toc16835384"/>
      <w:bookmarkEnd w:id="453"/>
      <w:bookmarkStart w:id="454" w:name="_Toc16835617"/>
      <w:bookmarkEnd w:id="454"/>
      <w:bookmarkStart w:id="455" w:name="_Toc16834840"/>
      <w:bookmarkEnd w:id="455"/>
      <w:bookmarkStart w:id="456" w:name="_Toc16836241"/>
      <w:bookmarkEnd w:id="456"/>
      <w:bookmarkStart w:id="457" w:name="_Toc16835598"/>
      <w:bookmarkEnd w:id="457"/>
      <w:bookmarkStart w:id="458" w:name="_Toc16836323"/>
      <w:bookmarkEnd w:id="458"/>
      <w:bookmarkStart w:id="459" w:name="_Toc16834884"/>
      <w:bookmarkEnd w:id="459"/>
      <w:bookmarkStart w:id="460" w:name="_Toc16836307"/>
      <w:bookmarkEnd w:id="460"/>
      <w:bookmarkStart w:id="461" w:name="_Toc16835788"/>
      <w:bookmarkEnd w:id="461"/>
      <w:bookmarkStart w:id="462" w:name="_Toc16836235"/>
      <w:bookmarkEnd w:id="462"/>
      <w:bookmarkStart w:id="463" w:name="_Toc16834594"/>
      <w:bookmarkEnd w:id="463"/>
      <w:bookmarkStart w:id="464" w:name="_Toc16834527"/>
      <w:bookmarkEnd w:id="464"/>
      <w:bookmarkStart w:id="465" w:name="_Toc16835594"/>
      <w:bookmarkEnd w:id="465"/>
      <w:bookmarkStart w:id="466" w:name="_Toc16835599"/>
      <w:bookmarkEnd w:id="466"/>
      <w:bookmarkStart w:id="467" w:name="_Toc16835388"/>
      <w:bookmarkEnd w:id="467"/>
      <w:bookmarkStart w:id="468" w:name="_Toc16834690"/>
      <w:bookmarkEnd w:id="468"/>
      <w:bookmarkStart w:id="469" w:name="_Toc72003971"/>
      <w:r>
        <w:rPr>
          <w:rFonts w:ascii="Times New Roman" w:hAnsi="Times New Roman" w:eastAsia="黑体" w:cs="Times New Roman"/>
          <w:sz w:val="32"/>
          <w:szCs w:val="32"/>
        </w:rPr>
        <w:t>6</w:t>
      </w:r>
      <w:r>
        <w:rPr>
          <w:rFonts w:ascii="Times New Roman" w:hAnsi="Times New Roman" w:eastAsia="仿宋" w:cs="Times New Roman"/>
          <w:sz w:val="32"/>
          <w:szCs w:val="32"/>
        </w:rPr>
        <w:t>．</w:t>
      </w:r>
      <w:r>
        <w:rPr>
          <w:rFonts w:ascii="Times New Roman" w:hAnsi="Times New Roman" w:eastAsia="黑体" w:cs="Times New Roman"/>
          <w:sz w:val="32"/>
          <w:szCs w:val="32"/>
        </w:rPr>
        <w:t>附则</w:t>
      </w:r>
      <w:bookmarkEnd w:id="469"/>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股票公开发行并上市业务发布的所有公告应当由发行人和主承销商共同落款（加盖公章）。</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发行人和主承销商上传的文件模板在附件中未作要求的，可在BPM系统“发行承销-模板下载”模块下载。</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本所负责对本指南解释。</w:t>
      </w:r>
    </w:p>
    <w:p>
      <w:pPr>
        <w:widowControl/>
        <w:spacing w:line="6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pStyle w:val="2"/>
        <w:rPr>
          <w:rFonts w:ascii="Times New Roman" w:hAnsi="Times New Roman" w:eastAsia="仿宋" w:cs="Times New Roman"/>
          <w:sz w:val="32"/>
          <w:szCs w:val="32"/>
        </w:rPr>
      </w:pPr>
    </w:p>
    <w:p>
      <w:pPr>
        <w:pStyle w:val="3"/>
      </w:pP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附件：1．关于通过北京证券交易所交易系统发行股票的</w:t>
      </w:r>
    </w:p>
    <w:p>
      <w:pPr>
        <w:adjustRightInd w:val="0"/>
        <w:snapToGrid w:val="0"/>
        <w:spacing w:line="600" w:lineRule="exact"/>
        <w:ind w:firstLine="2080" w:firstLineChars="650"/>
        <w:rPr>
          <w:rFonts w:ascii="Times New Roman" w:hAnsi="Times New Roman" w:eastAsia="仿宋" w:cs="Times New Roman"/>
          <w:sz w:val="32"/>
          <w:szCs w:val="32"/>
        </w:rPr>
      </w:pPr>
      <w:r>
        <w:rPr>
          <w:rFonts w:ascii="Times New Roman" w:hAnsi="Times New Roman" w:eastAsia="仿宋" w:cs="Times New Roman"/>
          <w:sz w:val="32"/>
          <w:szCs w:val="32"/>
        </w:rPr>
        <w:t>申请</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2．文件一致承诺函</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3．申购信息单——直接定价方式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4．申购信息单——竞价定价方式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5．询价信息单</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6．申购信息单——询价定价方式</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7．发行与承销方案</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8．发行承销阶段信息披露文件命名规范</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9．向不特定合格投资者公开发行股票并在北京证</w:t>
      </w:r>
    </w:p>
    <w:p>
      <w:pPr>
        <w:adjustRightInd w:val="0"/>
        <w:snapToGrid w:val="0"/>
        <w:spacing w:line="600" w:lineRule="exact"/>
        <w:ind w:firstLine="2080" w:firstLineChars="650"/>
        <w:jc w:val="left"/>
        <w:rPr>
          <w:rFonts w:ascii="Times New Roman" w:hAnsi="Times New Roman" w:eastAsia="仿宋" w:cs="Times New Roman"/>
          <w:sz w:val="32"/>
          <w:szCs w:val="32"/>
        </w:rPr>
      </w:pPr>
      <w:r>
        <w:rPr>
          <w:rFonts w:ascii="Times New Roman" w:hAnsi="Times New Roman" w:eastAsia="仿宋" w:cs="Times New Roman"/>
          <w:sz w:val="32"/>
          <w:szCs w:val="32"/>
        </w:rPr>
        <w:t>券交易所上市公告书</w:t>
      </w:r>
    </w:p>
    <w:p>
      <w:pPr>
        <w:adjustRightInd w:val="0"/>
        <w:snapToGrid w:val="0"/>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10．联系方式</w:t>
      </w:r>
    </w:p>
    <w:p>
      <w:pPr>
        <w:widowControl/>
        <w:jc w:val="left"/>
        <w:rPr>
          <w:rFonts w:ascii="Times New Roman" w:hAnsi="Times New Roman" w:eastAsia="仿宋" w:cs="Times New Roman"/>
          <w:sz w:val="32"/>
          <w:szCs w:val="32"/>
        </w:rPr>
      </w:pPr>
      <w:bookmarkStart w:id="470" w:name="_Toc16836350"/>
      <w:bookmarkStart w:id="471" w:name="_Toc16598014"/>
      <w:bookmarkStart w:id="472" w:name="_Toc18590707"/>
      <w:bookmarkStart w:id="473" w:name="_Toc18590867"/>
      <w:bookmarkStart w:id="474" w:name="_Toc18590883"/>
      <w:bookmarkStart w:id="475" w:name="_Toc18590723"/>
      <w:bookmarkStart w:id="476" w:name="_Toc16836366"/>
      <w:bookmarkStart w:id="477" w:name="_Toc21674055"/>
      <w:bookmarkStart w:id="478" w:name="_Toc21619216"/>
      <w:r>
        <w:rPr>
          <w:rFonts w:ascii="Times New Roman" w:hAnsi="Times New Roman" w:eastAsia="仿宋" w:cs="Times New Roman"/>
          <w:sz w:val="32"/>
          <w:szCs w:val="32"/>
        </w:rPr>
        <w:br w:type="page"/>
      </w: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70"/>
      <w:bookmarkEnd w:id="471"/>
      <w:bookmarkEnd w:id="472"/>
      <w:bookmarkEnd w:id="473"/>
      <w:bookmarkStart w:id="479" w:name="_Toc18590868"/>
      <w:bookmarkStart w:id="480" w:name="_Toc18590708"/>
      <w:bookmarkStart w:id="481" w:name="_Toc16836351"/>
      <w:bookmarkStart w:id="482" w:name="_Toc16598015"/>
      <w:r>
        <w:rPr>
          <w:rFonts w:ascii="Times New Roman" w:hAnsi="Times New Roman" w:eastAsia="黑体" w:cs="Times New Roman"/>
          <w:sz w:val="32"/>
          <w:szCs w:val="32"/>
        </w:rPr>
        <w:t>1</w:t>
      </w:r>
    </w:p>
    <w:p>
      <w:pPr>
        <w:adjustRightInd w:val="0"/>
        <w:snapToGrid w:val="0"/>
        <w:spacing w:line="560" w:lineRule="exact"/>
        <w:rPr>
          <w:rFonts w:ascii="Times New Roman" w:hAnsi="Times New Roman" w:eastAsia="黑体" w:cs="Times New Roman"/>
          <w:sz w:val="32"/>
          <w:szCs w:val="32"/>
        </w:rPr>
      </w:pP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关于通过北京证券交易所交易系统</w:t>
      </w: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发行股票的申请</w:t>
      </w:r>
    </w:p>
    <w:p>
      <w:pPr>
        <w:widowControl/>
        <w:spacing w:line="560" w:lineRule="exact"/>
        <w:jc w:val="center"/>
        <w:rPr>
          <w:rFonts w:ascii="Times New Roman" w:hAnsi="Times New Roman" w:eastAsia="方正大标宋简体" w:cs="Times New Roman"/>
          <w:sz w:val="44"/>
          <w:szCs w:val="32"/>
        </w:rPr>
      </w:pPr>
    </w:p>
    <w:bookmarkEnd w:id="479"/>
    <w:bookmarkEnd w:id="480"/>
    <w:bookmarkEnd w:id="481"/>
    <w:bookmarkEnd w:id="482"/>
    <w:p>
      <w:pPr>
        <w:widowControl/>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北京证券交易所：</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股份有限公司（以下简称XXXX或发行人）公开发行××万股普通股股票已经中国证监会同意注册。为了确保本次股票发行工作顺利进行，发行人和主承销商特此申请于×年×月×日披露招股意向书/招股说明书，于×年×月×日通过北京证券交易所交易系统进行询价（采用询价方式发行的适用），并于×年×月×日通过北京证券交易所交易系统进行申购。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在本次“XXXX”股票发行过程中，发行人和主承销商承诺将按照北京证券交易所发布的相关规则，公开、公平、公正地组织本次发行工作。在本次“XXXX”股票发行过程中，主承销商将通过贵所的交易系统接受投资者的申报委托。主承销商将按照规定与发行人进行募集资金的清算与划转。 </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特此申请。  </w:t>
      </w:r>
    </w:p>
    <w:p>
      <w:pPr>
        <w:widowControl/>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发行人（盖章）   X年X月X日</w:t>
      </w:r>
    </w:p>
    <w:p>
      <w:pPr>
        <w:widowControl/>
        <w:spacing w:line="560" w:lineRule="exact"/>
        <w:rPr>
          <w:rFonts w:ascii="Times New Roman" w:hAnsi="Times New Roman" w:eastAsia="仿宋" w:cs="Times New Roman"/>
          <w:sz w:val="30"/>
          <w:szCs w:val="30"/>
        </w:rPr>
      </w:pPr>
      <w:r>
        <w:rPr>
          <w:rFonts w:ascii="Times New Roman" w:hAnsi="Times New Roman" w:eastAsia="仿宋" w:cs="Times New Roman"/>
          <w:sz w:val="32"/>
          <w:szCs w:val="32"/>
        </w:rPr>
        <w:t xml:space="preserve">                       主承销商（盖章） X年X月X日</w:t>
      </w:r>
      <w:r>
        <w:rPr>
          <w:rFonts w:ascii="Times New Roman" w:hAnsi="Times New Roman" w:eastAsia="仿宋" w:cs="Times New Roman"/>
          <w:sz w:val="30"/>
          <w:szCs w:val="30"/>
        </w:rPr>
        <w:t xml:space="preserve">                  </w:t>
      </w:r>
      <w:r>
        <w:rPr>
          <w:rFonts w:ascii="Times New Roman" w:hAnsi="Times New Roman" w:eastAsia="仿宋" w:cs="Times New Roman"/>
          <w:sz w:val="30"/>
          <w:szCs w:val="30"/>
        </w:rPr>
        <w:br w:type="page"/>
      </w:r>
    </w:p>
    <w:p>
      <w:pPr>
        <w:adjustRightInd w:val="0"/>
        <w:snapToGrid w:val="0"/>
        <w:spacing w:line="560" w:lineRule="exact"/>
        <w:rPr>
          <w:rFonts w:ascii="Times New Roman" w:hAnsi="Times New Roman" w:eastAsia="黑体" w:cs="Times New Roman"/>
          <w:sz w:val="32"/>
          <w:szCs w:val="32"/>
        </w:rPr>
      </w:pPr>
      <w:bookmarkStart w:id="483" w:name="_Toc16836352"/>
      <w:bookmarkStart w:id="484" w:name="_Toc16598016"/>
      <w:bookmarkStart w:id="485" w:name="_Toc18590869"/>
      <w:bookmarkStart w:id="486" w:name="_Toc18590709"/>
      <w:r>
        <w:rPr>
          <w:rFonts w:ascii="Times New Roman" w:hAnsi="Times New Roman" w:eastAsia="黑体" w:cs="Times New Roman"/>
          <w:sz w:val="32"/>
          <w:szCs w:val="32"/>
        </w:rPr>
        <w:t>附件</w:t>
      </w:r>
      <w:bookmarkEnd w:id="483"/>
      <w:bookmarkEnd w:id="484"/>
      <w:bookmarkEnd w:id="485"/>
      <w:bookmarkEnd w:id="486"/>
      <w:r>
        <w:rPr>
          <w:rFonts w:ascii="Times New Roman" w:hAnsi="Times New Roman" w:eastAsia="黑体" w:cs="Times New Roman"/>
          <w:sz w:val="32"/>
          <w:szCs w:val="32"/>
        </w:rPr>
        <w:t>2</w:t>
      </w:r>
    </w:p>
    <w:p>
      <w:pPr>
        <w:spacing w:line="560" w:lineRule="exact"/>
        <w:jc w:val="left"/>
        <w:rPr>
          <w:rFonts w:ascii="Times New Roman" w:hAnsi="Times New Roman" w:eastAsia="仿宋" w:cs="Times New Roman"/>
          <w:b/>
          <w:sz w:val="28"/>
          <w:szCs w:val="28"/>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发行人： ___________________  公司， </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主承销商： ___________________  公司 </w:t>
      </w:r>
    </w:p>
    <w:p>
      <w:pPr>
        <w:widowControl/>
        <w:spacing w:line="560" w:lineRule="exact"/>
        <w:jc w:val="center"/>
        <w:rPr>
          <w:rFonts w:ascii="Times New Roman" w:hAnsi="Times New Roman" w:eastAsia="方正大标宋简体" w:cs="Times New Roman"/>
          <w:sz w:val="44"/>
          <w:szCs w:val="32"/>
        </w:rPr>
      </w:pPr>
      <w:r>
        <w:rPr>
          <w:rFonts w:ascii="Times New Roman" w:hAnsi="Times New Roman" w:eastAsia="方正大标宋简体" w:cs="Times New Roman"/>
          <w:sz w:val="44"/>
          <w:szCs w:val="32"/>
        </w:rPr>
        <w:t xml:space="preserve">  </w:t>
      </w:r>
    </w:p>
    <w:p>
      <w:pPr>
        <w:widowControl/>
        <w:spacing w:line="560" w:lineRule="exact"/>
        <w:jc w:val="center"/>
        <w:rPr>
          <w:rFonts w:ascii="Times New Roman" w:hAnsi="Times New Roman" w:eastAsia="方正大标宋简体" w:cs="Times New Roman"/>
          <w:sz w:val="44"/>
          <w:szCs w:val="32"/>
        </w:rPr>
      </w:pPr>
      <w:bookmarkStart w:id="487" w:name="_Toc16836353"/>
      <w:bookmarkStart w:id="488" w:name="_Toc18590710"/>
      <w:bookmarkStart w:id="489" w:name="_Toc16598017"/>
      <w:bookmarkStart w:id="490" w:name="_Toc18590870"/>
      <w:r>
        <w:rPr>
          <w:rFonts w:ascii="Times New Roman" w:hAnsi="Times New Roman" w:eastAsia="方正大标宋简体" w:cs="Times New Roman"/>
          <w:sz w:val="44"/>
          <w:szCs w:val="32"/>
        </w:rPr>
        <w:t>文件一致承诺函</w:t>
      </w:r>
      <w:bookmarkEnd w:id="487"/>
      <w:bookmarkEnd w:id="488"/>
      <w:bookmarkEnd w:id="489"/>
      <w:bookmarkEnd w:id="490"/>
    </w:p>
    <w:p>
      <w:pPr>
        <w:widowControl/>
        <w:spacing w:line="560" w:lineRule="exact"/>
        <w:jc w:val="center"/>
        <w:rPr>
          <w:rFonts w:ascii="Times New Roman" w:hAnsi="Times New Roman" w:eastAsia="方正大标宋简体" w:cs="Times New Roman"/>
          <w:sz w:val="44"/>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北京证券交易所：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发行人和主承销商共同承诺，本次报送贵所的招股意向书/招股说明书与中国证监会予以注册的相关文件一致。</w:t>
      </w: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60" w:lineRule="exact"/>
        <w:rPr>
          <w:rFonts w:ascii="Times New Roman" w:hAnsi="Times New Roman" w:eastAsia="仿宋" w:cs="Times New Roman"/>
          <w:sz w:val="32"/>
          <w:szCs w:val="32"/>
        </w:rPr>
      </w:pP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发行人（盖章）  X年X月X日</w:t>
      </w:r>
    </w:p>
    <w:p>
      <w:pPr>
        <w:widowControl/>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主承销商（盖章） X年X月X日</w:t>
      </w:r>
    </w:p>
    <w:p>
      <w:pPr>
        <w:spacing w:line="560" w:lineRule="exact"/>
        <w:rPr>
          <w:rFonts w:ascii="Times New Roman" w:hAnsi="Times New Roman" w:eastAsia="黑体" w:cs="Times New Roman"/>
          <w:sz w:val="32"/>
          <w:szCs w:val="32"/>
        </w:rPr>
      </w:pPr>
      <w:r>
        <w:rPr>
          <w:rFonts w:ascii="Times New Roman" w:hAnsi="Times New Roman" w:eastAsia="仿宋" w:cs="Times New Roman"/>
          <w:sz w:val="32"/>
          <w:szCs w:val="32"/>
        </w:rPr>
        <w:t xml:space="preserve">        </w:t>
      </w:r>
      <w:bookmarkStart w:id="491" w:name="_Toc18590715"/>
      <w:bookmarkStart w:id="492" w:name="_Toc16836358"/>
      <w:bookmarkStart w:id="493" w:name="_Toc18590875"/>
      <w:r>
        <w:rPr>
          <w:rFonts w:ascii="Times New Roman" w:hAnsi="Times New Roman" w:eastAsia="黑体" w:cs="Times New Roman"/>
          <w:sz w:val="32"/>
          <w:szCs w:val="32"/>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1"/>
      <w:bookmarkEnd w:id="492"/>
      <w:bookmarkEnd w:id="493"/>
      <w:r>
        <w:rPr>
          <w:rFonts w:ascii="Times New Roman" w:hAnsi="Times New Roman" w:eastAsia="黑体" w:cs="Times New Roman"/>
          <w:sz w:val="32"/>
          <w:szCs w:val="32"/>
        </w:rPr>
        <w:t>3</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申购信息单——直接定价方式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1203"/>
        <w:gridCol w:w="251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公司全称</w:t>
            </w:r>
          </w:p>
        </w:tc>
        <w:tc>
          <w:tcPr>
            <w:tcW w:w="5355" w:type="dxa"/>
            <w:gridSpan w:val="3"/>
            <w:shd w:val="clear" w:color="auto" w:fill="auto"/>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受理编号</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证券代码</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证券简称</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发行代码</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ISIN编码（如有）</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英文名称（如有）</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承销方式</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转让单位（倍）</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每股面值（元）</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货币种类</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发行前总股本（万股）</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拟发行数量（万股）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网上发行数量（万股）</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最终战略配售数量（万股）（非延期交付）</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是否采用超额配售选择权</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超额配售选择权股数（万股）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中止阈值</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发行价格（元/股）</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申购日</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发行市盈率（倍）</w:t>
            </w: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shd w:val="clear" w:color="auto" w:fill="auto"/>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特别表决权股份数量（万股）（如有）</w:t>
            </w:r>
          </w:p>
        </w:tc>
        <w:tc>
          <w:tcPr>
            <w:tcW w:w="1203" w:type="dxa"/>
            <w:shd w:val="clear" w:color="auto" w:fill="auto"/>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每份特别表决权股份的表决权数量（如有）</w:t>
            </w:r>
          </w:p>
        </w:tc>
        <w:tc>
          <w:tcPr>
            <w:tcW w:w="1638"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shd w:val="clear" w:color="auto" w:fill="FFFFFF" w:themeFill="background1"/>
            <w:vAlign w:val="center"/>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网上每笔申购数量上限（万股）</w:t>
            </w:r>
          </w:p>
        </w:tc>
        <w:tc>
          <w:tcPr>
            <w:tcW w:w="1203" w:type="dxa"/>
            <w:shd w:val="clear" w:color="auto" w:fill="FFFFFF" w:themeFill="background1"/>
          </w:tcPr>
          <w:p>
            <w:pPr>
              <w:spacing w:line="360" w:lineRule="exact"/>
              <w:rPr>
                <w:rFonts w:ascii="Times New Roman" w:hAnsi="Times New Roman" w:eastAsia="仿宋" w:cs="Times New Roman"/>
                <w:sz w:val="24"/>
                <w:szCs w:val="24"/>
              </w:rPr>
            </w:pPr>
          </w:p>
        </w:tc>
        <w:tc>
          <w:tcPr>
            <w:tcW w:w="2514" w:type="dxa"/>
            <w:vAlign w:val="center"/>
          </w:tcPr>
          <w:p>
            <w:pPr>
              <w:spacing w:line="360" w:lineRule="exact"/>
              <w:rPr>
                <w:rFonts w:ascii="Times New Roman" w:hAnsi="Times New Roman" w:eastAsia="仿宋" w:cs="Times New Roman"/>
                <w:sz w:val="24"/>
                <w:szCs w:val="24"/>
              </w:rPr>
            </w:pPr>
          </w:p>
        </w:tc>
        <w:tc>
          <w:tcPr>
            <w:tcW w:w="1638" w:type="dxa"/>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备注：本表的各个发行数量均不含超额配售选择权；</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      中止阈值：申购数量与战略配售数量之和占拟发行数量的比例低于中止阈值时，系统将提示触发中止发行事项。</w:t>
            </w:r>
          </w:p>
          <w:p>
            <w:pPr>
              <w:spacing w:line="360" w:lineRule="exact"/>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发行市盈率=发行价格/每股收益，其中每股收益按照上年度经会计师事务所审计的扣除非经常性损益后归属于母公司股东净利润除以本次发行后总股本计算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96" w:type="dxa"/>
            <w:gridSpan w:val="4"/>
          </w:tcPr>
          <w:p>
            <w:pPr>
              <w:spacing w:before="120" w:line="360" w:lineRule="exact"/>
              <w:rPr>
                <w:rFonts w:ascii="Times New Roman" w:hAnsi="Times New Roman" w:eastAsia="仿宋" w:cs="Times New Roman"/>
                <w:sz w:val="24"/>
                <w:szCs w:val="24"/>
              </w:rPr>
            </w:pPr>
            <w:r>
              <w:rPr>
                <w:rFonts w:ascii="Times New Roman" w:hAnsi="Times New Roman" w:eastAsia="仿宋" w:cs="Times New Roman"/>
                <w:sz w:val="24"/>
                <w:szCs w:val="24"/>
              </w:rPr>
              <w:t>承销商备注：</w:t>
            </w:r>
          </w:p>
        </w:tc>
      </w:tr>
    </w:tbl>
    <w:p>
      <w:pPr>
        <w:widowControl/>
        <w:spacing w:line="60" w:lineRule="exact"/>
        <w:jc w:val="left"/>
        <w:rPr>
          <w:rFonts w:ascii="Times New Roman" w:hAnsi="Times New Roman" w:cs="Times New Roman" w:eastAsiaTheme="minorEastAsia"/>
          <w:b/>
          <w:sz w:val="30"/>
          <w:szCs w:val="30"/>
        </w:rPr>
      </w:pPr>
      <w:bookmarkStart w:id="494" w:name="_Toc16836360"/>
      <w:bookmarkStart w:id="495" w:name="_Toc18590877"/>
      <w:bookmarkStart w:id="496" w:name="_Toc18590717"/>
      <w:r>
        <w:rPr>
          <w:rFonts w:ascii="Times New Roman" w:hAnsi="Times New Roman" w:cs="Times New Roman" w:eastAsiaTheme="minorEastAsia"/>
          <w:b/>
          <w:sz w:val="30"/>
          <w:szCs w:val="30"/>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4"/>
      <w:bookmarkEnd w:id="495"/>
      <w:bookmarkEnd w:id="496"/>
      <w:r>
        <w:rPr>
          <w:rFonts w:ascii="Times New Roman" w:hAnsi="Times New Roman" w:eastAsia="黑体" w:cs="Times New Roman"/>
          <w:sz w:val="32"/>
          <w:szCs w:val="32"/>
        </w:rPr>
        <w:t>4</w:t>
      </w:r>
    </w:p>
    <w:p>
      <w:pPr>
        <w:adjustRightInd w:val="0"/>
        <w:snapToGrid w:val="0"/>
        <w:spacing w:line="600" w:lineRule="exact"/>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申购信息单——竞价定价方式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54"/>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2405"/>
        <w:gridCol w:w="1782"/>
        <w:gridCol w:w="2329"/>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公司全称</w:t>
            </w:r>
          </w:p>
        </w:tc>
        <w:tc>
          <w:tcPr>
            <w:tcW w:w="5870" w:type="dxa"/>
            <w:gridSpan w:val="3"/>
            <w:shd w:val="clear" w:color="auto" w:fill="auto"/>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受理编号</w:t>
            </w:r>
          </w:p>
        </w:tc>
        <w:tc>
          <w:tcPr>
            <w:tcW w:w="1782" w:type="dxa"/>
            <w:shd w:val="clear" w:color="auto" w:fill="auto"/>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证券代码</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证券简称</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发行代码</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ISIN编码（如有）</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英文名称（如有）</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承销方式</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转让单位（倍）</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每股面值（元）</w:t>
            </w:r>
          </w:p>
        </w:tc>
        <w:tc>
          <w:tcPr>
            <w:tcW w:w="1782" w:type="dxa"/>
            <w:shd w:val="clear" w:color="auto" w:fill="auto"/>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货币种类</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auto"/>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发行前总股本（万股）</w:t>
            </w:r>
          </w:p>
        </w:tc>
        <w:tc>
          <w:tcPr>
            <w:tcW w:w="1782" w:type="dxa"/>
            <w:shd w:val="clear" w:color="auto" w:fill="auto"/>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拟发行数量（万股）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shd w:val="clear" w:color="auto" w:fill="FFFFFF" w:themeFill="background1"/>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网上发行数量（万股）</w:t>
            </w:r>
          </w:p>
        </w:tc>
        <w:tc>
          <w:tcPr>
            <w:tcW w:w="1782" w:type="dxa"/>
            <w:shd w:val="clear" w:color="auto" w:fill="FFFFFF" w:themeFill="background1"/>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初始战略配售数量（万股）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是否采用超额配售选择权</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超额配售选择权股数（万股）</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申购日</w:t>
            </w:r>
          </w:p>
        </w:tc>
        <w:tc>
          <w:tcPr>
            <w:tcW w:w="1782" w:type="dxa"/>
            <w:shd w:val="clear" w:color="auto" w:fill="FFFFFF" w:themeFill="background1"/>
          </w:tcPr>
          <w:p>
            <w:pPr>
              <w:spacing w:line="360" w:lineRule="exact"/>
              <w:rPr>
                <w:rFonts w:ascii="Times New Roman" w:hAnsi="Times New Roman" w:eastAsia="仿宋" w:cs="Times New Roman"/>
                <w:sz w:val="24"/>
                <w:szCs w:val="24"/>
              </w:rPr>
            </w:pPr>
          </w:p>
        </w:tc>
        <w:tc>
          <w:tcPr>
            <w:tcW w:w="2329" w:type="dxa"/>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最低申购价格（元/股）</w:t>
            </w:r>
          </w:p>
        </w:tc>
        <w:tc>
          <w:tcPr>
            <w:tcW w:w="1759" w:type="dxa"/>
          </w:tcPr>
          <w:p>
            <w:pPr>
              <w:spacing w:line="360" w:lineRule="exact"/>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价格确定机制（一/二）</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中止阈值</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特别表决权股份数量（万股）（如有）</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每份特别表决权股份的表决权数量（如有）</w:t>
            </w: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2405" w:type="dxa"/>
            <w:shd w:val="clear" w:color="auto" w:fill="FFFFFF" w:themeFill="background1"/>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网上每笔申购数量上限（万股）</w:t>
            </w:r>
          </w:p>
        </w:tc>
        <w:tc>
          <w:tcPr>
            <w:tcW w:w="1782" w:type="dxa"/>
            <w:shd w:val="clear" w:color="auto" w:fill="FFFFFF" w:themeFill="background1"/>
          </w:tcPr>
          <w:p>
            <w:pPr>
              <w:spacing w:line="360" w:lineRule="exact"/>
              <w:rPr>
                <w:rFonts w:ascii="Times New Roman" w:hAnsi="Times New Roman" w:eastAsia="仿宋" w:cs="Times New Roman"/>
                <w:kern w:val="0"/>
                <w:sz w:val="24"/>
                <w:szCs w:val="24"/>
              </w:rPr>
            </w:pPr>
          </w:p>
        </w:tc>
        <w:tc>
          <w:tcPr>
            <w:tcW w:w="2329" w:type="dxa"/>
          </w:tcPr>
          <w:p>
            <w:pPr>
              <w:spacing w:line="360" w:lineRule="exact"/>
              <w:rPr>
                <w:rFonts w:ascii="Times New Roman" w:hAnsi="Times New Roman" w:eastAsia="仿宋" w:cs="Times New Roman"/>
                <w:kern w:val="0"/>
                <w:sz w:val="24"/>
                <w:szCs w:val="24"/>
              </w:rPr>
            </w:pPr>
          </w:p>
        </w:tc>
        <w:tc>
          <w:tcPr>
            <w:tcW w:w="1759" w:type="dxa"/>
          </w:tcPr>
          <w:p>
            <w:pPr>
              <w:spacing w:line="360" w:lineRule="exact"/>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45" w:hRule="atLeast"/>
          <w:jc w:val="center"/>
        </w:trPr>
        <w:tc>
          <w:tcPr>
            <w:tcW w:w="8275" w:type="dxa"/>
            <w:gridSpan w:val="4"/>
          </w:tcPr>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备注：本表的各个发行数量均不含超额配售选择权；</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中止阈值：申购数量与战略配售数量之和占拟发行数量的比例低于中止阈值时，系统将提示触发中止发行事项；</w:t>
            </w:r>
          </w:p>
          <w:p>
            <w:pPr>
              <w:spacing w:line="3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价格确定机制一：剔除最高报价部分后，将投资者申购报单按照价格从高到低排序计算累计申购数量，当累计申购数量达到网上发行数量或其一定倍数时，对应的最低申购价格为发行价格；</w:t>
            </w:r>
          </w:p>
          <w:p>
            <w:pPr>
              <w:spacing w:line="360" w:lineRule="exact"/>
              <w:ind w:firstLine="720" w:firstLineChars="300"/>
              <w:rPr>
                <w:rFonts w:ascii="Times New Roman" w:hAnsi="Times New Roman" w:eastAsia="仿宋" w:cs="Times New Roman"/>
                <w:kern w:val="0"/>
                <w:sz w:val="24"/>
                <w:szCs w:val="24"/>
              </w:rPr>
            </w:pPr>
            <w:r>
              <w:rPr>
                <w:rFonts w:ascii="Times New Roman" w:hAnsi="Times New Roman" w:eastAsia="仿宋" w:cs="Times New Roman"/>
                <w:kern w:val="0"/>
                <w:sz w:val="24"/>
                <w:szCs w:val="24"/>
              </w:rPr>
              <w:t>价格确定机制二：按照事先确定并公告的方法（加权平均价格或算数平均价格）计算申购报单的基准价格，以0.01元为一个价格变动单位向基准价格上下扩大价格区间，直至累计申购数量达到网上发行股票数量或其一定倍数，较低的临界价格为发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45" w:hRule="atLeast"/>
          <w:jc w:val="center"/>
        </w:trPr>
        <w:tc>
          <w:tcPr>
            <w:tcW w:w="8275" w:type="dxa"/>
            <w:gridSpan w:val="4"/>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承销商备注：</w:t>
            </w:r>
          </w:p>
        </w:tc>
      </w:tr>
    </w:tbl>
    <w:p>
      <w:pPr>
        <w:adjustRightInd w:val="0"/>
        <w:snapToGrid w:val="0"/>
        <w:spacing w:line="640" w:lineRule="exact"/>
        <w:rPr>
          <w:rFonts w:ascii="Times New Roman" w:hAnsi="Times New Roman" w:eastAsia="黑体" w:cs="Times New Roman"/>
          <w:sz w:val="32"/>
          <w:szCs w:val="32"/>
        </w:rPr>
      </w:pPr>
      <w:bookmarkStart w:id="497" w:name="_Toc16836354"/>
      <w:bookmarkStart w:id="498" w:name="_Toc18590871"/>
      <w:bookmarkStart w:id="499" w:name="_Toc18590711"/>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97"/>
      <w:bookmarkEnd w:id="498"/>
      <w:bookmarkEnd w:id="499"/>
      <w:r>
        <w:rPr>
          <w:rFonts w:ascii="Times New Roman" w:hAnsi="Times New Roman" w:eastAsia="黑体" w:cs="Times New Roman"/>
          <w:sz w:val="32"/>
          <w:szCs w:val="32"/>
        </w:rPr>
        <w:t>5</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询价信息单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909"/>
        <w:gridCol w:w="1481"/>
        <w:gridCol w:w="25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tcPr>
          <w:p>
            <w:pPr>
              <w:rPr>
                <w:rFonts w:ascii="Times New Roman" w:hAnsi="Times New Roman" w:eastAsia="仿宋" w:cs="Times New Roman"/>
                <w:sz w:val="24"/>
                <w:szCs w:val="24"/>
              </w:rPr>
            </w:pPr>
            <w:r>
              <w:rPr>
                <w:rFonts w:ascii="Times New Roman" w:hAnsi="Times New Roman" w:eastAsia="仿宋" w:cs="Times New Roman"/>
                <w:sz w:val="24"/>
                <w:szCs w:val="24"/>
              </w:rPr>
              <w:t>公司全称</w:t>
            </w:r>
          </w:p>
        </w:tc>
        <w:tc>
          <w:tcPr>
            <w:tcW w:w="5733" w:type="dxa"/>
            <w:gridSpan w:val="3"/>
            <w:shd w:val="clear" w:color="auto" w:fill="auto"/>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受理编号</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发行代码</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证券代码</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证券简称</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ISIN编码（如有）</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英文简称（如有）</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证券级别</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转让单位（倍）</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每股面值（元）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货币种类</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发行前总股本（万股）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拟发行数量（万股）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是否采用超额配售选择权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超额配售选择权股数（万股）（如有）</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网下初始发行数量（万股）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网下初始发行比例</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网上初始发行数量（万股）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网上初始发行比例</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承销方式</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初始战略配售数量（万股）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中止阈值</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限售期</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询价开始日</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询价截止日</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网下每笔拟申购数量下限（万股）</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网下每笔拟申购数量上限（万股）</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特别表决权股份数量（万股）（如有）</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每份特别表决权股份的表决权数量（如有）</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拟申购价格下限（元）</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拟申购价格上限（元）</w:t>
            </w: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909" w:type="dxa"/>
            <w:shd w:val="clear" w:color="auto" w:fill="auto"/>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可申购倍数</w:t>
            </w:r>
          </w:p>
        </w:tc>
        <w:tc>
          <w:tcPr>
            <w:tcW w:w="1481" w:type="dxa"/>
            <w:shd w:val="clear" w:color="auto" w:fill="auto"/>
          </w:tcPr>
          <w:p>
            <w:pPr>
              <w:rPr>
                <w:rFonts w:ascii="Times New Roman" w:hAnsi="Times New Roman" w:eastAsia="仿宋" w:cs="Times New Roman"/>
                <w:sz w:val="24"/>
                <w:szCs w:val="24"/>
              </w:rPr>
            </w:pPr>
          </w:p>
        </w:tc>
        <w:tc>
          <w:tcPr>
            <w:tcW w:w="2580" w:type="dxa"/>
            <w:vAlign w:val="center"/>
          </w:tcPr>
          <w:p>
            <w:pPr>
              <w:rPr>
                <w:rFonts w:ascii="Times New Roman" w:hAnsi="Times New Roman" w:eastAsia="仿宋" w:cs="Times New Roman"/>
                <w:sz w:val="24"/>
                <w:szCs w:val="24"/>
              </w:rPr>
            </w:pPr>
          </w:p>
        </w:tc>
        <w:tc>
          <w:tcPr>
            <w:tcW w:w="167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8642" w:type="dxa"/>
            <w:gridSpan w:val="4"/>
            <w:shd w:val="clear" w:color="auto" w:fill="auto"/>
          </w:tcPr>
          <w:p>
            <w:pPr>
              <w:rPr>
                <w:rFonts w:ascii="Times New Roman" w:hAnsi="Times New Roman" w:eastAsia="仿宋" w:cs="Times New Roman"/>
                <w:sz w:val="24"/>
                <w:szCs w:val="24"/>
              </w:rPr>
            </w:pPr>
            <w:r>
              <w:rPr>
                <w:rFonts w:ascii="Times New Roman" w:hAnsi="Times New Roman" w:eastAsia="仿宋" w:cs="Times New Roman"/>
                <w:sz w:val="24"/>
                <w:szCs w:val="24"/>
              </w:rPr>
              <w:t>备注：本表的各个发行数量均不含超额配售选择权；</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网下初始发行数量不含战略配售数量，网下初始发行比例、网上初始发行比例应扣除战略配售部分计算；</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中止阈值：网上网下申购数量与战略配售数量之和占拟发行数量的比例低于中止阈值时，系统将提示触发中止发行事项；</w:t>
            </w:r>
          </w:p>
          <w:p>
            <w:pPr>
              <w:rPr>
                <w:rFonts w:ascii="Times New Roman" w:hAnsi="Times New Roman" w:eastAsia="仿宋" w:cs="Times New Roman"/>
                <w:sz w:val="24"/>
                <w:szCs w:val="24"/>
              </w:rPr>
            </w:pPr>
            <w:r>
              <w:rPr>
                <w:rFonts w:ascii="Times New Roman" w:hAnsi="Times New Roman" w:eastAsia="仿宋" w:cs="Times New Roman"/>
                <w:sz w:val="24"/>
                <w:szCs w:val="24"/>
              </w:rPr>
              <w:t xml:space="preserve">      限售期：如有差异化限售期，请在下方备注。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5" w:hRule="atLeast"/>
        </w:trPr>
        <w:tc>
          <w:tcPr>
            <w:tcW w:w="8642" w:type="dxa"/>
            <w:gridSpan w:val="4"/>
            <w:shd w:val="clear" w:color="auto" w:fill="auto"/>
          </w:tcPr>
          <w:p>
            <w:pPr>
              <w:rPr>
                <w:rFonts w:ascii="Times New Roman" w:hAnsi="Times New Roman" w:eastAsia="仿宋" w:cs="Times New Roman"/>
                <w:sz w:val="24"/>
                <w:szCs w:val="24"/>
              </w:rPr>
            </w:pPr>
            <w:r>
              <w:rPr>
                <w:rFonts w:ascii="Times New Roman" w:hAnsi="Times New Roman" w:eastAsia="仿宋" w:cs="Times New Roman"/>
                <w:sz w:val="24"/>
                <w:szCs w:val="24"/>
              </w:rPr>
              <w:t>承销商备注：</w:t>
            </w:r>
          </w:p>
        </w:tc>
      </w:tr>
    </w:tbl>
    <w:p>
      <w:pPr>
        <w:pStyle w:val="2"/>
      </w:pPr>
      <w:bookmarkStart w:id="500" w:name="_Toc18590713"/>
      <w:bookmarkStart w:id="501" w:name="_Toc18590873"/>
      <w:bookmarkStart w:id="502" w:name="_Toc16836356"/>
      <w: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500"/>
      <w:bookmarkEnd w:id="501"/>
      <w:bookmarkEnd w:id="502"/>
      <w:r>
        <w:rPr>
          <w:rFonts w:ascii="Times New Roman" w:hAnsi="Times New Roman" w:eastAsia="黑体" w:cs="Times New Roman"/>
          <w:sz w:val="32"/>
          <w:szCs w:val="32"/>
        </w:rPr>
        <w:t>6</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申购信息单——询价定价方式</w:t>
      </w:r>
    </w:p>
    <w:p>
      <w:pPr>
        <w:adjustRightInd w:val="0"/>
        <w:snapToGrid w:val="0"/>
        <w:spacing w:line="600" w:lineRule="exact"/>
        <w:jc w:val="center"/>
        <w:rPr>
          <w:rFonts w:ascii="Times New Roman" w:hAnsi="Times New Roman" w:eastAsia="方正大标宋简体" w:cs="Times New Roman"/>
          <w:sz w:val="44"/>
          <w:szCs w:val="44"/>
        </w:rPr>
      </w:pP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7"/>
        <w:gridCol w:w="1729"/>
        <w:gridCol w:w="2217"/>
        <w:gridCol w:w="1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公司全称</w:t>
            </w:r>
          </w:p>
        </w:tc>
        <w:tc>
          <w:tcPr>
            <w:tcW w:w="5919" w:type="dxa"/>
            <w:gridSpan w:val="3"/>
          </w:tcPr>
          <w:p>
            <w:pPr>
              <w:spacing w:before="120"/>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发行代码</w:t>
            </w:r>
          </w:p>
        </w:tc>
        <w:tc>
          <w:tcPr>
            <w:tcW w:w="1729" w:type="dxa"/>
          </w:tcPr>
          <w:p>
            <w:pPr>
              <w:spacing w:before="120"/>
              <w:rPr>
                <w:rFonts w:ascii="Times New Roman" w:hAnsi="Times New Roman" w:eastAsia="仿宋" w:cs="Times New Roman"/>
                <w:sz w:val="24"/>
                <w:szCs w:val="24"/>
              </w:rPr>
            </w:pPr>
          </w:p>
        </w:tc>
        <w:tc>
          <w:tcPr>
            <w:tcW w:w="2217" w:type="dxa"/>
            <w:vAlign w:val="center"/>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证券简称</w:t>
            </w:r>
          </w:p>
        </w:tc>
        <w:tc>
          <w:tcPr>
            <w:tcW w:w="1973" w:type="dxa"/>
          </w:tcPr>
          <w:p>
            <w:pPr>
              <w:spacing w:before="120"/>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证券代码</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申购日</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发行价格（元/股）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可申购倍数</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拟发行数量（万股）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最终战略配售数量（万股）（非延期交付）</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战略配售回拨后网下发行数量（万股）</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战略配售回拨后网上发行数量（万股）</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发行市盈率（倍）</w:t>
            </w:r>
          </w:p>
        </w:tc>
        <w:tc>
          <w:tcPr>
            <w:tcW w:w="1729" w:type="dxa"/>
          </w:tcPr>
          <w:p>
            <w:pPr>
              <w:spacing w:before="120"/>
              <w:rPr>
                <w:rFonts w:ascii="Times New Roman" w:hAnsi="Times New Roman" w:eastAsia="仿宋" w:cs="Times New Roman"/>
                <w:kern w:val="0"/>
                <w:sz w:val="24"/>
                <w:szCs w:val="24"/>
              </w:rPr>
            </w:pPr>
          </w:p>
        </w:tc>
        <w:tc>
          <w:tcPr>
            <w:tcW w:w="2217" w:type="dxa"/>
            <w:vAlign w:val="center"/>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网上每笔申购数量上限（万股）</w:t>
            </w:r>
          </w:p>
        </w:tc>
        <w:tc>
          <w:tcPr>
            <w:tcW w:w="1973" w:type="dxa"/>
          </w:tcPr>
          <w:p>
            <w:pPr>
              <w:spacing w:before="120"/>
              <w:rPr>
                <w:rFonts w:ascii="Times New Roman" w:hAnsi="Times New Roman" w:eastAsia="仿宋"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8296" w:type="dxa"/>
            <w:gridSpan w:val="4"/>
          </w:tcPr>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备注：本表的各个发行数量均不含超额配售选择权；</w:t>
            </w:r>
          </w:p>
          <w:p>
            <w:pPr>
              <w:spacing w:before="120"/>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发行市盈率=发行价格/每股收益，其中每股收益按照上年度经会计师事务所审计的扣除非经常性损益后归属于母公司股东净利润除以本次发行后总股本计算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8296" w:type="dxa"/>
            <w:gridSpan w:val="4"/>
          </w:tcPr>
          <w:p>
            <w:pPr>
              <w:spacing w:before="120"/>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承销商备注：</w:t>
            </w:r>
          </w:p>
        </w:tc>
      </w:tr>
    </w:tbl>
    <w:p>
      <w:pPr>
        <w:adjustRightInd w:val="0"/>
        <w:snapToGrid w:val="0"/>
        <w:spacing w:line="560" w:lineRule="exact"/>
        <w:rPr>
          <w:rFonts w:ascii="Times New Roman" w:hAnsi="Times New Roman" w:eastAsia="仿宋" w:cs="Times New Roman"/>
          <w:sz w:val="28"/>
          <w:szCs w:val="28"/>
        </w:rPr>
      </w:pPr>
      <w:bookmarkStart w:id="503" w:name="_Toc16598028"/>
      <w:bookmarkStart w:id="504" w:name="_Toc18590721"/>
      <w:bookmarkStart w:id="505" w:name="_Toc16836364"/>
      <w:bookmarkStart w:id="506" w:name="_Toc18590881"/>
    </w:p>
    <w:p>
      <w:pPr>
        <w:widowControl/>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503"/>
      <w:bookmarkEnd w:id="504"/>
      <w:bookmarkEnd w:id="505"/>
      <w:bookmarkEnd w:id="506"/>
      <w:r>
        <w:rPr>
          <w:rFonts w:ascii="Times New Roman" w:hAnsi="Times New Roman" w:eastAsia="黑体" w:cs="Times New Roman"/>
          <w:sz w:val="32"/>
          <w:szCs w:val="32"/>
        </w:rPr>
        <w:t>7</w:t>
      </w:r>
    </w:p>
    <w:p>
      <w:pPr>
        <w:adjustRightInd w:val="0"/>
        <w:snapToGrid w:val="0"/>
        <w:spacing w:line="560" w:lineRule="exact"/>
        <w:jc w:val="center"/>
        <w:rPr>
          <w:rFonts w:ascii="Times New Roman" w:hAnsi="Times New Roman" w:eastAsia="方正大标宋简体" w:cs="Times New Roman"/>
          <w:sz w:val="44"/>
          <w:szCs w:val="44"/>
        </w:rPr>
      </w:pPr>
    </w:p>
    <w:p>
      <w:pPr>
        <w:adjustRightInd w:val="0"/>
        <w:snapToGrid w:val="0"/>
        <w:spacing w:line="560" w:lineRule="exact"/>
        <w:jc w:val="center"/>
        <w:rPr>
          <w:rFonts w:ascii="Times New Roman" w:hAnsi="Times New Roman" w:eastAsia="方正大标宋简体" w:cs="Times New Roman"/>
          <w:sz w:val="44"/>
          <w:szCs w:val="44"/>
        </w:rPr>
      </w:pPr>
      <w:bookmarkStart w:id="507" w:name="_Toc18590882"/>
      <w:bookmarkStart w:id="508" w:name="_Toc16836365"/>
      <w:bookmarkStart w:id="509" w:name="_Toc18590722"/>
      <w:bookmarkStart w:id="510" w:name="_Toc21887372"/>
      <w:bookmarkStart w:id="511" w:name="_Toc16598029"/>
      <w:bookmarkStart w:id="512" w:name="_Toc21798149"/>
      <w:bookmarkStart w:id="513" w:name="_Toc22906705"/>
      <w:r>
        <w:rPr>
          <w:rFonts w:ascii="Times New Roman" w:hAnsi="Times New Roman" w:eastAsia="方正大标宋简体" w:cs="Times New Roman"/>
          <w:sz w:val="44"/>
          <w:szCs w:val="44"/>
        </w:rPr>
        <w:t>__________股份有限公司</w:t>
      </w:r>
      <w:bookmarkEnd w:id="507"/>
      <w:bookmarkEnd w:id="508"/>
      <w:bookmarkEnd w:id="509"/>
      <w:bookmarkEnd w:id="510"/>
      <w:bookmarkEnd w:id="511"/>
      <w:bookmarkEnd w:id="512"/>
      <w:bookmarkEnd w:id="513"/>
      <w:r>
        <w:rPr>
          <w:rFonts w:ascii="Times New Roman" w:hAnsi="Times New Roman" w:eastAsia="方正大标宋简体" w:cs="Times New Roman"/>
          <w:sz w:val="44"/>
          <w:szCs w:val="44"/>
        </w:rPr>
        <w:t>发行与承销方案</w:t>
      </w:r>
    </w:p>
    <w:p>
      <w:pPr>
        <w:adjustRightInd w:val="0"/>
        <w:snapToGrid w:val="0"/>
        <w:spacing w:line="560" w:lineRule="exact"/>
        <w:jc w:val="center"/>
        <w:rPr>
          <w:rFonts w:ascii="Times New Roman" w:hAnsi="Times New Roman" w:eastAsia="方正大标宋简体" w:cs="Times New Roman"/>
          <w:sz w:val="44"/>
          <w:szCs w:val="44"/>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发行与承销方案包括但不限于：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一、发行人的基本情况。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二、本次发行的主要安排，包括发行规模、发行方式、发行对象、发行定价、回拨机制（如有）、配售原则和配售方式、中止发行安排、战略配售和超额配售选择权设置情况（如有）等内容。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三、本次发行的重要日期安排。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四、发行费用。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五、本次发行的准备工作。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六、本次发行可能存在的风险及应对措施。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七、发行人和保荐机构（主承销商）及联系方式。</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发行人（盖章）                       主承销商（盖章）</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X年X月X日                          X年X月X日   </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640" w:lineRule="exact"/>
        <w:rPr>
          <w:rFonts w:ascii="Times New Roman" w:hAnsi="Times New Roman" w:eastAsia="黑体" w:cs="Times New Roman"/>
          <w:sz w:val="32"/>
          <w:szCs w:val="32"/>
        </w:rPr>
      </w:pPr>
      <w:r>
        <w:rPr>
          <w:rFonts w:ascii="Times New Roman" w:hAnsi="Times New Roman" w:eastAsia="黑体" w:cs="Times New Roman"/>
          <w:sz w:val="32"/>
          <w:szCs w:val="32"/>
        </w:rPr>
        <w:t>附件8</w:t>
      </w:r>
    </w:p>
    <w:p>
      <w:pPr>
        <w:adjustRightInd w:val="0"/>
        <w:snapToGrid w:val="0"/>
        <w:spacing w:line="600" w:lineRule="exact"/>
        <w:jc w:val="center"/>
        <w:rPr>
          <w:rFonts w:ascii="Times New Roman" w:hAnsi="Times New Roman" w:eastAsia="方正大标宋简体" w:cs="Times New Roman"/>
          <w:sz w:val="44"/>
          <w:szCs w:val="44"/>
        </w:rPr>
      </w:pPr>
    </w:p>
    <w:p>
      <w:pPr>
        <w:adjustRightInd w:val="0"/>
        <w:snapToGrid w:val="0"/>
        <w:spacing w:line="600" w:lineRule="exact"/>
        <w:jc w:val="center"/>
        <w:rPr>
          <w:rFonts w:ascii="Times New Roman" w:hAnsi="Times New Roman" w:eastAsia="方正大标宋简体" w:cs="Times New Roman"/>
          <w:sz w:val="44"/>
          <w:szCs w:val="44"/>
        </w:rPr>
      </w:pPr>
      <w:bookmarkStart w:id="514" w:name="_Toc21798150"/>
      <w:bookmarkStart w:id="515" w:name="_Toc21887373"/>
      <w:bookmarkStart w:id="516" w:name="_Toc22906706"/>
      <w:r>
        <w:rPr>
          <w:rFonts w:ascii="Times New Roman" w:hAnsi="Times New Roman" w:eastAsia="方正大标宋简体" w:cs="Times New Roman"/>
          <w:sz w:val="44"/>
          <w:szCs w:val="44"/>
        </w:rPr>
        <w:t>发行承销阶段信息披露文件命名规范</w:t>
      </w:r>
      <w:bookmarkEnd w:id="514"/>
      <w:bookmarkEnd w:id="515"/>
      <w:bookmarkEnd w:id="516"/>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直接定价发行</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55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55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55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5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559"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向不特定合格投资者公开发行股票并在北京证券交易所上市投资风险特别公告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公司（全称）向不特定合格投资者公开发行股票并在北京证券交易所上市投资风险特别公告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55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55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559"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rPr>
          <w:rFonts w:ascii="Times New Roman" w:hAnsi="Times New Roman" w:cs="Times New Roman"/>
        </w:rPr>
      </w:pPr>
    </w:p>
    <w:p>
      <w:pPr>
        <w:jc w:val="lef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br w:type="page"/>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竞价发行</w:t>
      </w:r>
    </w:p>
    <w:p>
      <w:pPr>
        <w:rPr>
          <w:rFonts w:ascii="Times New Roman" w:hAnsi="Times New Roman" w:eastAsia="仿宋" w:cs="Times New Roman"/>
          <w:b/>
          <w:color w:val="000000"/>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255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701"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55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5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向不特定合格投资者公开发行股票并在北京证券交易所上市竞价发行公告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公司（全称）向不特定合格投资者公开发行股票并在北京证券交易所上市竞价发行公告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70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公布竞价结果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向不特定合格投资者公开发行股票并在北京证券交易所上市竞价结果公告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公司（全称）向不特定合格投资者公开发行股票并在北京证券交易所上市竞价结果公告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701"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公布发行结果</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701" w:type="dxa"/>
            <w:vMerge w:val="continue"/>
            <w:vAlign w:val="center"/>
          </w:tcPr>
          <w:p>
            <w:pPr>
              <w:jc w:val="cente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701"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1701" w:type="dxa"/>
            <w:vMerge w:val="continue"/>
            <w:vAlign w:val="center"/>
          </w:tcPr>
          <w:p>
            <w:pPr>
              <w:rPr>
                <w:rFonts w:ascii="Times New Roman" w:hAnsi="Times New Roman" w:eastAsia="仿宋" w:cs="Times New Roman"/>
                <w:sz w:val="24"/>
                <w:szCs w:val="24"/>
              </w:rPr>
            </w:pPr>
          </w:p>
        </w:tc>
        <w:tc>
          <w:tcPr>
            <w:tcW w:w="255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widowControl/>
        <w:jc w:val="lef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br w:type="page"/>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询价发行</w:t>
      </w:r>
    </w:p>
    <w:p>
      <w:pPr>
        <w:adjustRightInd w:val="0"/>
        <w:snapToGrid w:val="0"/>
        <w:spacing w:line="600" w:lineRule="exact"/>
        <w:jc w:val="center"/>
        <w:rPr>
          <w:rFonts w:ascii="Times New Roman" w:hAnsi="Times New Roman" w:eastAsia="方正大标宋简体" w:cs="Times New Roman"/>
          <w:sz w:val="44"/>
          <w:szCs w:val="4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9"/>
        <w:gridCol w:w="269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编号</w:t>
            </w:r>
          </w:p>
        </w:tc>
        <w:tc>
          <w:tcPr>
            <w:tcW w:w="141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发行阶段</w:t>
            </w:r>
          </w:p>
        </w:tc>
        <w:tc>
          <w:tcPr>
            <w:tcW w:w="2692"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系统上传公告名称</w:t>
            </w:r>
          </w:p>
        </w:tc>
        <w:tc>
          <w:tcPr>
            <w:tcW w:w="3339" w:type="dxa"/>
            <w:shd w:val="clear" w:color="auto" w:fill="D8D8D8" w:themeFill="background1" w:themeFillShade="D9"/>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正文标题名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招股公告</w:t>
            </w:r>
          </w:p>
        </w:tc>
        <w:tc>
          <w:tcPr>
            <w:tcW w:w="26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招股意向书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公司（全称）向不特定合格投资者公开发行股票并在北京证券交易所上市招股意向书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询价公告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向不特定合格投资者公开发行股票并在北京证券交易所上市发行安排及询价公告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公司（全称）向不特定合格投资者公开发行股票并在北京证券交易所上市发行安排及询价公告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1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路演公告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向不特定合格投资者公开发行股票并在北京证券交易所上市网上路演公告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公司（全称）向不特定合格投资者公开发行股票并在北京证券交易所上市网上路演公告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发行公告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19" w:type="dxa"/>
            <w:vMerge w:val="continue"/>
            <w:vAlign w:val="center"/>
          </w:tcPr>
          <w:p>
            <w:pPr>
              <w:jc w:val="center"/>
              <w:rPr>
                <w:rFonts w:ascii="Times New Roman" w:hAnsi="Times New Roman" w:eastAsia="仿宋" w:cs="Times New Roman"/>
                <w:sz w:val="24"/>
                <w:szCs w:val="24"/>
              </w:rPr>
            </w:pP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向不特定合格投资者公开发行股票并在北京证券交易所上市投资风险特别公告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公司（全称）向不特定合格投资者公开发行股票并在北京证券交易所上市投资风险特别公告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公布发行结果</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向不特定合格投资者公开发行股票并在北京证券交易所上市发行结果公告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公司（全称）向不特定合格投资者公开发行股票并在北京证券交易所上市发行结果公告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419" w:type="dxa"/>
            <w:vMerge w:val="continue"/>
            <w:vAlign w:val="center"/>
          </w:tcPr>
          <w:p>
            <w:pPr>
              <w:jc w:val="center"/>
              <w:rPr>
                <w:rFonts w:ascii="Times New Roman" w:hAnsi="Times New Roman" w:eastAsia="仿宋" w:cs="Times New Roman"/>
                <w:sz w:val="24"/>
                <w:szCs w:val="24"/>
              </w:rPr>
            </w:pPr>
          </w:p>
        </w:tc>
        <w:tc>
          <w:tcPr>
            <w:tcW w:w="26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招股说明书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公司（全称）向不特定合格投资者公开发行股票并在北京证券交易所上市招股说明书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1419"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上市公告</w:t>
            </w: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向不特定合格投资者公开发行股票并在北京证券交易所上市提示性公告</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公司（全称）向不特定合格投资者公开发行股票并在北京证券交易所上市提示性公告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1419" w:type="dxa"/>
            <w:vMerge w:val="continue"/>
            <w:vAlign w:val="center"/>
          </w:tcPr>
          <w:p>
            <w:pPr>
              <w:jc w:val="center"/>
              <w:rPr>
                <w:rFonts w:ascii="Times New Roman" w:hAnsi="Times New Roman" w:eastAsia="仿宋" w:cs="Times New Roman"/>
                <w:sz w:val="24"/>
                <w:szCs w:val="24"/>
              </w:rPr>
            </w:pPr>
          </w:p>
        </w:tc>
        <w:tc>
          <w:tcPr>
            <w:tcW w:w="2692" w:type="dxa"/>
          </w:tcPr>
          <w:p>
            <w:pPr>
              <w:rPr>
                <w:rFonts w:ascii="Times New Roman" w:hAnsi="Times New Roman" w:eastAsia="仿宋" w:cs="Times New Roman"/>
                <w:sz w:val="24"/>
                <w:szCs w:val="24"/>
              </w:rPr>
            </w:pPr>
            <w:r>
              <w:rPr>
                <w:rFonts w:ascii="Times New Roman" w:hAnsi="Times New Roman" w:eastAsia="仿宋" w:cs="Times New Roman"/>
                <w:sz w:val="24"/>
                <w:szCs w:val="24"/>
              </w:rPr>
              <w:t>向不特定合格投资者公开发行股票并在北京证券交易所上市公告书</w:t>
            </w:r>
          </w:p>
        </w:tc>
        <w:tc>
          <w:tcPr>
            <w:tcW w:w="3339" w:type="dxa"/>
          </w:tcPr>
          <w:p>
            <w:pPr>
              <w:rPr>
                <w:rFonts w:ascii="Times New Roman" w:hAnsi="Times New Roman" w:eastAsia="仿宋" w:cs="Times New Roman"/>
                <w:sz w:val="24"/>
                <w:szCs w:val="24"/>
              </w:rPr>
            </w:pPr>
            <w:r>
              <w:rPr>
                <w:rFonts w:ascii="Times New Roman" w:hAnsi="Times New Roman" w:eastAsia="仿宋" w:cs="Times New Roman"/>
                <w:sz w:val="24"/>
                <w:szCs w:val="24"/>
              </w:rPr>
              <w:t>XXX 公司（全称）向不特定合格投资者公开发行股票并在北京证券交易所上市公告书</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w:t>
      </w:r>
      <w:bookmarkEnd w:id="474"/>
      <w:bookmarkEnd w:id="475"/>
      <w:bookmarkEnd w:id="476"/>
      <w:bookmarkEnd w:id="477"/>
      <w:bookmarkEnd w:id="478"/>
      <w:r>
        <w:rPr>
          <w:rFonts w:ascii="Times New Roman" w:hAnsi="Times New Roman" w:eastAsia="黑体" w:cs="Times New Roman"/>
          <w:sz w:val="32"/>
          <w:szCs w:val="32"/>
        </w:rPr>
        <w:t>9</w:t>
      </w:r>
    </w:p>
    <w:p>
      <w:pPr>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_____________________公司</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向不特定合格投资者公开发行股票并在北京证券交易所</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上市公告书格式</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封面：</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证券简称：                             证券代码：                                              </w:t>
      </w:r>
    </w:p>
    <w:p>
      <w:pPr>
        <w:rPr>
          <w:rFonts w:ascii="Times New Roman" w:hAnsi="Times New Roman" w:eastAsia="仿宋" w:cs="Times New Roman"/>
          <w:sz w:val="32"/>
          <w:szCs w:val="32"/>
        </w:rPr>
      </w:pPr>
    </w:p>
    <w:p>
      <w:pPr>
        <w:rPr>
          <w:rFonts w:ascii="Times New Roman" w:hAnsi="Times New Roman" w:eastAsia="仿宋" w:cs="Times New Roman"/>
          <w:sz w:val="30"/>
          <w:szCs w:val="30"/>
        </w:rPr>
      </w:pPr>
    </w:p>
    <w:p>
      <w:pPr>
        <w:ind w:firstLine="2400" w:firstLineChars="800"/>
        <w:rPr>
          <w:rFonts w:ascii="Times New Roman" w:hAnsi="Times New Roman" w:eastAsia="仿宋" w:cs="Times New Roman"/>
          <w:sz w:val="30"/>
          <w:szCs w:val="30"/>
        </w:rPr>
      </w:pPr>
      <w:r>
        <w:rPr>
          <w:rFonts w:ascii="Times New Roman" w:hAnsi="Times New Roman" w:eastAsia="仿宋" w:cs="Times New Roman"/>
          <w:sz w:val="30"/>
          <w:szCs w:val="30"/>
        </w:rPr>
        <w:t>发行人全称（中英文）</w:t>
      </w:r>
    </w:p>
    <w:p>
      <w:pPr>
        <w:ind w:firstLine="2550" w:firstLineChars="850"/>
        <w:rPr>
          <w:rFonts w:ascii="Times New Roman" w:hAnsi="Times New Roman" w:eastAsia="仿宋" w:cs="Times New Roman"/>
          <w:sz w:val="30"/>
          <w:szCs w:val="30"/>
        </w:rPr>
      </w:pPr>
      <w:r>
        <w:rPr>
          <w:rFonts w:ascii="Times New Roman" w:hAnsi="Times New Roman" w:eastAsia="仿宋" w:cs="Times New Roman"/>
          <w:sz w:val="30"/>
          <w:szCs w:val="30"/>
        </w:rPr>
        <w:t xml:space="preserve">（发行人地址） </w:t>
      </w:r>
    </w:p>
    <w:p>
      <w:pPr>
        <w:ind w:firstLine="2550" w:firstLineChars="850"/>
        <w:rPr>
          <w:rFonts w:ascii="Times New Roman" w:hAnsi="Times New Roman" w:cs="Times New Roman"/>
          <w:sz w:val="30"/>
          <w:szCs w:val="30"/>
        </w:rPr>
      </w:pP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向不特定合格投资者公开发行股票并在</w:t>
      </w:r>
    </w:p>
    <w:p>
      <w:pPr>
        <w:adjustRightInd w:val="0"/>
        <w:snapToGrid w:val="0"/>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北京证券交易所上市公告书</w:t>
      </w:r>
    </w:p>
    <w:p>
      <w:pPr>
        <w:ind w:firstLine="150" w:firstLineChars="50"/>
        <w:rPr>
          <w:rFonts w:ascii="Times New Roman" w:hAnsi="Times New Roman" w:eastAsia="仿宋" w:cs="Times New Roman"/>
          <w:sz w:val="30"/>
          <w:szCs w:val="30"/>
        </w:rPr>
      </w:pPr>
    </w:p>
    <w:p>
      <w:pPr>
        <w:ind w:firstLine="2100" w:firstLineChars="700"/>
        <w:rPr>
          <w:rFonts w:ascii="Times New Roman" w:hAnsi="Times New Roman" w:eastAsia="仿宋" w:cs="Times New Roman"/>
          <w:sz w:val="30"/>
          <w:szCs w:val="30"/>
        </w:rPr>
      </w:pPr>
      <w:r>
        <w:rPr>
          <w:rFonts w:ascii="Times New Roman" w:hAnsi="Times New Roman" w:eastAsia="仿宋" w:cs="Times New Roman"/>
          <w:sz w:val="30"/>
          <w:szCs w:val="30"/>
        </w:rPr>
        <w:t>保荐机构（主承销商）名称</w:t>
      </w:r>
    </w:p>
    <w:p>
      <w:pPr>
        <w:ind w:firstLine="3450" w:firstLineChars="1150"/>
        <w:rPr>
          <w:rFonts w:ascii="Times New Roman" w:hAnsi="Times New Roman" w:eastAsia="仿宋" w:cs="Times New Roman"/>
          <w:sz w:val="30"/>
          <w:szCs w:val="30"/>
        </w:rPr>
      </w:pPr>
      <w:r>
        <w:rPr>
          <w:rFonts w:ascii="Times New Roman" w:hAnsi="Times New Roman" w:eastAsia="仿宋" w:cs="Times New Roman"/>
          <w:sz w:val="30"/>
          <w:szCs w:val="30"/>
        </w:rPr>
        <w:t>年   月   日</w:t>
      </w:r>
    </w:p>
    <w:p>
      <w:pPr>
        <w:rPr>
          <w:rFonts w:ascii="Times New Roman" w:hAnsi="Times New Roman" w:eastAsia="仿宋" w:cs="Times New Roman"/>
          <w:sz w:val="30"/>
          <w:szCs w:val="30"/>
        </w:rPr>
      </w:pPr>
    </w:p>
    <w:p>
      <w:pPr>
        <w:rPr>
          <w:rFonts w:ascii="Times New Roman" w:hAnsi="Times New Roman" w:eastAsia="仿宋" w:cs="Times New Roman"/>
          <w:sz w:val="30"/>
          <w:szCs w:val="30"/>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第一节 重要声明与提示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本公司及全体董事、监事、高级管理人员保证公告书所披露信息的真实、准确、完整，承诺公告书不存在虚假记载、误导性陈述或重大遗漏，并依法承担法律责任。</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北京证券交易所、有关政府机关对本公司股票在北京证券交易所上市及有关事项的意见，均不表明对本公司的任何保证。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本公司提醒广大投资者认真阅读北京证券交易所网站披露的本公司招股说明书“风险因素”章节的内容，注意风险，审慎决策，理性投资。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本公司提醒广大投资者注意，凡本公告书未涉及的有关内容，请投资者查阅本公司招股说明书全文。</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重要承诺。发行人应充分披露发行人、控股股东、实际控制人、发行人的董事、监事、高级管理人员等责任主体所作出的重要承诺，以及其他与本次发行相关的承诺事项，如信息披露责任的承诺、避免同业竞争承诺、减持意向或价格承诺、稳定公司股价预案以及相关约束措施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二、保荐机构及证券服务机构关于发行人招股说明书及其他信息披露责任的声明。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三、在北京证券交易所上市初期风险及特别风险提示。发行人应在上市公告书显要位置，就公开发行股票并在北京证券交易所上市初期的投资风险及特别风险作提示。</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第二节  股票在北京证券交易所上市情况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一、中国证监会对公开发行的予以注册决定及其主要内容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二、北京证券交易所同意股票在北京证券交易所上市的意见及其主要内容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三、在北京证券交易所上市相关信息，包括：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（一）北京证券交易所上市时间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（二）证券简称</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（三）证券代码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（四）本次公开发行后的总股本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（五）本次公开发行的股票数量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（六）本次上市的无流通限制及限售安排的股票数量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（七）本次上市的有流通限制或限售安排的股票数量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（八）战略投资者在本次公开发行中获得配售的股票数量（如有）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（九）股票登记机构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（十）保荐机构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（十一）发行前股东所持股份的流通限制及期限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（十二）本次上市股份的其他限售安排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四、发行人申请公开发行股票并在北京证券交易所上市时选择的具体上市标准，公开发行后达到所选定的标准及其说明。</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第三节 发行人、实际控制人及股东持股情况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一、发行人基本情况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中文名称：</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英文名称：</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注册资本：</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有限公司成立日期：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股份公司成立日期：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住所：</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经营范围：</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主营业务：</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所属行业：</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邮政编码：</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电话：</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传真：</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互联网网址：</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电子信箱：</w:t>
            </w:r>
          </w:p>
        </w:tc>
        <w:tc>
          <w:tcPr>
            <w:tcW w:w="5182" w:type="dxa"/>
          </w:tcPr>
          <w:p>
            <w:pPr>
              <w:rPr>
                <w:rFonts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信息披露部门：</w:t>
            </w:r>
          </w:p>
        </w:tc>
        <w:tc>
          <w:tcPr>
            <w:tcW w:w="518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信息披露联系人：</w:t>
            </w:r>
          </w:p>
        </w:tc>
        <w:tc>
          <w:tcPr>
            <w:tcW w:w="5182"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Times New Roman" w:hAnsi="Times New Roman" w:eastAsia="仿宋" w:cs="Times New Roman"/>
                <w:sz w:val="24"/>
                <w:szCs w:val="24"/>
              </w:rPr>
            </w:pPr>
            <w:r>
              <w:rPr>
                <w:rFonts w:ascii="Times New Roman" w:hAnsi="Times New Roman" w:eastAsia="仿宋" w:cs="Times New Roman"/>
                <w:sz w:val="24"/>
                <w:szCs w:val="24"/>
              </w:rPr>
              <w:t>信息披露联系人电话：</w:t>
            </w:r>
          </w:p>
        </w:tc>
        <w:tc>
          <w:tcPr>
            <w:tcW w:w="5182" w:type="dxa"/>
          </w:tcPr>
          <w:p>
            <w:pPr>
              <w:rPr>
                <w:rFonts w:ascii="Times New Roman" w:hAnsi="Times New Roman" w:eastAsia="仿宋" w:cs="Times New Roman"/>
                <w:sz w:val="24"/>
                <w:szCs w:val="24"/>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二、控股股东、实际控制人的基本情况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（一）公司控股股东及实际控制人的基本情况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（二）本次发行后股权结构控制关系图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三、董事、监事、高级管理人员及其持有发行人股票情况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518"/>
        <w:gridCol w:w="124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382"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383"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持股方式</w:t>
            </w:r>
          </w:p>
        </w:tc>
        <w:tc>
          <w:tcPr>
            <w:tcW w:w="1518"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持股数量（股）</w:t>
            </w:r>
          </w:p>
        </w:tc>
        <w:tc>
          <w:tcPr>
            <w:tcW w:w="1248"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职务</w:t>
            </w:r>
          </w:p>
        </w:tc>
        <w:tc>
          <w:tcPr>
            <w:tcW w:w="1383"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任职期间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仿宋" w:cs="Times New Roman"/>
                <w:b/>
                <w:szCs w:val="21"/>
              </w:rPr>
            </w:pPr>
          </w:p>
        </w:tc>
        <w:tc>
          <w:tcPr>
            <w:tcW w:w="1382"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c>
          <w:tcPr>
            <w:tcW w:w="1518" w:type="dxa"/>
          </w:tcPr>
          <w:p>
            <w:pPr>
              <w:rPr>
                <w:rFonts w:ascii="Times New Roman" w:hAnsi="Times New Roman" w:eastAsia="仿宋" w:cs="Times New Roman"/>
                <w:b/>
                <w:szCs w:val="21"/>
              </w:rPr>
            </w:pPr>
          </w:p>
        </w:tc>
        <w:tc>
          <w:tcPr>
            <w:tcW w:w="1248" w:type="dxa"/>
          </w:tcPr>
          <w:p>
            <w:pPr>
              <w:rPr>
                <w:rFonts w:ascii="Times New Roman" w:hAnsi="Times New Roman" w:eastAsia="仿宋" w:cs="Times New Roman"/>
                <w:b/>
                <w:szCs w:val="21"/>
              </w:rPr>
            </w:pPr>
          </w:p>
        </w:tc>
        <w:tc>
          <w:tcPr>
            <w:tcW w:w="1383" w:type="dxa"/>
          </w:tcPr>
          <w:p>
            <w:pPr>
              <w:rPr>
                <w:rFonts w:ascii="Times New Roman" w:hAnsi="Times New Roman" w:eastAsia="仿宋" w:cs="Times New Roman"/>
                <w:b/>
                <w:szCs w:val="21"/>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四、员工持股计划的人员构成、限售安排等内容（如有）</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五、本次发行前后的股本结构变动情况</w:t>
      </w:r>
    </w:p>
    <w:p>
      <w:pPr>
        <w:widowControl/>
        <w:shd w:val="clear" w:color="auto" w:fill="FFFFFF"/>
        <w:spacing w:line="560" w:lineRule="exact"/>
        <w:jc w:val="center"/>
        <w:rPr>
          <w:rFonts w:ascii="Times New Roman" w:hAnsi="Times New Roman" w:eastAsia="仿宋" w:cs="Times New Roman"/>
          <w:sz w:val="42"/>
          <w:szCs w:val="42"/>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971"/>
        <w:gridCol w:w="902"/>
        <w:gridCol w:w="1162"/>
        <w:gridCol w:w="897"/>
        <w:gridCol w:w="1115"/>
        <w:gridCol w:w="985"/>
        <w:gridCol w:w="79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40"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股东</w:t>
            </w:r>
          </w:p>
          <w:p>
            <w:pPr>
              <w:jc w:val="center"/>
              <w:rPr>
                <w:rFonts w:ascii="Times New Roman" w:hAnsi="Times New Roman" w:eastAsia="仿宋" w:cs="Times New Roman"/>
                <w:szCs w:val="21"/>
              </w:rPr>
            </w:pPr>
            <w:r>
              <w:rPr>
                <w:rFonts w:ascii="Times New Roman" w:hAnsi="Times New Roman" w:eastAsia="仿宋" w:cs="Times New Roman"/>
                <w:szCs w:val="21"/>
              </w:rPr>
              <w:t>名称</w:t>
            </w:r>
          </w:p>
        </w:tc>
        <w:tc>
          <w:tcPr>
            <w:tcW w:w="1873"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本次发行前</w:t>
            </w:r>
          </w:p>
        </w:tc>
        <w:tc>
          <w:tcPr>
            <w:tcW w:w="2059"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本次发行后</w:t>
            </w:r>
          </w:p>
          <w:p>
            <w:pPr>
              <w:jc w:val="center"/>
              <w:rPr>
                <w:rFonts w:ascii="Times New Roman" w:hAnsi="Times New Roman" w:eastAsia="仿宋" w:cs="Times New Roman"/>
                <w:szCs w:val="21"/>
              </w:rPr>
            </w:pPr>
            <w:r>
              <w:rPr>
                <w:rFonts w:ascii="Times New Roman" w:hAnsi="Times New Roman" w:eastAsia="仿宋" w:cs="Times New Roman"/>
                <w:szCs w:val="21"/>
              </w:rPr>
              <w:t>（未行使超额</w:t>
            </w:r>
          </w:p>
          <w:p>
            <w:pPr>
              <w:jc w:val="center"/>
              <w:rPr>
                <w:rFonts w:ascii="Times New Roman" w:hAnsi="Times New Roman" w:eastAsia="仿宋" w:cs="Times New Roman"/>
                <w:szCs w:val="21"/>
              </w:rPr>
            </w:pPr>
            <w:r>
              <w:rPr>
                <w:rFonts w:ascii="Times New Roman" w:hAnsi="Times New Roman" w:eastAsia="仿宋" w:cs="Times New Roman"/>
                <w:szCs w:val="21"/>
              </w:rPr>
              <w:t>配售选择权）</w:t>
            </w:r>
          </w:p>
        </w:tc>
        <w:tc>
          <w:tcPr>
            <w:tcW w:w="2100" w:type="dxa"/>
            <w:gridSpan w:val="2"/>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本次发行后</w:t>
            </w:r>
          </w:p>
          <w:p>
            <w:pPr>
              <w:jc w:val="center"/>
              <w:rPr>
                <w:rFonts w:ascii="Times New Roman" w:hAnsi="Times New Roman" w:eastAsia="仿宋" w:cs="Times New Roman"/>
                <w:szCs w:val="21"/>
              </w:rPr>
            </w:pPr>
            <w:r>
              <w:rPr>
                <w:rFonts w:ascii="Times New Roman" w:hAnsi="Times New Roman" w:eastAsia="仿宋" w:cs="Times New Roman"/>
                <w:szCs w:val="21"/>
              </w:rPr>
              <w:t>（全额行使超额</w:t>
            </w:r>
          </w:p>
          <w:p>
            <w:pPr>
              <w:jc w:val="center"/>
              <w:rPr>
                <w:rFonts w:ascii="Times New Roman" w:hAnsi="Times New Roman" w:eastAsia="仿宋" w:cs="Times New Roman"/>
                <w:szCs w:val="21"/>
              </w:rPr>
            </w:pPr>
            <w:r>
              <w:rPr>
                <w:rFonts w:ascii="Times New Roman" w:hAnsi="Times New Roman" w:eastAsia="仿宋" w:cs="Times New Roman"/>
                <w:szCs w:val="21"/>
              </w:rPr>
              <w:t>配售选择权）</w:t>
            </w:r>
          </w:p>
        </w:tc>
        <w:tc>
          <w:tcPr>
            <w:tcW w:w="798"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限售</w:t>
            </w:r>
          </w:p>
          <w:p>
            <w:pPr>
              <w:jc w:val="center"/>
              <w:rPr>
                <w:rFonts w:ascii="Times New Roman" w:hAnsi="Times New Roman" w:eastAsia="仿宋" w:cs="Times New Roman"/>
                <w:szCs w:val="21"/>
              </w:rPr>
            </w:pPr>
            <w:r>
              <w:rPr>
                <w:rFonts w:ascii="Times New Roman" w:hAnsi="Times New Roman" w:eastAsia="仿宋" w:cs="Times New Roman"/>
                <w:szCs w:val="21"/>
              </w:rPr>
              <w:t>期限</w:t>
            </w:r>
          </w:p>
        </w:tc>
        <w:tc>
          <w:tcPr>
            <w:tcW w:w="752" w:type="dxa"/>
            <w:vMerge w:val="restar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40" w:type="dxa"/>
            <w:vMerge w:val="continue"/>
          </w:tcPr>
          <w:p>
            <w:pPr>
              <w:jc w:val="center"/>
              <w:rPr>
                <w:rFonts w:ascii="Times New Roman" w:hAnsi="Times New Roman" w:eastAsia="仿宋" w:cs="Times New Roman"/>
                <w:szCs w:val="21"/>
              </w:rPr>
            </w:pPr>
          </w:p>
        </w:tc>
        <w:tc>
          <w:tcPr>
            <w:tcW w:w="971"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数量（股）</w:t>
            </w:r>
          </w:p>
        </w:tc>
        <w:tc>
          <w:tcPr>
            <w:tcW w:w="902"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1162"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w:t>
            </w:r>
          </w:p>
          <w:p>
            <w:pPr>
              <w:jc w:val="center"/>
              <w:rPr>
                <w:rFonts w:ascii="Times New Roman" w:hAnsi="Times New Roman" w:eastAsia="仿宋" w:cs="Times New Roman"/>
                <w:szCs w:val="21"/>
              </w:rPr>
            </w:pPr>
            <w:r>
              <w:rPr>
                <w:rFonts w:ascii="Times New Roman" w:hAnsi="Times New Roman" w:eastAsia="仿宋" w:cs="Times New Roman"/>
                <w:szCs w:val="21"/>
              </w:rPr>
              <w:t>（股）</w:t>
            </w:r>
          </w:p>
        </w:tc>
        <w:tc>
          <w:tcPr>
            <w:tcW w:w="897"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111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数量</w:t>
            </w:r>
          </w:p>
          <w:p>
            <w:pPr>
              <w:jc w:val="center"/>
              <w:rPr>
                <w:rFonts w:ascii="Times New Roman" w:hAnsi="Times New Roman" w:eastAsia="仿宋" w:cs="Times New Roman"/>
                <w:szCs w:val="21"/>
              </w:rPr>
            </w:pPr>
            <w:r>
              <w:rPr>
                <w:rFonts w:ascii="Times New Roman" w:hAnsi="Times New Roman" w:eastAsia="仿宋" w:cs="Times New Roman"/>
                <w:szCs w:val="21"/>
              </w:rPr>
              <w:t>（股）</w:t>
            </w:r>
          </w:p>
        </w:tc>
        <w:tc>
          <w:tcPr>
            <w:tcW w:w="985"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占比（%）</w:t>
            </w:r>
          </w:p>
        </w:tc>
        <w:tc>
          <w:tcPr>
            <w:tcW w:w="798" w:type="dxa"/>
            <w:vMerge w:val="continue"/>
          </w:tcPr>
          <w:p>
            <w:pPr>
              <w:jc w:val="center"/>
              <w:rPr>
                <w:rFonts w:ascii="Times New Roman" w:hAnsi="Times New Roman" w:eastAsia="仿宋" w:cs="Times New Roman"/>
                <w:szCs w:val="21"/>
              </w:rPr>
            </w:pPr>
          </w:p>
        </w:tc>
        <w:tc>
          <w:tcPr>
            <w:tcW w:w="752" w:type="dxa"/>
            <w:vMerge w:val="continue"/>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2" w:type="dxa"/>
            <w:gridSpan w:val="7"/>
            <w:vAlign w:val="center"/>
          </w:tcPr>
          <w:p>
            <w:pPr>
              <w:rPr>
                <w:rFonts w:ascii="Times New Roman" w:hAnsi="Times New Roman" w:eastAsia="仿宋" w:cs="Times New Roman"/>
                <w:szCs w:val="21"/>
              </w:rPr>
            </w:pPr>
            <w:r>
              <w:rPr>
                <w:rFonts w:ascii="Times New Roman" w:hAnsi="Times New Roman" w:eastAsia="仿宋" w:cs="Times New Roman"/>
                <w:szCs w:val="21"/>
              </w:rPr>
              <w:t>一、限售流通股</w:t>
            </w:r>
          </w:p>
        </w:tc>
        <w:tc>
          <w:tcPr>
            <w:tcW w:w="798" w:type="dxa"/>
          </w:tcPr>
          <w:p>
            <w:pPr>
              <w:jc w:val="center"/>
              <w:rPr>
                <w:rFonts w:ascii="Times New Roman" w:hAnsi="Times New Roman" w:eastAsia="仿宋" w:cs="Times New Roman"/>
                <w:szCs w:val="21"/>
              </w:rPr>
            </w:pPr>
          </w:p>
        </w:tc>
        <w:tc>
          <w:tcPr>
            <w:tcW w:w="752" w:type="dxa"/>
          </w:tcPr>
          <w:p>
            <w:pPr>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r>
              <w:rPr>
                <w:rFonts w:ascii="Times New Roman" w:hAnsi="Times New Roman" w:eastAsia="仿宋" w:cs="Times New Roman"/>
                <w:szCs w:val="21"/>
              </w:rPr>
              <w:t>小计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2" w:type="dxa"/>
            <w:gridSpan w:val="7"/>
            <w:vAlign w:val="center"/>
          </w:tcPr>
          <w:p>
            <w:pPr>
              <w:rPr>
                <w:rFonts w:ascii="Times New Roman" w:hAnsi="Times New Roman" w:eastAsia="仿宋" w:cs="Times New Roman"/>
                <w:szCs w:val="21"/>
              </w:rPr>
            </w:pPr>
            <w:r>
              <w:rPr>
                <w:rFonts w:ascii="Times New Roman" w:hAnsi="Times New Roman" w:eastAsia="仿宋" w:cs="Times New Roman"/>
                <w:szCs w:val="21"/>
              </w:rPr>
              <w:t>二、无限售流通股</w:t>
            </w: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rPr>
                <w:rFonts w:ascii="Times New Roman" w:hAnsi="Times New Roman" w:eastAsia="仿宋" w:cs="Times New Roman"/>
                <w:szCs w:val="21"/>
              </w:rPr>
            </w:pPr>
            <w:r>
              <w:rPr>
                <w:rFonts w:ascii="Times New Roman" w:hAnsi="Times New Roman" w:eastAsia="仿宋" w:cs="Times New Roman"/>
                <w:szCs w:val="21"/>
              </w:rPr>
              <w:t>小计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bottom"/>
          </w:tcPr>
          <w:p>
            <w:pPr>
              <w:rPr>
                <w:rFonts w:ascii="Times New Roman" w:hAnsi="Times New Roman" w:eastAsia="仿宋" w:cs="Times New Roman"/>
                <w:szCs w:val="21"/>
              </w:rPr>
            </w:pPr>
            <w:r>
              <w:rPr>
                <w:rFonts w:ascii="Times New Roman" w:hAnsi="Times New Roman" w:eastAsia="仿宋" w:cs="Times New Roman"/>
                <w:szCs w:val="21"/>
              </w:rPr>
              <w:t>合计</w:t>
            </w:r>
          </w:p>
        </w:tc>
        <w:tc>
          <w:tcPr>
            <w:tcW w:w="971" w:type="dxa"/>
          </w:tcPr>
          <w:p>
            <w:pPr>
              <w:rPr>
                <w:rFonts w:ascii="Times New Roman" w:hAnsi="Times New Roman" w:eastAsia="仿宋" w:cs="Times New Roman"/>
                <w:szCs w:val="21"/>
              </w:rPr>
            </w:pPr>
          </w:p>
        </w:tc>
        <w:tc>
          <w:tcPr>
            <w:tcW w:w="902" w:type="dxa"/>
          </w:tcPr>
          <w:p>
            <w:pPr>
              <w:rPr>
                <w:rFonts w:ascii="Times New Roman" w:hAnsi="Times New Roman" w:eastAsia="仿宋" w:cs="Times New Roman"/>
                <w:szCs w:val="21"/>
              </w:rPr>
            </w:pPr>
          </w:p>
        </w:tc>
        <w:tc>
          <w:tcPr>
            <w:tcW w:w="1162" w:type="dxa"/>
          </w:tcPr>
          <w:p>
            <w:pPr>
              <w:rPr>
                <w:rFonts w:ascii="Times New Roman" w:hAnsi="Times New Roman" w:eastAsia="仿宋" w:cs="Times New Roman"/>
                <w:szCs w:val="21"/>
              </w:rPr>
            </w:pPr>
          </w:p>
        </w:tc>
        <w:tc>
          <w:tcPr>
            <w:tcW w:w="897" w:type="dxa"/>
          </w:tcPr>
          <w:p>
            <w:pPr>
              <w:rPr>
                <w:rFonts w:ascii="Times New Roman" w:hAnsi="Times New Roman" w:eastAsia="仿宋" w:cs="Times New Roman"/>
                <w:szCs w:val="21"/>
              </w:rPr>
            </w:pPr>
          </w:p>
        </w:tc>
        <w:tc>
          <w:tcPr>
            <w:tcW w:w="1115" w:type="dxa"/>
          </w:tcPr>
          <w:p>
            <w:pPr>
              <w:rPr>
                <w:rFonts w:ascii="Times New Roman" w:hAnsi="Times New Roman" w:eastAsia="仿宋" w:cs="Times New Roman"/>
                <w:szCs w:val="21"/>
              </w:rPr>
            </w:pPr>
          </w:p>
        </w:tc>
        <w:tc>
          <w:tcPr>
            <w:tcW w:w="985" w:type="dxa"/>
          </w:tcPr>
          <w:p>
            <w:pPr>
              <w:rPr>
                <w:rFonts w:ascii="Times New Roman" w:hAnsi="Times New Roman" w:eastAsia="仿宋" w:cs="Times New Roman"/>
                <w:szCs w:val="21"/>
              </w:rPr>
            </w:pPr>
          </w:p>
        </w:tc>
        <w:tc>
          <w:tcPr>
            <w:tcW w:w="798" w:type="dxa"/>
          </w:tcPr>
          <w:p>
            <w:pPr>
              <w:rPr>
                <w:rFonts w:ascii="Times New Roman" w:hAnsi="Times New Roman" w:eastAsia="仿宋" w:cs="Times New Roman"/>
                <w:szCs w:val="21"/>
              </w:rPr>
            </w:pPr>
          </w:p>
        </w:tc>
        <w:tc>
          <w:tcPr>
            <w:tcW w:w="752" w:type="dxa"/>
          </w:tcPr>
          <w:p>
            <w:pPr>
              <w:rPr>
                <w:rFonts w:ascii="Times New Roman" w:hAnsi="Times New Roman" w:eastAsia="仿宋" w:cs="Times New Roman"/>
                <w:szCs w:val="21"/>
              </w:rPr>
            </w:pPr>
          </w:p>
        </w:tc>
      </w:tr>
    </w:tbl>
    <w:p>
      <w:pPr>
        <w:adjustRightInd w:val="0"/>
        <w:snapToGrid w:val="0"/>
        <w:spacing w:line="400" w:lineRule="exact"/>
        <w:ind w:firstLine="480" w:firstLineChars="200"/>
        <w:rPr>
          <w:rFonts w:ascii="Times New Roman" w:hAnsi="Times New Roman" w:eastAsia="仿宋" w:cs="Times New Roman"/>
          <w:sz w:val="24"/>
          <w:szCs w:val="21"/>
        </w:rPr>
      </w:pPr>
      <w:r>
        <w:rPr>
          <w:rFonts w:ascii="Times New Roman" w:hAnsi="Times New Roman" w:eastAsia="仿宋" w:cs="Times New Roman"/>
          <w:sz w:val="24"/>
          <w:szCs w:val="21"/>
        </w:rPr>
        <w:t>注1：发行人应单独列示高级管理人员与核心员工设立的专项资产管理计划参与本次发行战略配售的情况。</w:t>
      </w:r>
    </w:p>
    <w:p>
      <w:pPr>
        <w:adjustRightInd w:val="0"/>
        <w:snapToGrid w:val="0"/>
        <w:spacing w:line="400" w:lineRule="exact"/>
        <w:ind w:firstLine="480" w:firstLineChars="200"/>
        <w:rPr>
          <w:rFonts w:ascii="Times New Roman" w:hAnsi="Times New Roman" w:eastAsia="仿宋" w:cs="Times New Roman"/>
          <w:sz w:val="24"/>
          <w:szCs w:val="21"/>
        </w:rPr>
      </w:pPr>
      <w:r>
        <w:rPr>
          <w:rFonts w:ascii="Times New Roman" w:hAnsi="Times New Roman" w:eastAsia="仿宋" w:cs="Times New Roman"/>
          <w:sz w:val="24"/>
          <w:szCs w:val="21"/>
        </w:rPr>
        <w:t>注2：发行人如有表决权差异安排的，应单独列示特别表决权股份相关情况。</w:t>
      </w:r>
      <w:r>
        <w:rPr>
          <w:rFonts w:ascii="Times New Roman" w:hAnsi="Times New Roman" w:eastAsia="仿宋" w:cs="Times New Roman"/>
          <w:b/>
          <w:sz w:val="36"/>
          <w:szCs w:val="30"/>
        </w:rPr>
        <w:t xml:space="preserve">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六、本次发行后公司前十名股东持股情况</w:t>
      </w:r>
    </w:p>
    <w:tbl>
      <w:tblPr>
        <w:tblStyle w:val="26"/>
        <w:tblpPr w:leftFromText="180" w:rightFromText="180" w:vertAnchor="text" w:horzAnchor="margin"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626"/>
        <w:gridCol w:w="1759"/>
        <w:gridCol w:w="172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626"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股东名称</w:t>
            </w:r>
          </w:p>
        </w:tc>
        <w:tc>
          <w:tcPr>
            <w:tcW w:w="1759"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持股数量（股）</w:t>
            </w:r>
          </w:p>
        </w:tc>
        <w:tc>
          <w:tcPr>
            <w:tcW w:w="17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持股比例（%）</w:t>
            </w:r>
          </w:p>
        </w:tc>
        <w:tc>
          <w:tcPr>
            <w:tcW w:w="156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限售期限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5" w:type="dxa"/>
          </w:tcPr>
          <w:p>
            <w:pPr>
              <w:rPr>
                <w:rFonts w:ascii="Times New Roman" w:hAnsi="Times New Roman" w:eastAsia="仿宋" w:cs="Times New Roman"/>
                <w:sz w:val="24"/>
                <w:szCs w:val="24"/>
              </w:rPr>
            </w:pP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合计</w:t>
            </w:r>
          </w:p>
        </w:tc>
        <w:tc>
          <w:tcPr>
            <w:tcW w:w="1626" w:type="dxa"/>
          </w:tcPr>
          <w:p>
            <w:pPr>
              <w:rPr>
                <w:rFonts w:ascii="Times New Roman" w:hAnsi="Times New Roman" w:eastAsia="仿宋" w:cs="Times New Roman"/>
                <w:sz w:val="24"/>
                <w:szCs w:val="24"/>
              </w:rPr>
            </w:pPr>
          </w:p>
        </w:tc>
        <w:tc>
          <w:tcPr>
            <w:tcW w:w="1759" w:type="dxa"/>
          </w:tcPr>
          <w:p>
            <w:pPr>
              <w:rPr>
                <w:rFonts w:ascii="Times New Roman" w:hAnsi="Times New Roman" w:eastAsia="仿宋" w:cs="Times New Roman"/>
                <w:sz w:val="24"/>
                <w:szCs w:val="24"/>
              </w:rPr>
            </w:pPr>
          </w:p>
        </w:tc>
        <w:tc>
          <w:tcPr>
            <w:tcW w:w="1725" w:type="dxa"/>
          </w:tcPr>
          <w:p>
            <w:pPr>
              <w:rPr>
                <w:rFonts w:ascii="Times New Roman" w:hAnsi="Times New Roman" w:eastAsia="仿宋" w:cs="Times New Roman"/>
                <w:sz w:val="24"/>
                <w:szCs w:val="24"/>
              </w:rPr>
            </w:pPr>
          </w:p>
        </w:tc>
        <w:tc>
          <w:tcPr>
            <w:tcW w:w="1561" w:type="dxa"/>
          </w:tcPr>
          <w:p>
            <w:pPr>
              <w:rPr>
                <w:rFonts w:ascii="Times New Roman" w:hAnsi="Times New Roman" w:eastAsia="仿宋" w:cs="Times New Roman"/>
                <w:sz w:val="24"/>
                <w:szCs w:val="24"/>
              </w:rPr>
            </w:pPr>
          </w:p>
        </w:tc>
      </w:tr>
    </w:tbl>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第四节 股票发行情况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一、发行人公开发行股票的情况，包括：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（一）发行数量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（二）发行价格及对应市盈率（说明计算基础和口径）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（三）发行后每股收益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（四）发行后每股净资产</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（五）募集资金总额及注册会计师对资金到位的验证情况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（六）发行费用（不含税）总额及明细构成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（七）募集资金净额</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二、发行人和主承销商在发行与承销方案中采用超额配售选择权的，披露其相关情况。</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第五节 其他重要事项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一、募集资金专户存储三方监管协议的安排。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二、其他事项。招股说明书披露的事项，截至目前发生重大变化的，发行人需在上市公告书详细披露相关变化情况及其对公司的影响。</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第六节 保荐机构及其意见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一、保荐机构相关信息</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保荐机构（主承销商）</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保荐代表人：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项目协办人：</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项目其他成员：</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传真：</w:t>
            </w:r>
          </w:p>
        </w:tc>
        <w:tc>
          <w:tcPr>
            <w:tcW w:w="5607"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公司地址：</w:t>
            </w:r>
          </w:p>
        </w:tc>
        <w:tc>
          <w:tcPr>
            <w:tcW w:w="5607" w:type="dxa"/>
          </w:tcPr>
          <w:p>
            <w:pPr>
              <w:rPr>
                <w:rFonts w:ascii="Times New Roman" w:hAnsi="Times New Roman" w:eastAsia="仿宋" w:cs="Times New Roman"/>
                <w:sz w:val="24"/>
                <w:szCs w:val="24"/>
              </w:rPr>
            </w:pPr>
          </w:p>
        </w:tc>
      </w:tr>
    </w:tbl>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二、保荐机构推荐意见</w:t>
      </w:r>
    </w:p>
    <w:p>
      <w:pPr>
        <w:rPr>
          <w:rFonts w:ascii="Times New Roman" w:hAnsi="Times New Roman" w:eastAsia="仿宋" w:cs="Times New Roman"/>
          <w:sz w:val="32"/>
          <w:szCs w:val="32"/>
        </w:rPr>
      </w:pPr>
    </w:p>
    <w:p>
      <w:pPr>
        <w:ind w:firstLine="320" w:firstLineChars="100"/>
        <w:rPr>
          <w:rFonts w:ascii="Times New Roman" w:hAnsi="Times New Roman" w:eastAsia="仿宋" w:cs="Times New Roman"/>
          <w:sz w:val="30"/>
          <w:szCs w:val="30"/>
        </w:rPr>
      </w:pPr>
      <w:r>
        <w:rPr>
          <w:rFonts w:ascii="Times New Roman" w:hAnsi="Times New Roman" w:eastAsia="仿宋" w:cs="Times New Roman"/>
          <w:sz w:val="32"/>
          <w:szCs w:val="32"/>
        </w:rPr>
        <w:t xml:space="preserve">发行人                                </w:t>
      </w:r>
      <w:r>
        <w:rPr>
          <w:rFonts w:ascii="Times New Roman" w:hAnsi="Times New Roman" w:eastAsia="仿宋" w:cs="Times New Roman"/>
          <w:sz w:val="30"/>
          <w:szCs w:val="30"/>
        </w:rPr>
        <w:t>主承销商</w:t>
      </w:r>
    </w:p>
    <w:p>
      <w:pPr>
        <w:ind w:firstLine="160" w:firstLineChars="50"/>
        <w:rPr>
          <w:rFonts w:ascii="Times New Roman" w:hAnsi="Times New Roman" w:eastAsia="仿宋" w:cs="Times New Roman"/>
          <w:sz w:val="32"/>
          <w:szCs w:val="32"/>
        </w:rPr>
      </w:pPr>
      <w:r>
        <w:rPr>
          <w:rFonts w:ascii="Times New Roman" w:hAnsi="Times New Roman" w:eastAsia="仿宋" w:cs="Times New Roman"/>
          <w:sz w:val="32"/>
          <w:szCs w:val="32"/>
        </w:rPr>
        <w:t>（盖章）                               （盖章）</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X年X月X日                        X年X月X日 </w:t>
      </w:r>
      <w:r>
        <w:rPr>
          <w:rFonts w:ascii="Times New Roman" w:hAnsi="Times New Roman" w:eastAsia="仿宋" w:cs="Times New Roman"/>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附件10</w:t>
      </w:r>
    </w:p>
    <w:p>
      <w:pPr>
        <w:spacing w:line="600" w:lineRule="exact"/>
        <w:jc w:val="center"/>
        <w:rPr>
          <w:rFonts w:ascii="Times New Roman" w:hAnsi="Times New Roman" w:eastAsia="方正大标宋简体" w:cs="Times New Roman"/>
          <w:sz w:val="44"/>
          <w:szCs w:val="44"/>
        </w:rPr>
      </w:pPr>
      <w:bookmarkStart w:id="517" w:name="_Toc22906709"/>
      <w:bookmarkStart w:id="518" w:name="_Toc21798153"/>
      <w:bookmarkStart w:id="519" w:name="_Toc21887376"/>
      <w:r>
        <w:rPr>
          <w:rFonts w:ascii="Times New Roman" w:hAnsi="Times New Roman" w:eastAsia="方正大标宋简体" w:cs="Times New Roman"/>
          <w:sz w:val="44"/>
          <w:szCs w:val="44"/>
        </w:rPr>
        <w:t>联系方式</w:t>
      </w:r>
      <w:bookmarkEnd w:id="517"/>
      <w:bookmarkEnd w:id="518"/>
      <w:bookmarkEnd w:id="519"/>
    </w:p>
    <w:p>
      <w:pPr>
        <w:pStyle w:val="2"/>
      </w:pPr>
    </w:p>
    <w:tbl>
      <w:tblPr>
        <w:tblStyle w:val="52"/>
        <w:tblpPr w:leftFromText="180" w:rightFromText="180" w:vertAnchor="page" w:horzAnchor="page" w:tblpX="1547" w:tblpY="3537"/>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851"/>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机构名称</w:t>
            </w:r>
          </w:p>
        </w:tc>
        <w:tc>
          <w:tcPr>
            <w:tcW w:w="1529"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负责事项</w:t>
            </w:r>
          </w:p>
        </w:tc>
        <w:tc>
          <w:tcPr>
            <w:tcW w:w="2055" w:type="pct"/>
            <w:shd w:val="clear" w:color="auto" w:fill="D8D8D8" w:themeFill="background1" w:themeFillShade="D9"/>
            <w:vAlign w:val="center"/>
          </w:tcPr>
          <w:p>
            <w:pPr>
              <w:spacing w:line="50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vMerge w:val="restar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北京证券交易所</w:t>
            </w:r>
          </w:p>
        </w:tc>
        <w:tc>
          <w:tcPr>
            <w:tcW w:w="1529" w:type="pct"/>
            <w:vAlign w:val="center"/>
          </w:tcPr>
          <w:p>
            <w:pPr>
              <w:spacing w:line="5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发行承销</w:t>
            </w:r>
            <w:r>
              <w:rPr>
                <w:rFonts w:hint="eastAsia" w:ascii="Times New Roman" w:hAnsi="Times New Roman" w:eastAsia="仿宋" w:cs="Times New Roman"/>
                <w:sz w:val="28"/>
                <w:szCs w:val="28"/>
              </w:rPr>
              <w:t>业务咨询</w:t>
            </w:r>
          </w:p>
        </w:tc>
        <w:tc>
          <w:tcPr>
            <w:tcW w:w="2055" w:type="pc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电话：010-63889546；</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邮箱：cxzx@bse.cn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pct"/>
            <w:vMerge w:val="continue"/>
            <w:vAlign w:val="center"/>
          </w:tcPr>
          <w:p>
            <w:pPr>
              <w:spacing w:line="500" w:lineRule="exact"/>
              <w:rPr>
                <w:rFonts w:ascii="Times New Roman" w:hAnsi="Times New Roman" w:eastAsia="仿宋" w:cs="Times New Roman"/>
                <w:sz w:val="28"/>
                <w:szCs w:val="28"/>
              </w:rPr>
            </w:pPr>
          </w:p>
        </w:tc>
        <w:tc>
          <w:tcPr>
            <w:tcW w:w="1529" w:type="pct"/>
            <w:vAlign w:val="center"/>
          </w:tcPr>
          <w:p>
            <w:pPr>
              <w:spacing w:line="5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路演相关事项</w:t>
            </w:r>
          </w:p>
        </w:tc>
        <w:tc>
          <w:tcPr>
            <w:tcW w:w="2055" w:type="pct"/>
            <w:vAlign w:val="center"/>
          </w:tcPr>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电话：010-63889551；</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邮箱：luyan@bse.cn</w:t>
            </w:r>
          </w:p>
        </w:tc>
      </w:tr>
    </w:tbl>
    <w:p>
      <w:pPr>
        <w:rPr>
          <w:rFonts w:ascii="Times New Roman" w:hAnsi="Times New Roman" w:eastAsia="仿宋" w:cs="Times New Roman"/>
          <w:sz w:val="28"/>
          <w:szCs w:val="28"/>
        </w:rPr>
      </w:pPr>
    </w:p>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044852"/>
    </w:sdtPr>
    <w:sdtEndPr>
      <w:rPr>
        <w:rFonts w:cs="Times New Roman" w:asciiTheme="majorEastAsia" w:hAnsiTheme="majorEastAsia" w:eastAsiaTheme="majorEastAsia"/>
        <w:sz w:val="28"/>
      </w:rPr>
    </w:sdtEndPr>
    <w:sdtContent>
      <w:p>
        <w:pPr>
          <w:pStyle w:val="16"/>
          <w:jc w:val="right"/>
          <w:rPr>
            <w:rFonts w:cs="Times New Roman" w:asciiTheme="majorEastAsia" w:hAnsiTheme="majorEastAsia" w:eastAsiaTheme="majorEastAsia"/>
            <w:sz w:val="28"/>
          </w:rPr>
        </w:pPr>
        <w:r>
          <w:rPr>
            <w:rFonts w:cs="Times New Roman" w:asciiTheme="majorEastAsia" w:hAnsiTheme="majorEastAsia" w:eastAsiaTheme="majorEastAsia"/>
            <w:sz w:val="28"/>
          </w:rPr>
          <w:fldChar w:fldCharType="begin"/>
        </w:r>
        <w:r>
          <w:rPr>
            <w:rFonts w:cs="Times New Roman" w:asciiTheme="majorEastAsia" w:hAnsiTheme="majorEastAsia" w:eastAsiaTheme="majorEastAsia"/>
            <w:sz w:val="28"/>
          </w:rPr>
          <w:instrText xml:space="preserve">PAGE   \* MERGEFORMAT</w:instrText>
        </w:r>
        <w:r>
          <w:rPr>
            <w:rFonts w:cs="Times New Roman" w:asciiTheme="majorEastAsia" w:hAnsiTheme="majorEastAsia" w:eastAsiaTheme="majorEastAsia"/>
            <w:sz w:val="28"/>
          </w:rPr>
          <w:fldChar w:fldCharType="separate"/>
        </w:r>
        <w:r>
          <w:rPr>
            <w:rFonts w:cs="Times New Roman" w:asciiTheme="majorEastAsia" w:hAnsiTheme="majorEastAsia" w:eastAsiaTheme="majorEastAsia"/>
            <w:sz w:val="28"/>
            <w:lang w:val="zh-CN"/>
          </w:rPr>
          <w:t>-</w:t>
        </w:r>
        <w:r>
          <w:rPr>
            <w:rFonts w:cs="Times New Roman" w:asciiTheme="majorEastAsia" w:hAnsiTheme="majorEastAsia" w:eastAsiaTheme="majorEastAsia"/>
            <w:sz w:val="28"/>
          </w:rPr>
          <w:t xml:space="preserve"> 29 -</w:t>
        </w:r>
        <w:r>
          <w:rPr>
            <w:rFonts w:cs="Times New Roman" w:asciiTheme="majorEastAsia" w:hAnsiTheme="majorEastAsia" w:eastAsiaTheme="majorEastAsia"/>
            <w:sz w:val="28"/>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403199"/>
    </w:sdtPr>
    <w:sdtEndPr>
      <w:rPr>
        <w:rFonts w:cs="Times New Roman" w:asciiTheme="majorEastAsia" w:hAnsiTheme="majorEastAsia" w:eastAsiaTheme="majorEastAsia"/>
        <w:sz w:val="28"/>
      </w:rPr>
    </w:sdtEndPr>
    <w:sdtContent>
      <w:p>
        <w:pPr>
          <w:pStyle w:val="16"/>
          <w:rPr>
            <w:rFonts w:cs="Times New Roman" w:asciiTheme="majorEastAsia" w:hAnsiTheme="majorEastAsia" w:eastAsiaTheme="majorEastAsia"/>
            <w:sz w:val="28"/>
          </w:rPr>
        </w:pPr>
        <w:r>
          <w:rPr>
            <w:rFonts w:cs="Times New Roman" w:asciiTheme="majorEastAsia" w:hAnsiTheme="majorEastAsia" w:eastAsiaTheme="majorEastAsia"/>
            <w:sz w:val="28"/>
          </w:rPr>
          <w:fldChar w:fldCharType="begin"/>
        </w:r>
        <w:r>
          <w:rPr>
            <w:rFonts w:cs="Times New Roman" w:asciiTheme="majorEastAsia" w:hAnsiTheme="majorEastAsia" w:eastAsiaTheme="majorEastAsia"/>
            <w:sz w:val="28"/>
          </w:rPr>
          <w:instrText xml:space="preserve">PAGE   \* MERGEFORMAT</w:instrText>
        </w:r>
        <w:r>
          <w:rPr>
            <w:rFonts w:cs="Times New Roman" w:asciiTheme="majorEastAsia" w:hAnsiTheme="majorEastAsia" w:eastAsiaTheme="majorEastAsia"/>
            <w:sz w:val="28"/>
          </w:rPr>
          <w:fldChar w:fldCharType="separate"/>
        </w:r>
        <w:r>
          <w:rPr>
            <w:rFonts w:cs="Times New Roman" w:asciiTheme="majorEastAsia" w:hAnsiTheme="majorEastAsia" w:eastAsiaTheme="majorEastAsia"/>
            <w:sz w:val="28"/>
            <w:lang w:val="zh-CN"/>
          </w:rPr>
          <w:t>-</w:t>
        </w:r>
        <w:r>
          <w:rPr>
            <w:rFonts w:cs="Times New Roman" w:asciiTheme="majorEastAsia" w:hAnsiTheme="majorEastAsia" w:eastAsiaTheme="majorEastAsia"/>
            <w:sz w:val="28"/>
          </w:rPr>
          <w:t xml:space="preserve"> 30 -</w:t>
        </w:r>
        <w:r>
          <w:rPr>
            <w:rFonts w:cs="Times New Roman" w:asciiTheme="majorEastAsia" w:hAnsiTheme="majorEastAsia" w:eastAsiaTheme="majorEastAsia"/>
            <w:sz w:val="28"/>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67951"/>
    <w:multiLevelType w:val="multilevel"/>
    <w:tmpl w:val="41D67951"/>
    <w:lvl w:ilvl="0" w:tentative="0">
      <w:start w:val="1"/>
      <w:numFmt w:val="japaneseCounting"/>
      <w:pStyle w:val="53"/>
      <w:lvlText w:val="第%1条"/>
      <w:lvlJc w:val="left"/>
      <w:pPr>
        <w:ind w:left="1271" w:hanging="420"/>
      </w:pPr>
      <w:rPr>
        <w:rFonts w:hint="eastAsia" w:ascii="仿宋_GB2312" w:hAnsi="黑体" w:eastAsia="仿宋_GB2312"/>
        <w:b w:val="0"/>
        <w:color w:val="auto"/>
        <w:sz w:val="30"/>
        <w:szCs w:val="30"/>
        <w:lang w:val="en-US"/>
      </w:rPr>
    </w:lvl>
    <w:lvl w:ilvl="1" w:tentative="0">
      <w:start w:val="1"/>
      <w:numFmt w:val="chineseCountingThousand"/>
      <w:lvlText w:val="(%2)"/>
      <w:lvlJc w:val="left"/>
      <w:pPr>
        <w:ind w:left="579" w:hanging="720"/>
      </w:pPr>
      <w:rPr>
        <w:rFonts w:hint="default"/>
        <w:lang w:val="en-US"/>
      </w:rPr>
    </w:lvl>
    <w:lvl w:ilvl="2" w:tentative="0">
      <w:start w:val="1"/>
      <w:numFmt w:val="japaneseCounting"/>
      <w:lvlText w:val="第%3节"/>
      <w:lvlJc w:val="left"/>
      <w:pPr>
        <w:ind w:left="709" w:hanging="720"/>
      </w:pPr>
      <w:rPr>
        <w:rFonts w:hint="default"/>
      </w:rPr>
    </w:lvl>
    <w:lvl w:ilvl="3" w:tentative="0">
      <w:start w:val="1"/>
      <w:numFmt w:val="japaneseCounting"/>
      <w:lvlText w:val="（%4）"/>
      <w:lvlJc w:val="left"/>
      <w:pPr>
        <w:ind w:left="1489" w:hanging="1080"/>
      </w:pPr>
      <w:rPr>
        <w:rFonts w:hint="default"/>
      </w:rPr>
    </w:lvl>
    <w:lvl w:ilvl="4" w:tentative="0">
      <w:start w:val="1"/>
      <w:numFmt w:val="lowerLetter"/>
      <w:lvlText w:val="%5)"/>
      <w:lvlJc w:val="left"/>
      <w:pPr>
        <w:ind w:left="1249" w:hanging="420"/>
      </w:pPr>
    </w:lvl>
    <w:lvl w:ilvl="5" w:tentative="0">
      <w:start w:val="1"/>
      <w:numFmt w:val="lowerRoman"/>
      <w:lvlText w:val="%6."/>
      <w:lvlJc w:val="right"/>
      <w:pPr>
        <w:ind w:left="1669" w:hanging="420"/>
      </w:pPr>
    </w:lvl>
    <w:lvl w:ilvl="6" w:tentative="0">
      <w:start w:val="1"/>
      <w:numFmt w:val="decimal"/>
      <w:lvlText w:val="%7."/>
      <w:lvlJc w:val="left"/>
      <w:pPr>
        <w:ind w:left="2089" w:hanging="420"/>
      </w:pPr>
    </w:lvl>
    <w:lvl w:ilvl="7" w:tentative="0">
      <w:start w:val="1"/>
      <w:numFmt w:val="lowerLetter"/>
      <w:lvlText w:val="%8)"/>
      <w:lvlJc w:val="left"/>
      <w:pPr>
        <w:ind w:left="2509" w:hanging="420"/>
      </w:pPr>
    </w:lvl>
    <w:lvl w:ilvl="8" w:tentative="0">
      <w:start w:val="1"/>
      <w:numFmt w:val="lowerRoman"/>
      <w:lvlText w:val="%9."/>
      <w:lvlJc w:val="right"/>
      <w:pPr>
        <w:ind w:left="29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28"/>
    <w:rsid w:val="000017BB"/>
    <w:rsid w:val="000017E1"/>
    <w:rsid w:val="00003352"/>
    <w:rsid w:val="00004F1E"/>
    <w:rsid w:val="000055AE"/>
    <w:rsid w:val="00006AE3"/>
    <w:rsid w:val="00007E71"/>
    <w:rsid w:val="00010E36"/>
    <w:rsid w:val="0001100E"/>
    <w:rsid w:val="000119AA"/>
    <w:rsid w:val="000123D0"/>
    <w:rsid w:val="000125C7"/>
    <w:rsid w:val="00016F48"/>
    <w:rsid w:val="000174A9"/>
    <w:rsid w:val="00017EC4"/>
    <w:rsid w:val="00020A23"/>
    <w:rsid w:val="0002414F"/>
    <w:rsid w:val="0002553D"/>
    <w:rsid w:val="0002571D"/>
    <w:rsid w:val="00025BE1"/>
    <w:rsid w:val="00026198"/>
    <w:rsid w:val="0002657B"/>
    <w:rsid w:val="00026ECD"/>
    <w:rsid w:val="0003131C"/>
    <w:rsid w:val="00031A76"/>
    <w:rsid w:val="00032247"/>
    <w:rsid w:val="0003303C"/>
    <w:rsid w:val="000333E1"/>
    <w:rsid w:val="00034CEB"/>
    <w:rsid w:val="00040B2F"/>
    <w:rsid w:val="00040B62"/>
    <w:rsid w:val="00041D0B"/>
    <w:rsid w:val="00043090"/>
    <w:rsid w:val="000443AD"/>
    <w:rsid w:val="000452FE"/>
    <w:rsid w:val="00045494"/>
    <w:rsid w:val="0004587A"/>
    <w:rsid w:val="00046A71"/>
    <w:rsid w:val="00047D6E"/>
    <w:rsid w:val="00051154"/>
    <w:rsid w:val="00051535"/>
    <w:rsid w:val="00051D10"/>
    <w:rsid w:val="0005293B"/>
    <w:rsid w:val="00055796"/>
    <w:rsid w:val="00055B7F"/>
    <w:rsid w:val="00056262"/>
    <w:rsid w:val="00057EDA"/>
    <w:rsid w:val="0006025E"/>
    <w:rsid w:val="00061653"/>
    <w:rsid w:val="00062334"/>
    <w:rsid w:val="000640E3"/>
    <w:rsid w:val="0006426D"/>
    <w:rsid w:val="00064A00"/>
    <w:rsid w:val="00065665"/>
    <w:rsid w:val="000707F5"/>
    <w:rsid w:val="000729C5"/>
    <w:rsid w:val="00072F3D"/>
    <w:rsid w:val="00073900"/>
    <w:rsid w:val="000743DD"/>
    <w:rsid w:val="00080DBC"/>
    <w:rsid w:val="00081748"/>
    <w:rsid w:val="00081768"/>
    <w:rsid w:val="0008535B"/>
    <w:rsid w:val="00086298"/>
    <w:rsid w:val="00090910"/>
    <w:rsid w:val="0009177A"/>
    <w:rsid w:val="000941EB"/>
    <w:rsid w:val="0009631F"/>
    <w:rsid w:val="00097276"/>
    <w:rsid w:val="0009798F"/>
    <w:rsid w:val="000A12DF"/>
    <w:rsid w:val="000A15AF"/>
    <w:rsid w:val="000A3B19"/>
    <w:rsid w:val="000A414F"/>
    <w:rsid w:val="000A4885"/>
    <w:rsid w:val="000A496F"/>
    <w:rsid w:val="000A5887"/>
    <w:rsid w:val="000A5A1E"/>
    <w:rsid w:val="000A6FE4"/>
    <w:rsid w:val="000A721A"/>
    <w:rsid w:val="000B0142"/>
    <w:rsid w:val="000B09DA"/>
    <w:rsid w:val="000B1594"/>
    <w:rsid w:val="000B2505"/>
    <w:rsid w:val="000B28A5"/>
    <w:rsid w:val="000B29AE"/>
    <w:rsid w:val="000B3930"/>
    <w:rsid w:val="000B7C68"/>
    <w:rsid w:val="000C1A23"/>
    <w:rsid w:val="000C20D6"/>
    <w:rsid w:val="000C2BDC"/>
    <w:rsid w:val="000C31C2"/>
    <w:rsid w:val="000C33C3"/>
    <w:rsid w:val="000C37EB"/>
    <w:rsid w:val="000C49DD"/>
    <w:rsid w:val="000C65FE"/>
    <w:rsid w:val="000C7A4F"/>
    <w:rsid w:val="000C7F41"/>
    <w:rsid w:val="000D1291"/>
    <w:rsid w:val="000D31E8"/>
    <w:rsid w:val="000D3CDC"/>
    <w:rsid w:val="000D5FAC"/>
    <w:rsid w:val="000E05FE"/>
    <w:rsid w:val="000E1C44"/>
    <w:rsid w:val="000E2D27"/>
    <w:rsid w:val="000E316F"/>
    <w:rsid w:val="000E37DA"/>
    <w:rsid w:val="000E38C8"/>
    <w:rsid w:val="000E4A55"/>
    <w:rsid w:val="000E5394"/>
    <w:rsid w:val="000E5ECB"/>
    <w:rsid w:val="000E77B8"/>
    <w:rsid w:val="000F053F"/>
    <w:rsid w:val="000F07B4"/>
    <w:rsid w:val="000F1446"/>
    <w:rsid w:val="000F1E66"/>
    <w:rsid w:val="000F2407"/>
    <w:rsid w:val="000F509C"/>
    <w:rsid w:val="000F5B43"/>
    <w:rsid w:val="000F6395"/>
    <w:rsid w:val="000F7073"/>
    <w:rsid w:val="001004FE"/>
    <w:rsid w:val="00101B18"/>
    <w:rsid w:val="00101F4B"/>
    <w:rsid w:val="00104E85"/>
    <w:rsid w:val="001054FA"/>
    <w:rsid w:val="00105C46"/>
    <w:rsid w:val="00105D2F"/>
    <w:rsid w:val="00107CF2"/>
    <w:rsid w:val="001120E2"/>
    <w:rsid w:val="0011356D"/>
    <w:rsid w:val="00117532"/>
    <w:rsid w:val="0012017F"/>
    <w:rsid w:val="00122B9E"/>
    <w:rsid w:val="00124412"/>
    <w:rsid w:val="00125E7E"/>
    <w:rsid w:val="00126633"/>
    <w:rsid w:val="00126DE7"/>
    <w:rsid w:val="00127158"/>
    <w:rsid w:val="001303C1"/>
    <w:rsid w:val="001314C8"/>
    <w:rsid w:val="001362FB"/>
    <w:rsid w:val="00136DB4"/>
    <w:rsid w:val="0013737B"/>
    <w:rsid w:val="001400D6"/>
    <w:rsid w:val="0014131A"/>
    <w:rsid w:val="001425E4"/>
    <w:rsid w:val="00142ABA"/>
    <w:rsid w:val="0014429C"/>
    <w:rsid w:val="0014501A"/>
    <w:rsid w:val="00146B72"/>
    <w:rsid w:val="00146F70"/>
    <w:rsid w:val="00150CD9"/>
    <w:rsid w:val="001519F5"/>
    <w:rsid w:val="001533DB"/>
    <w:rsid w:val="00153921"/>
    <w:rsid w:val="001543AF"/>
    <w:rsid w:val="00155B18"/>
    <w:rsid w:val="00155EB4"/>
    <w:rsid w:val="0016018A"/>
    <w:rsid w:val="001607E0"/>
    <w:rsid w:val="00160858"/>
    <w:rsid w:val="0016120B"/>
    <w:rsid w:val="00162D77"/>
    <w:rsid w:val="001634C3"/>
    <w:rsid w:val="00163D04"/>
    <w:rsid w:val="00163E22"/>
    <w:rsid w:val="0016542E"/>
    <w:rsid w:val="00175556"/>
    <w:rsid w:val="00176C7E"/>
    <w:rsid w:val="00176C98"/>
    <w:rsid w:val="00177FB7"/>
    <w:rsid w:val="00180BC1"/>
    <w:rsid w:val="001812A5"/>
    <w:rsid w:val="00182359"/>
    <w:rsid w:val="001823BD"/>
    <w:rsid w:val="00182C65"/>
    <w:rsid w:val="00183761"/>
    <w:rsid w:val="00185020"/>
    <w:rsid w:val="00186253"/>
    <w:rsid w:val="00187ECF"/>
    <w:rsid w:val="00190462"/>
    <w:rsid w:val="00192670"/>
    <w:rsid w:val="001940A1"/>
    <w:rsid w:val="00195EDA"/>
    <w:rsid w:val="001960AF"/>
    <w:rsid w:val="001966BF"/>
    <w:rsid w:val="00196CC3"/>
    <w:rsid w:val="00196F9B"/>
    <w:rsid w:val="00197C9F"/>
    <w:rsid w:val="001A0403"/>
    <w:rsid w:val="001A128E"/>
    <w:rsid w:val="001A170F"/>
    <w:rsid w:val="001A187B"/>
    <w:rsid w:val="001A2883"/>
    <w:rsid w:val="001A29B8"/>
    <w:rsid w:val="001A4026"/>
    <w:rsid w:val="001A4E90"/>
    <w:rsid w:val="001A50CB"/>
    <w:rsid w:val="001A5683"/>
    <w:rsid w:val="001A592B"/>
    <w:rsid w:val="001A7169"/>
    <w:rsid w:val="001B0454"/>
    <w:rsid w:val="001B05B4"/>
    <w:rsid w:val="001B276A"/>
    <w:rsid w:val="001B2D5D"/>
    <w:rsid w:val="001B33FB"/>
    <w:rsid w:val="001B4590"/>
    <w:rsid w:val="001B538E"/>
    <w:rsid w:val="001B5FD4"/>
    <w:rsid w:val="001B7EAA"/>
    <w:rsid w:val="001C2980"/>
    <w:rsid w:val="001C4F88"/>
    <w:rsid w:val="001C5249"/>
    <w:rsid w:val="001D0124"/>
    <w:rsid w:val="001D0475"/>
    <w:rsid w:val="001D145F"/>
    <w:rsid w:val="001D18FD"/>
    <w:rsid w:val="001D1F8C"/>
    <w:rsid w:val="001D3848"/>
    <w:rsid w:val="001D387C"/>
    <w:rsid w:val="001D4515"/>
    <w:rsid w:val="001D4BA2"/>
    <w:rsid w:val="001D74D1"/>
    <w:rsid w:val="001D7E33"/>
    <w:rsid w:val="001E254F"/>
    <w:rsid w:val="001E26B2"/>
    <w:rsid w:val="001E2A9E"/>
    <w:rsid w:val="001E3548"/>
    <w:rsid w:val="001E5E9B"/>
    <w:rsid w:val="001F0658"/>
    <w:rsid w:val="001F0BE9"/>
    <w:rsid w:val="001F188C"/>
    <w:rsid w:val="001F2300"/>
    <w:rsid w:val="001F35B8"/>
    <w:rsid w:val="001F3FCC"/>
    <w:rsid w:val="001F4108"/>
    <w:rsid w:val="001F51F6"/>
    <w:rsid w:val="001F5B85"/>
    <w:rsid w:val="001F77AF"/>
    <w:rsid w:val="00200357"/>
    <w:rsid w:val="00200DB0"/>
    <w:rsid w:val="0020149F"/>
    <w:rsid w:val="00205AF2"/>
    <w:rsid w:val="0021128D"/>
    <w:rsid w:val="00211F84"/>
    <w:rsid w:val="00212260"/>
    <w:rsid w:val="0021292B"/>
    <w:rsid w:val="00213217"/>
    <w:rsid w:val="0021373B"/>
    <w:rsid w:val="00214A68"/>
    <w:rsid w:val="0021619F"/>
    <w:rsid w:val="0021621F"/>
    <w:rsid w:val="00217A87"/>
    <w:rsid w:val="002204FB"/>
    <w:rsid w:val="00220803"/>
    <w:rsid w:val="0022121F"/>
    <w:rsid w:val="002215CB"/>
    <w:rsid w:val="00221A13"/>
    <w:rsid w:val="0022275F"/>
    <w:rsid w:val="00222765"/>
    <w:rsid w:val="00223C99"/>
    <w:rsid w:val="00223FDA"/>
    <w:rsid w:val="00224B61"/>
    <w:rsid w:val="00227D35"/>
    <w:rsid w:val="00242414"/>
    <w:rsid w:val="002437D3"/>
    <w:rsid w:val="002463C4"/>
    <w:rsid w:val="00247C19"/>
    <w:rsid w:val="0026058E"/>
    <w:rsid w:val="002608BB"/>
    <w:rsid w:val="00261502"/>
    <w:rsid w:val="00262100"/>
    <w:rsid w:val="002632A4"/>
    <w:rsid w:val="00264CE8"/>
    <w:rsid w:val="00265944"/>
    <w:rsid w:val="00266DF6"/>
    <w:rsid w:val="00267268"/>
    <w:rsid w:val="002672FF"/>
    <w:rsid w:val="00267625"/>
    <w:rsid w:val="002676C6"/>
    <w:rsid w:val="00267961"/>
    <w:rsid w:val="0027069A"/>
    <w:rsid w:val="002718EE"/>
    <w:rsid w:val="00271ECE"/>
    <w:rsid w:val="002743CF"/>
    <w:rsid w:val="00274B0B"/>
    <w:rsid w:val="00274D07"/>
    <w:rsid w:val="0027584F"/>
    <w:rsid w:val="00276BCC"/>
    <w:rsid w:val="00276C29"/>
    <w:rsid w:val="002771E4"/>
    <w:rsid w:val="00280B4D"/>
    <w:rsid w:val="002818AC"/>
    <w:rsid w:val="00282419"/>
    <w:rsid w:val="0028349E"/>
    <w:rsid w:val="00283949"/>
    <w:rsid w:val="00285CB5"/>
    <w:rsid w:val="002864AF"/>
    <w:rsid w:val="00286664"/>
    <w:rsid w:val="00286B86"/>
    <w:rsid w:val="00286DF1"/>
    <w:rsid w:val="00287E68"/>
    <w:rsid w:val="00291A7D"/>
    <w:rsid w:val="00297C2C"/>
    <w:rsid w:val="002A09FA"/>
    <w:rsid w:val="002A1004"/>
    <w:rsid w:val="002A1E57"/>
    <w:rsid w:val="002A1ECA"/>
    <w:rsid w:val="002A1FC9"/>
    <w:rsid w:val="002A49E9"/>
    <w:rsid w:val="002A7345"/>
    <w:rsid w:val="002B1785"/>
    <w:rsid w:val="002B268F"/>
    <w:rsid w:val="002B4895"/>
    <w:rsid w:val="002B63CF"/>
    <w:rsid w:val="002B6570"/>
    <w:rsid w:val="002B6AF2"/>
    <w:rsid w:val="002B78F4"/>
    <w:rsid w:val="002B7BD9"/>
    <w:rsid w:val="002C1D04"/>
    <w:rsid w:val="002C324D"/>
    <w:rsid w:val="002C5E67"/>
    <w:rsid w:val="002C780D"/>
    <w:rsid w:val="002D0AC1"/>
    <w:rsid w:val="002D0C54"/>
    <w:rsid w:val="002D1A5C"/>
    <w:rsid w:val="002D5C86"/>
    <w:rsid w:val="002D6716"/>
    <w:rsid w:val="002D77CD"/>
    <w:rsid w:val="002D7A3E"/>
    <w:rsid w:val="002E052B"/>
    <w:rsid w:val="002E19C1"/>
    <w:rsid w:val="002E202E"/>
    <w:rsid w:val="002E2D02"/>
    <w:rsid w:val="002E3F63"/>
    <w:rsid w:val="002E4F82"/>
    <w:rsid w:val="002E54EC"/>
    <w:rsid w:val="002E55ED"/>
    <w:rsid w:val="002E63FB"/>
    <w:rsid w:val="002E7804"/>
    <w:rsid w:val="002F08AC"/>
    <w:rsid w:val="002F119C"/>
    <w:rsid w:val="002F1CFB"/>
    <w:rsid w:val="002F2473"/>
    <w:rsid w:val="002F3574"/>
    <w:rsid w:val="002F4BC9"/>
    <w:rsid w:val="002F4DA6"/>
    <w:rsid w:val="002F79F1"/>
    <w:rsid w:val="003004B1"/>
    <w:rsid w:val="00301613"/>
    <w:rsid w:val="003018F5"/>
    <w:rsid w:val="00301D4D"/>
    <w:rsid w:val="003021D8"/>
    <w:rsid w:val="00304E72"/>
    <w:rsid w:val="0030502A"/>
    <w:rsid w:val="0030520E"/>
    <w:rsid w:val="003055A6"/>
    <w:rsid w:val="00306294"/>
    <w:rsid w:val="00306348"/>
    <w:rsid w:val="003076A9"/>
    <w:rsid w:val="003078BF"/>
    <w:rsid w:val="003110F6"/>
    <w:rsid w:val="00311635"/>
    <w:rsid w:val="00312ACD"/>
    <w:rsid w:val="00313A90"/>
    <w:rsid w:val="00314BE5"/>
    <w:rsid w:val="00323011"/>
    <w:rsid w:val="00323514"/>
    <w:rsid w:val="00324749"/>
    <w:rsid w:val="00324DB7"/>
    <w:rsid w:val="00334FA3"/>
    <w:rsid w:val="00336521"/>
    <w:rsid w:val="00336A9D"/>
    <w:rsid w:val="00343803"/>
    <w:rsid w:val="00344510"/>
    <w:rsid w:val="00346D07"/>
    <w:rsid w:val="0034751F"/>
    <w:rsid w:val="00351C35"/>
    <w:rsid w:val="00353291"/>
    <w:rsid w:val="0035378C"/>
    <w:rsid w:val="00354210"/>
    <w:rsid w:val="00354650"/>
    <w:rsid w:val="0035620C"/>
    <w:rsid w:val="0035646F"/>
    <w:rsid w:val="00357882"/>
    <w:rsid w:val="0036309F"/>
    <w:rsid w:val="003630AC"/>
    <w:rsid w:val="003637FA"/>
    <w:rsid w:val="00363D70"/>
    <w:rsid w:val="00363F73"/>
    <w:rsid w:val="00364395"/>
    <w:rsid w:val="003647D5"/>
    <w:rsid w:val="00364D26"/>
    <w:rsid w:val="00365B7E"/>
    <w:rsid w:val="00365B8F"/>
    <w:rsid w:val="00365DA9"/>
    <w:rsid w:val="00366421"/>
    <w:rsid w:val="003678C1"/>
    <w:rsid w:val="0037061B"/>
    <w:rsid w:val="00372B87"/>
    <w:rsid w:val="00374EDC"/>
    <w:rsid w:val="0037500E"/>
    <w:rsid w:val="00375849"/>
    <w:rsid w:val="00375A24"/>
    <w:rsid w:val="003767D9"/>
    <w:rsid w:val="003767DC"/>
    <w:rsid w:val="003769B0"/>
    <w:rsid w:val="0037792D"/>
    <w:rsid w:val="00381399"/>
    <w:rsid w:val="00384722"/>
    <w:rsid w:val="0038531E"/>
    <w:rsid w:val="00390164"/>
    <w:rsid w:val="00390B8E"/>
    <w:rsid w:val="00391AD5"/>
    <w:rsid w:val="00392F96"/>
    <w:rsid w:val="0039378B"/>
    <w:rsid w:val="00393E6C"/>
    <w:rsid w:val="003945C1"/>
    <w:rsid w:val="00395797"/>
    <w:rsid w:val="003968A1"/>
    <w:rsid w:val="0039798B"/>
    <w:rsid w:val="003A0D27"/>
    <w:rsid w:val="003A353D"/>
    <w:rsid w:val="003A4B5E"/>
    <w:rsid w:val="003A5ECA"/>
    <w:rsid w:val="003A6B7F"/>
    <w:rsid w:val="003B09AE"/>
    <w:rsid w:val="003B1B2E"/>
    <w:rsid w:val="003B4D62"/>
    <w:rsid w:val="003B4F1D"/>
    <w:rsid w:val="003C0107"/>
    <w:rsid w:val="003C0CC0"/>
    <w:rsid w:val="003C141E"/>
    <w:rsid w:val="003C20A4"/>
    <w:rsid w:val="003C2D25"/>
    <w:rsid w:val="003C4DBD"/>
    <w:rsid w:val="003C7318"/>
    <w:rsid w:val="003D005A"/>
    <w:rsid w:val="003D1E58"/>
    <w:rsid w:val="003D1EC0"/>
    <w:rsid w:val="003D4E30"/>
    <w:rsid w:val="003D5B44"/>
    <w:rsid w:val="003E02F2"/>
    <w:rsid w:val="003E0633"/>
    <w:rsid w:val="003E1337"/>
    <w:rsid w:val="003E3F1C"/>
    <w:rsid w:val="003E6171"/>
    <w:rsid w:val="003E7196"/>
    <w:rsid w:val="003E7ADB"/>
    <w:rsid w:val="003F241A"/>
    <w:rsid w:val="003F3F5F"/>
    <w:rsid w:val="003F5596"/>
    <w:rsid w:val="003F561A"/>
    <w:rsid w:val="003F5C32"/>
    <w:rsid w:val="003F6E70"/>
    <w:rsid w:val="003F7D08"/>
    <w:rsid w:val="00401F04"/>
    <w:rsid w:val="00403378"/>
    <w:rsid w:val="004046BA"/>
    <w:rsid w:val="0040542D"/>
    <w:rsid w:val="004055F7"/>
    <w:rsid w:val="0040776A"/>
    <w:rsid w:val="00407D02"/>
    <w:rsid w:val="00407D60"/>
    <w:rsid w:val="00407F52"/>
    <w:rsid w:val="00414027"/>
    <w:rsid w:val="00417A9C"/>
    <w:rsid w:val="00420D5E"/>
    <w:rsid w:val="0042766C"/>
    <w:rsid w:val="004310EA"/>
    <w:rsid w:val="00431F85"/>
    <w:rsid w:val="00434131"/>
    <w:rsid w:val="004346A3"/>
    <w:rsid w:val="004355D6"/>
    <w:rsid w:val="00435FEF"/>
    <w:rsid w:val="004376CE"/>
    <w:rsid w:val="0043781F"/>
    <w:rsid w:val="00440AFE"/>
    <w:rsid w:val="00442B13"/>
    <w:rsid w:val="00443CC5"/>
    <w:rsid w:val="00444995"/>
    <w:rsid w:val="00445873"/>
    <w:rsid w:val="004474B4"/>
    <w:rsid w:val="004474F3"/>
    <w:rsid w:val="004477B8"/>
    <w:rsid w:val="00447FAB"/>
    <w:rsid w:val="00450055"/>
    <w:rsid w:val="00452CDF"/>
    <w:rsid w:val="00453A0C"/>
    <w:rsid w:val="00453F88"/>
    <w:rsid w:val="004552D7"/>
    <w:rsid w:val="00460170"/>
    <w:rsid w:val="00461C25"/>
    <w:rsid w:val="004636A3"/>
    <w:rsid w:val="004636AF"/>
    <w:rsid w:val="00464349"/>
    <w:rsid w:val="004645A0"/>
    <w:rsid w:val="00467D53"/>
    <w:rsid w:val="004707D4"/>
    <w:rsid w:val="004707E2"/>
    <w:rsid w:val="0047174A"/>
    <w:rsid w:val="00473419"/>
    <w:rsid w:val="00475687"/>
    <w:rsid w:val="00475A41"/>
    <w:rsid w:val="00480843"/>
    <w:rsid w:val="004818C1"/>
    <w:rsid w:val="00482C99"/>
    <w:rsid w:val="00483E0B"/>
    <w:rsid w:val="00484B52"/>
    <w:rsid w:val="00486D54"/>
    <w:rsid w:val="00487781"/>
    <w:rsid w:val="004900A0"/>
    <w:rsid w:val="004912CD"/>
    <w:rsid w:val="00491E98"/>
    <w:rsid w:val="0049346F"/>
    <w:rsid w:val="004947BB"/>
    <w:rsid w:val="00494928"/>
    <w:rsid w:val="00495655"/>
    <w:rsid w:val="004958D8"/>
    <w:rsid w:val="0049634B"/>
    <w:rsid w:val="0049638A"/>
    <w:rsid w:val="0049735E"/>
    <w:rsid w:val="004A1414"/>
    <w:rsid w:val="004A3A39"/>
    <w:rsid w:val="004A4255"/>
    <w:rsid w:val="004A45C3"/>
    <w:rsid w:val="004B00DB"/>
    <w:rsid w:val="004B4281"/>
    <w:rsid w:val="004B443C"/>
    <w:rsid w:val="004B4664"/>
    <w:rsid w:val="004B5A83"/>
    <w:rsid w:val="004B6DB8"/>
    <w:rsid w:val="004C1187"/>
    <w:rsid w:val="004C1E9D"/>
    <w:rsid w:val="004C4905"/>
    <w:rsid w:val="004D06FC"/>
    <w:rsid w:val="004D1141"/>
    <w:rsid w:val="004D21DC"/>
    <w:rsid w:val="004D23C4"/>
    <w:rsid w:val="004D2544"/>
    <w:rsid w:val="004D4EDD"/>
    <w:rsid w:val="004D79D4"/>
    <w:rsid w:val="004D7C9E"/>
    <w:rsid w:val="004D7F16"/>
    <w:rsid w:val="004E0CCB"/>
    <w:rsid w:val="004E1631"/>
    <w:rsid w:val="004E2448"/>
    <w:rsid w:val="004E257D"/>
    <w:rsid w:val="004E2695"/>
    <w:rsid w:val="004E2E6F"/>
    <w:rsid w:val="004E3435"/>
    <w:rsid w:val="004E6BB3"/>
    <w:rsid w:val="004E777A"/>
    <w:rsid w:val="004F14CA"/>
    <w:rsid w:val="004F2E99"/>
    <w:rsid w:val="004F4D55"/>
    <w:rsid w:val="004F5F8C"/>
    <w:rsid w:val="004F760D"/>
    <w:rsid w:val="00502E65"/>
    <w:rsid w:val="00503647"/>
    <w:rsid w:val="00503B79"/>
    <w:rsid w:val="0050673B"/>
    <w:rsid w:val="005114E4"/>
    <w:rsid w:val="005149A0"/>
    <w:rsid w:val="005150D2"/>
    <w:rsid w:val="0051635E"/>
    <w:rsid w:val="005164E2"/>
    <w:rsid w:val="00516835"/>
    <w:rsid w:val="0052173B"/>
    <w:rsid w:val="00521B5A"/>
    <w:rsid w:val="005221B8"/>
    <w:rsid w:val="0052296B"/>
    <w:rsid w:val="00524387"/>
    <w:rsid w:val="00524A3C"/>
    <w:rsid w:val="005266C4"/>
    <w:rsid w:val="005278A2"/>
    <w:rsid w:val="00533041"/>
    <w:rsid w:val="0053376B"/>
    <w:rsid w:val="00535327"/>
    <w:rsid w:val="00535AD5"/>
    <w:rsid w:val="00540C92"/>
    <w:rsid w:val="00540F9B"/>
    <w:rsid w:val="005410BB"/>
    <w:rsid w:val="00542123"/>
    <w:rsid w:val="00543843"/>
    <w:rsid w:val="005462FB"/>
    <w:rsid w:val="00550B39"/>
    <w:rsid w:val="005516A5"/>
    <w:rsid w:val="00552D95"/>
    <w:rsid w:val="00553855"/>
    <w:rsid w:val="0055630F"/>
    <w:rsid w:val="005575C4"/>
    <w:rsid w:val="00557BC5"/>
    <w:rsid w:val="005604F4"/>
    <w:rsid w:val="00560880"/>
    <w:rsid w:val="00560ACD"/>
    <w:rsid w:val="005614C8"/>
    <w:rsid w:val="00562C82"/>
    <w:rsid w:val="0056325E"/>
    <w:rsid w:val="0056392D"/>
    <w:rsid w:val="00565066"/>
    <w:rsid w:val="0056513B"/>
    <w:rsid w:val="00565FB3"/>
    <w:rsid w:val="00566926"/>
    <w:rsid w:val="00570325"/>
    <w:rsid w:val="005716D6"/>
    <w:rsid w:val="00572609"/>
    <w:rsid w:val="005737C0"/>
    <w:rsid w:val="005745E7"/>
    <w:rsid w:val="005752C5"/>
    <w:rsid w:val="00576299"/>
    <w:rsid w:val="0057667C"/>
    <w:rsid w:val="005769EA"/>
    <w:rsid w:val="00581169"/>
    <w:rsid w:val="005816D6"/>
    <w:rsid w:val="005830E2"/>
    <w:rsid w:val="005831D3"/>
    <w:rsid w:val="0058361F"/>
    <w:rsid w:val="005844A9"/>
    <w:rsid w:val="005848DF"/>
    <w:rsid w:val="005855B2"/>
    <w:rsid w:val="00590361"/>
    <w:rsid w:val="005915A0"/>
    <w:rsid w:val="0059279F"/>
    <w:rsid w:val="00593ADC"/>
    <w:rsid w:val="00594212"/>
    <w:rsid w:val="00594BB0"/>
    <w:rsid w:val="00594CCD"/>
    <w:rsid w:val="00596C8C"/>
    <w:rsid w:val="00596D17"/>
    <w:rsid w:val="00597C7D"/>
    <w:rsid w:val="005A1F76"/>
    <w:rsid w:val="005A25B6"/>
    <w:rsid w:val="005A32D0"/>
    <w:rsid w:val="005A40AC"/>
    <w:rsid w:val="005A4CA4"/>
    <w:rsid w:val="005A4DB1"/>
    <w:rsid w:val="005A5AA6"/>
    <w:rsid w:val="005A6460"/>
    <w:rsid w:val="005A7DFC"/>
    <w:rsid w:val="005B06EB"/>
    <w:rsid w:val="005B1705"/>
    <w:rsid w:val="005B18DC"/>
    <w:rsid w:val="005B1960"/>
    <w:rsid w:val="005B2971"/>
    <w:rsid w:val="005B45B1"/>
    <w:rsid w:val="005B5075"/>
    <w:rsid w:val="005B51CE"/>
    <w:rsid w:val="005B53E6"/>
    <w:rsid w:val="005C08E2"/>
    <w:rsid w:val="005C1FD1"/>
    <w:rsid w:val="005C4EBD"/>
    <w:rsid w:val="005D505A"/>
    <w:rsid w:val="005D5D81"/>
    <w:rsid w:val="005D6C7C"/>
    <w:rsid w:val="005D6DB2"/>
    <w:rsid w:val="005D6E2E"/>
    <w:rsid w:val="005D6F29"/>
    <w:rsid w:val="005D79DB"/>
    <w:rsid w:val="005D7B2B"/>
    <w:rsid w:val="005D7FCB"/>
    <w:rsid w:val="005E05E1"/>
    <w:rsid w:val="005E2DC4"/>
    <w:rsid w:val="005E44AA"/>
    <w:rsid w:val="005E609A"/>
    <w:rsid w:val="005E6635"/>
    <w:rsid w:val="005E6A73"/>
    <w:rsid w:val="005E70C4"/>
    <w:rsid w:val="005F0C3F"/>
    <w:rsid w:val="005F3352"/>
    <w:rsid w:val="005F395B"/>
    <w:rsid w:val="005F5E92"/>
    <w:rsid w:val="005F7A82"/>
    <w:rsid w:val="005F7C63"/>
    <w:rsid w:val="00600220"/>
    <w:rsid w:val="00601262"/>
    <w:rsid w:val="00602734"/>
    <w:rsid w:val="006027D4"/>
    <w:rsid w:val="006050E1"/>
    <w:rsid w:val="00605C21"/>
    <w:rsid w:val="00605D38"/>
    <w:rsid w:val="00606578"/>
    <w:rsid w:val="00606783"/>
    <w:rsid w:val="00607D96"/>
    <w:rsid w:val="006106D2"/>
    <w:rsid w:val="0061078B"/>
    <w:rsid w:val="00611312"/>
    <w:rsid w:val="006114E8"/>
    <w:rsid w:val="00611965"/>
    <w:rsid w:val="00612452"/>
    <w:rsid w:val="00614D07"/>
    <w:rsid w:val="006203DF"/>
    <w:rsid w:val="00620A0A"/>
    <w:rsid w:val="00621149"/>
    <w:rsid w:val="00621D5F"/>
    <w:rsid w:val="00622779"/>
    <w:rsid w:val="00624DC1"/>
    <w:rsid w:val="00626CD1"/>
    <w:rsid w:val="006276BE"/>
    <w:rsid w:val="00627CC0"/>
    <w:rsid w:val="0063303D"/>
    <w:rsid w:val="00635C3F"/>
    <w:rsid w:val="00637E27"/>
    <w:rsid w:val="00642213"/>
    <w:rsid w:val="006431C3"/>
    <w:rsid w:val="0064346E"/>
    <w:rsid w:val="00644EED"/>
    <w:rsid w:val="006457FD"/>
    <w:rsid w:val="00650493"/>
    <w:rsid w:val="00651A12"/>
    <w:rsid w:val="006537FF"/>
    <w:rsid w:val="00653B51"/>
    <w:rsid w:val="00654BD9"/>
    <w:rsid w:val="00655F2C"/>
    <w:rsid w:val="006561F6"/>
    <w:rsid w:val="0065674F"/>
    <w:rsid w:val="00657929"/>
    <w:rsid w:val="00660C81"/>
    <w:rsid w:val="00662D7F"/>
    <w:rsid w:val="006659DF"/>
    <w:rsid w:val="00665A1E"/>
    <w:rsid w:val="00665E69"/>
    <w:rsid w:val="00670AE8"/>
    <w:rsid w:val="00671E5D"/>
    <w:rsid w:val="0067232E"/>
    <w:rsid w:val="006736AB"/>
    <w:rsid w:val="00676480"/>
    <w:rsid w:val="00676A9D"/>
    <w:rsid w:val="00680E35"/>
    <w:rsid w:val="00683FE1"/>
    <w:rsid w:val="00685352"/>
    <w:rsid w:val="00685A96"/>
    <w:rsid w:val="006863F0"/>
    <w:rsid w:val="006878BE"/>
    <w:rsid w:val="006912FE"/>
    <w:rsid w:val="006921E8"/>
    <w:rsid w:val="00692952"/>
    <w:rsid w:val="006930A0"/>
    <w:rsid w:val="0069342E"/>
    <w:rsid w:val="00693501"/>
    <w:rsid w:val="00693605"/>
    <w:rsid w:val="00693AAD"/>
    <w:rsid w:val="0069481C"/>
    <w:rsid w:val="0069482B"/>
    <w:rsid w:val="006955D7"/>
    <w:rsid w:val="006972D5"/>
    <w:rsid w:val="00697D1E"/>
    <w:rsid w:val="006A07D4"/>
    <w:rsid w:val="006A10D7"/>
    <w:rsid w:val="006A1D98"/>
    <w:rsid w:val="006A4CC0"/>
    <w:rsid w:val="006A512C"/>
    <w:rsid w:val="006A7CF2"/>
    <w:rsid w:val="006B0CA6"/>
    <w:rsid w:val="006B145B"/>
    <w:rsid w:val="006B20CB"/>
    <w:rsid w:val="006B30F1"/>
    <w:rsid w:val="006B43B6"/>
    <w:rsid w:val="006B53A8"/>
    <w:rsid w:val="006B5884"/>
    <w:rsid w:val="006B68A1"/>
    <w:rsid w:val="006B6C47"/>
    <w:rsid w:val="006B76D4"/>
    <w:rsid w:val="006B771D"/>
    <w:rsid w:val="006B78DD"/>
    <w:rsid w:val="006C06A5"/>
    <w:rsid w:val="006C1B2A"/>
    <w:rsid w:val="006C2531"/>
    <w:rsid w:val="006C562F"/>
    <w:rsid w:val="006C697A"/>
    <w:rsid w:val="006C7BFF"/>
    <w:rsid w:val="006C7F71"/>
    <w:rsid w:val="006D23A2"/>
    <w:rsid w:val="006D5D6D"/>
    <w:rsid w:val="006D5F52"/>
    <w:rsid w:val="006D6E73"/>
    <w:rsid w:val="006E04F4"/>
    <w:rsid w:val="006E14DC"/>
    <w:rsid w:val="006E1830"/>
    <w:rsid w:val="006E1922"/>
    <w:rsid w:val="006E2103"/>
    <w:rsid w:val="006E63C7"/>
    <w:rsid w:val="006E6D0F"/>
    <w:rsid w:val="006F058A"/>
    <w:rsid w:val="006F0B02"/>
    <w:rsid w:val="006F0D29"/>
    <w:rsid w:val="006F126B"/>
    <w:rsid w:val="006F45BF"/>
    <w:rsid w:val="007002B5"/>
    <w:rsid w:val="0070151C"/>
    <w:rsid w:val="007043EB"/>
    <w:rsid w:val="00705D04"/>
    <w:rsid w:val="007062CE"/>
    <w:rsid w:val="0070754F"/>
    <w:rsid w:val="00715C0E"/>
    <w:rsid w:val="00716727"/>
    <w:rsid w:val="00721C94"/>
    <w:rsid w:val="007248BD"/>
    <w:rsid w:val="00724BD4"/>
    <w:rsid w:val="0072658F"/>
    <w:rsid w:val="0072788A"/>
    <w:rsid w:val="00731B4E"/>
    <w:rsid w:val="00732589"/>
    <w:rsid w:val="00733B7B"/>
    <w:rsid w:val="00734672"/>
    <w:rsid w:val="007346BC"/>
    <w:rsid w:val="0073524C"/>
    <w:rsid w:val="00735A23"/>
    <w:rsid w:val="00735B3F"/>
    <w:rsid w:val="00735D3E"/>
    <w:rsid w:val="00735E68"/>
    <w:rsid w:val="00736274"/>
    <w:rsid w:val="00736D92"/>
    <w:rsid w:val="00736F6F"/>
    <w:rsid w:val="0074054E"/>
    <w:rsid w:val="00742CD2"/>
    <w:rsid w:val="0074387B"/>
    <w:rsid w:val="007438A3"/>
    <w:rsid w:val="00744174"/>
    <w:rsid w:val="00744D7E"/>
    <w:rsid w:val="00744E85"/>
    <w:rsid w:val="00746AF9"/>
    <w:rsid w:val="00746DC7"/>
    <w:rsid w:val="00747D75"/>
    <w:rsid w:val="00747EDD"/>
    <w:rsid w:val="00751D06"/>
    <w:rsid w:val="00751D80"/>
    <w:rsid w:val="00754BE1"/>
    <w:rsid w:val="00757E6E"/>
    <w:rsid w:val="007616CB"/>
    <w:rsid w:val="00762743"/>
    <w:rsid w:val="00762AA5"/>
    <w:rsid w:val="00763CCB"/>
    <w:rsid w:val="00763E8C"/>
    <w:rsid w:val="00766330"/>
    <w:rsid w:val="00772CA4"/>
    <w:rsid w:val="007730F2"/>
    <w:rsid w:val="00773A5F"/>
    <w:rsid w:val="00774292"/>
    <w:rsid w:val="00774958"/>
    <w:rsid w:val="00774D49"/>
    <w:rsid w:val="007770FC"/>
    <w:rsid w:val="00777EC1"/>
    <w:rsid w:val="0078077F"/>
    <w:rsid w:val="00780AD6"/>
    <w:rsid w:val="00784CD7"/>
    <w:rsid w:val="00785669"/>
    <w:rsid w:val="0078674E"/>
    <w:rsid w:val="007869B7"/>
    <w:rsid w:val="00787926"/>
    <w:rsid w:val="00787EA2"/>
    <w:rsid w:val="00794613"/>
    <w:rsid w:val="00794B78"/>
    <w:rsid w:val="007954FB"/>
    <w:rsid w:val="0079695F"/>
    <w:rsid w:val="00796DE0"/>
    <w:rsid w:val="00797ABD"/>
    <w:rsid w:val="007A055B"/>
    <w:rsid w:val="007A16C3"/>
    <w:rsid w:val="007A1D39"/>
    <w:rsid w:val="007A4BEB"/>
    <w:rsid w:val="007A591C"/>
    <w:rsid w:val="007A646C"/>
    <w:rsid w:val="007A71CA"/>
    <w:rsid w:val="007B1644"/>
    <w:rsid w:val="007B16B3"/>
    <w:rsid w:val="007B3C50"/>
    <w:rsid w:val="007B3E3E"/>
    <w:rsid w:val="007B6C5E"/>
    <w:rsid w:val="007B780C"/>
    <w:rsid w:val="007B7928"/>
    <w:rsid w:val="007C2C94"/>
    <w:rsid w:val="007C5082"/>
    <w:rsid w:val="007C5321"/>
    <w:rsid w:val="007C5980"/>
    <w:rsid w:val="007C65D5"/>
    <w:rsid w:val="007C6BFB"/>
    <w:rsid w:val="007C715B"/>
    <w:rsid w:val="007C73D1"/>
    <w:rsid w:val="007D1AE6"/>
    <w:rsid w:val="007D1E55"/>
    <w:rsid w:val="007D3C87"/>
    <w:rsid w:val="007D45CF"/>
    <w:rsid w:val="007D5E37"/>
    <w:rsid w:val="007D69B7"/>
    <w:rsid w:val="007E30C2"/>
    <w:rsid w:val="007E3F1A"/>
    <w:rsid w:val="007E458C"/>
    <w:rsid w:val="007E50FE"/>
    <w:rsid w:val="007E7698"/>
    <w:rsid w:val="007E79A9"/>
    <w:rsid w:val="007F1722"/>
    <w:rsid w:val="007F196D"/>
    <w:rsid w:val="007F51BB"/>
    <w:rsid w:val="007F780F"/>
    <w:rsid w:val="007F7E58"/>
    <w:rsid w:val="00802F3E"/>
    <w:rsid w:val="0080433C"/>
    <w:rsid w:val="00804D5D"/>
    <w:rsid w:val="00805849"/>
    <w:rsid w:val="00806EF3"/>
    <w:rsid w:val="00807679"/>
    <w:rsid w:val="0080779C"/>
    <w:rsid w:val="0081287C"/>
    <w:rsid w:val="0081336A"/>
    <w:rsid w:val="00814D54"/>
    <w:rsid w:val="00815A4E"/>
    <w:rsid w:val="00816861"/>
    <w:rsid w:val="008169E7"/>
    <w:rsid w:val="00820BA9"/>
    <w:rsid w:val="00820E38"/>
    <w:rsid w:val="00821766"/>
    <w:rsid w:val="00821B0B"/>
    <w:rsid w:val="00823DA0"/>
    <w:rsid w:val="00824785"/>
    <w:rsid w:val="00825EE1"/>
    <w:rsid w:val="0082600F"/>
    <w:rsid w:val="0082638A"/>
    <w:rsid w:val="0082643C"/>
    <w:rsid w:val="00827E4A"/>
    <w:rsid w:val="00831176"/>
    <w:rsid w:val="00832B40"/>
    <w:rsid w:val="00836C2E"/>
    <w:rsid w:val="008379B1"/>
    <w:rsid w:val="00842013"/>
    <w:rsid w:val="00842239"/>
    <w:rsid w:val="00842243"/>
    <w:rsid w:val="008434F2"/>
    <w:rsid w:val="0084371F"/>
    <w:rsid w:val="00846B24"/>
    <w:rsid w:val="00847489"/>
    <w:rsid w:val="008474C8"/>
    <w:rsid w:val="00850134"/>
    <w:rsid w:val="00850A29"/>
    <w:rsid w:val="0085218E"/>
    <w:rsid w:val="008524F9"/>
    <w:rsid w:val="00852A69"/>
    <w:rsid w:val="00853AA4"/>
    <w:rsid w:val="008552E6"/>
    <w:rsid w:val="0085678E"/>
    <w:rsid w:val="00857A34"/>
    <w:rsid w:val="008601B9"/>
    <w:rsid w:val="008610A5"/>
    <w:rsid w:val="008630EF"/>
    <w:rsid w:val="00864332"/>
    <w:rsid w:val="00865030"/>
    <w:rsid w:val="00865474"/>
    <w:rsid w:val="00866766"/>
    <w:rsid w:val="008668A7"/>
    <w:rsid w:val="0086708C"/>
    <w:rsid w:val="008670B5"/>
    <w:rsid w:val="008709E0"/>
    <w:rsid w:val="008719C5"/>
    <w:rsid w:val="0087200A"/>
    <w:rsid w:val="0087351A"/>
    <w:rsid w:val="00874EFF"/>
    <w:rsid w:val="00876F2C"/>
    <w:rsid w:val="008816D4"/>
    <w:rsid w:val="00882617"/>
    <w:rsid w:val="0088424E"/>
    <w:rsid w:val="008864FE"/>
    <w:rsid w:val="00887D11"/>
    <w:rsid w:val="00892209"/>
    <w:rsid w:val="00892979"/>
    <w:rsid w:val="00892E32"/>
    <w:rsid w:val="00893003"/>
    <w:rsid w:val="00894D17"/>
    <w:rsid w:val="008958B0"/>
    <w:rsid w:val="00895A82"/>
    <w:rsid w:val="00896E7D"/>
    <w:rsid w:val="0089729D"/>
    <w:rsid w:val="00897D9B"/>
    <w:rsid w:val="008A099D"/>
    <w:rsid w:val="008A0D0F"/>
    <w:rsid w:val="008A148B"/>
    <w:rsid w:val="008A16DD"/>
    <w:rsid w:val="008A40EF"/>
    <w:rsid w:val="008A5E2F"/>
    <w:rsid w:val="008A640E"/>
    <w:rsid w:val="008A6623"/>
    <w:rsid w:val="008B0923"/>
    <w:rsid w:val="008B1AA4"/>
    <w:rsid w:val="008B337B"/>
    <w:rsid w:val="008B3BF5"/>
    <w:rsid w:val="008C022C"/>
    <w:rsid w:val="008C4BB2"/>
    <w:rsid w:val="008C64BC"/>
    <w:rsid w:val="008C6BF0"/>
    <w:rsid w:val="008D0D18"/>
    <w:rsid w:val="008D23F2"/>
    <w:rsid w:val="008D37D4"/>
    <w:rsid w:val="008D51E4"/>
    <w:rsid w:val="008D5207"/>
    <w:rsid w:val="008D5DEB"/>
    <w:rsid w:val="008D6001"/>
    <w:rsid w:val="008E1244"/>
    <w:rsid w:val="008E1CBD"/>
    <w:rsid w:val="008E30AF"/>
    <w:rsid w:val="008E5274"/>
    <w:rsid w:val="008E613A"/>
    <w:rsid w:val="008E647E"/>
    <w:rsid w:val="008F0698"/>
    <w:rsid w:val="008F2926"/>
    <w:rsid w:val="008F40A1"/>
    <w:rsid w:val="008F44FA"/>
    <w:rsid w:val="008F478C"/>
    <w:rsid w:val="008F47FB"/>
    <w:rsid w:val="008F6242"/>
    <w:rsid w:val="008F659F"/>
    <w:rsid w:val="008F6C46"/>
    <w:rsid w:val="008F70F1"/>
    <w:rsid w:val="008F777D"/>
    <w:rsid w:val="00901980"/>
    <w:rsid w:val="00901D43"/>
    <w:rsid w:val="009031D8"/>
    <w:rsid w:val="00904627"/>
    <w:rsid w:val="00904D89"/>
    <w:rsid w:val="00907C07"/>
    <w:rsid w:val="00907F48"/>
    <w:rsid w:val="0091067C"/>
    <w:rsid w:val="0091088D"/>
    <w:rsid w:val="009111CE"/>
    <w:rsid w:val="00911A1C"/>
    <w:rsid w:val="00912211"/>
    <w:rsid w:val="00912D23"/>
    <w:rsid w:val="00915EF1"/>
    <w:rsid w:val="00916C8E"/>
    <w:rsid w:val="009212B3"/>
    <w:rsid w:val="00921552"/>
    <w:rsid w:val="009219A0"/>
    <w:rsid w:val="00925750"/>
    <w:rsid w:val="00926922"/>
    <w:rsid w:val="00926D38"/>
    <w:rsid w:val="00926F1B"/>
    <w:rsid w:val="0092711F"/>
    <w:rsid w:val="00927338"/>
    <w:rsid w:val="00931868"/>
    <w:rsid w:val="009343DE"/>
    <w:rsid w:val="009364CA"/>
    <w:rsid w:val="009416BF"/>
    <w:rsid w:val="00943C20"/>
    <w:rsid w:val="009452B2"/>
    <w:rsid w:val="00945616"/>
    <w:rsid w:val="00945B8C"/>
    <w:rsid w:val="009469B2"/>
    <w:rsid w:val="00952AE6"/>
    <w:rsid w:val="00953A4A"/>
    <w:rsid w:val="00954550"/>
    <w:rsid w:val="00955435"/>
    <w:rsid w:val="009560C4"/>
    <w:rsid w:val="00956CC9"/>
    <w:rsid w:val="009611D6"/>
    <w:rsid w:val="00961E2C"/>
    <w:rsid w:val="009622D4"/>
    <w:rsid w:val="00962417"/>
    <w:rsid w:val="00962700"/>
    <w:rsid w:val="0096327C"/>
    <w:rsid w:val="0096525B"/>
    <w:rsid w:val="009653F4"/>
    <w:rsid w:val="0096617D"/>
    <w:rsid w:val="00966ADF"/>
    <w:rsid w:val="00970020"/>
    <w:rsid w:val="00972085"/>
    <w:rsid w:val="00973792"/>
    <w:rsid w:val="0097587B"/>
    <w:rsid w:val="00975EDB"/>
    <w:rsid w:val="009768C5"/>
    <w:rsid w:val="00976A23"/>
    <w:rsid w:val="0097707A"/>
    <w:rsid w:val="009816AC"/>
    <w:rsid w:val="00981EE7"/>
    <w:rsid w:val="0098245D"/>
    <w:rsid w:val="00982B13"/>
    <w:rsid w:val="00984374"/>
    <w:rsid w:val="00984BC2"/>
    <w:rsid w:val="0098515D"/>
    <w:rsid w:val="00986A9E"/>
    <w:rsid w:val="009901BA"/>
    <w:rsid w:val="009912FC"/>
    <w:rsid w:val="00992E7C"/>
    <w:rsid w:val="00993F5D"/>
    <w:rsid w:val="00994D7A"/>
    <w:rsid w:val="00995799"/>
    <w:rsid w:val="0099587F"/>
    <w:rsid w:val="00997CD7"/>
    <w:rsid w:val="009A078E"/>
    <w:rsid w:val="009A14FC"/>
    <w:rsid w:val="009A21AA"/>
    <w:rsid w:val="009A662D"/>
    <w:rsid w:val="009B4079"/>
    <w:rsid w:val="009B45E7"/>
    <w:rsid w:val="009B584A"/>
    <w:rsid w:val="009B5931"/>
    <w:rsid w:val="009C1A7B"/>
    <w:rsid w:val="009C21FF"/>
    <w:rsid w:val="009C2CEC"/>
    <w:rsid w:val="009C366B"/>
    <w:rsid w:val="009C3D1C"/>
    <w:rsid w:val="009C4CB4"/>
    <w:rsid w:val="009C5326"/>
    <w:rsid w:val="009C577A"/>
    <w:rsid w:val="009C5C20"/>
    <w:rsid w:val="009C5E02"/>
    <w:rsid w:val="009C63B9"/>
    <w:rsid w:val="009C6FA2"/>
    <w:rsid w:val="009C7D9D"/>
    <w:rsid w:val="009D18E1"/>
    <w:rsid w:val="009D457C"/>
    <w:rsid w:val="009D7573"/>
    <w:rsid w:val="009E2D57"/>
    <w:rsid w:val="009E5E0C"/>
    <w:rsid w:val="009F16A6"/>
    <w:rsid w:val="009F368A"/>
    <w:rsid w:val="009F43FF"/>
    <w:rsid w:val="009F474D"/>
    <w:rsid w:val="009F479A"/>
    <w:rsid w:val="009F75B9"/>
    <w:rsid w:val="009F76F6"/>
    <w:rsid w:val="009F7E4C"/>
    <w:rsid w:val="00A019E1"/>
    <w:rsid w:val="00A01F34"/>
    <w:rsid w:val="00A03FDE"/>
    <w:rsid w:val="00A0485A"/>
    <w:rsid w:val="00A053DB"/>
    <w:rsid w:val="00A06432"/>
    <w:rsid w:val="00A065C1"/>
    <w:rsid w:val="00A068A8"/>
    <w:rsid w:val="00A079AD"/>
    <w:rsid w:val="00A1098B"/>
    <w:rsid w:val="00A13B4A"/>
    <w:rsid w:val="00A2134F"/>
    <w:rsid w:val="00A21554"/>
    <w:rsid w:val="00A21DD2"/>
    <w:rsid w:val="00A2424D"/>
    <w:rsid w:val="00A244D5"/>
    <w:rsid w:val="00A25EAE"/>
    <w:rsid w:val="00A2662C"/>
    <w:rsid w:val="00A2758B"/>
    <w:rsid w:val="00A313A8"/>
    <w:rsid w:val="00A31D7A"/>
    <w:rsid w:val="00A334CA"/>
    <w:rsid w:val="00A3423B"/>
    <w:rsid w:val="00A34F6B"/>
    <w:rsid w:val="00A35EAD"/>
    <w:rsid w:val="00A4032E"/>
    <w:rsid w:val="00A4106C"/>
    <w:rsid w:val="00A4107B"/>
    <w:rsid w:val="00A41658"/>
    <w:rsid w:val="00A41D4D"/>
    <w:rsid w:val="00A4258C"/>
    <w:rsid w:val="00A4277E"/>
    <w:rsid w:val="00A43B6C"/>
    <w:rsid w:val="00A43B9F"/>
    <w:rsid w:val="00A44977"/>
    <w:rsid w:val="00A45F26"/>
    <w:rsid w:val="00A46913"/>
    <w:rsid w:val="00A47E44"/>
    <w:rsid w:val="00A50000"/>
    <w:rsid w:val="00A51BA7"/>
    <w:rsid w:val="00A520F8"/>
    <w:rsid w:val="00A53164"/>
    <w:rsid w:val="00A54B11"/>
    <w:rsid w:val="00A56435"/>
    <w:rsid w:val="00A61C40"/>
    <w:rsid w:val="00A62E78"/>
    <w:rsid w:val="00A631E0"/>
    <w:rsid w:val="00A643A3"/>
    <w:rsid w:val="00A64B9C"/>
    <w:rsid w:val="00A65060"/>
    <w:rsid w:val="00A65158"/>
    <w:rsid w:val="00A6643D"/>
    <w:rsid w:val="00A679A1"/>
    <w:rsid w:val="00A7269C"/>
    <w:rsid w:val="00A76F3A"/>
    <w:rsid w:val="00A776F0"/>
    <w:rsid w:val="00A77FFB"/>
    <w:rsid w:val="00A820C3"/>
    <w:rsid w:val="00A82337"/>
    <w:rsid w:val="00A82E39"/>
    <w:rsid w:val="00A8348E"/>
    <w:rsid w:val="00A83C7C"/>
    <w:rsid w:val="00A848BB"/>
    <w:rsid w:val="00A92CAD"/>
    <w:rsid w:val="00A9490C"/>
    <w:rsid w:val="00A95668"/>
    <w:rsid w:val="00A9580A"/>
    <w:rsid w:val="00A966C8"/>
    <w:rsid w:val="00A972C6"/>
    <w:rsid w:val="00A9775D"/>
    <w:rsid w:val="00A97DEF"/>
    <w:rsid w:val="00A97F87"/>
    <w:rsid w:val="00AA195D"/>
    <w:rsid w:val="00AA45A4"/>
    <w:rsid w:val="00AA4BA5"/>
    <w:rsid w:val="00AA674C"/>
    <w:rsid w:val="00AA68D5"/>
    <w:rsid w:val="00AB08A9"/>
    <w:rsid w:val="00AB0A7C"/>
    <w:rsid w:val="00AB0D2C"/>
    <w:rsid w:val="00AB1510"/>
    <w:rsid w:val="00AB153D"/>
    <w:rsid w:val="00AB2B1B"/>
    <w:rsid w:val="00AB37E0"/>
    <w:rsid w:val="00AB3B58"/>
    <w:rsid w:val="00AB71ED"/>
    <w:rsid w:val="00AB74FD"/>
    <w:rsid w:val="00AC56D7"/>
    <w:rsid w:val="00AC5A60"/>
    <w:rsid w:val="00AC6B1F"/>
    <w:rsid w:val="00AD39ED"/>
    <w:rsid w:val="00AD4292"/>
    <w:rsid w:val="00AD7B63"/>
    <w:rsid w:val="00AE3E4F"/>
    <w:rsid w:val="00AE51A5"/>
    <w:rsid w:val="00AE7191"/>
    <w:rsid w:val="00AE754E"/>
    <w:rsid w:val="00AF0C17"/>
    <w:rsid w:val="00AF2FCF"/>
    <w:rsid w:val="00AF36A1"/>
    <w:rsid w:val="00AF6A7F"/>
    <w:rsid w:val="00B0045E"/>
    <w:rsid w:val="00B005D6"/>
    <w:rsid w:val="00B00C60"/>
    <w:rsid w:val="00B02793"/>
    <w:rsid w:val="00B02870"/>
    <w:rsid w:val="00B03DD8"/>
    <w:rsid w:val="00B05951"/>
    <w:rsid w:val="00B1049C"/>
    <w:rsid w:val="00B10A85"/>
    <w:rsid w:val="00B11F3A"/>
    <w:rsid w:val="00B128A7"/>
    <w:rsid w:val="00B14425"/>
    <w:rsid w:val="00B20515"/>
    <w:rsid w:val="00B214FB"/>
    <w:rsid w:val="00B215E1"/>
    <w:rsid w:val="00B23312"/>
    <w:rsid w:val="00B2352C"/>
    <w:rsid w:val="00B23907"/>
    <w:rsid w:val="00B2473F"/>
    <w:rsid w:val="00B24D5A"/>
    <w:rsid w:val="00B250D0"/>
    <w:rsid w:val="00B25CFE"/>
    <w:rsid w:val="00B27FD8"/>
    <w:rsid w:val="00B30AC9"/>
    <w:rsid w:val="00B33432"/>
    <w:rsid w:val="00B34E97"/>
    <w:rsid w:val="00B35530"/>
    <w:rsid w:val="00B42617"/>
    <w:rsid w:val="00B44AAA"/>
    <w:rsid w:val="00B45898"/>
    <w:rsid w:val="00B473D1"/>
    <w:rsid w:val="00B47A70"/>
    <w:rsid w:val="00B500E4"/>
    <w:rsid w:val="00B51076"/>
    <w:rsid w:val="00B522CE"/>
    <w:rsid w:val="00B523BA"/>
    <w:rsid w:val="00B5271B"/>
    <w:rsid w:val="00B54082"/>
    <w:rsid w:val="00B54C2B"/>
    <w:rsid w:val="00B56C17"/>
    <w:rsid w:val="00B56EDA"/>
    <w:rsid w:val="00B57738"/>
    <w:rsid w:val="00B61000"/>
    <w:rsid w:val="00B611F3"/>
    <w:rsid w:val="00B62EBF"/>
    <w:rsid w:val="00B651CA"/>
    <w:rsid w:val="00B705B9"/>
    <w:rsid w:val="00B717F4"/>
    <w:rsid w:val="00B720B8"/>
    <w:rsid w:val="00B72A0C"/>
    <w:rsid w:val="00B72AD6"/>
    <w:rsid w:val="00B73F3B"/>
    <w:rsid w:val="00B74F7F"/>
    <w:rsid w:val="00B75733"/>
    <w:rsid w:val="00B7636B"/>
    <w:rsid w:val="00B7642C"/>
    <w:rsid w:val="00B77AF2"/>
    <w:rsid w:val="00B8323A"/>
    <w:rsid w:val="00B842EC"/>
    <w:rsid w:val="00B85C9F"/>
    <w:rsid w:val="00B85D7C"/>
    <w:rsid w:val="00B90D17"/>
    <w:rsid w:val="00B91944"/>
    <w:rsid w:val="00B9328C"/>
    <w:rsid w:val="00B93887"/>
    <w:rsid w:val="00B93F2F"/>
    <w:rsid w:val="00B9468B"/>
    <w:rsid w:val="00B946C5"/>
    <w:rsid w:val="00B94C45"/>
    <w:rsid w:val="00B95770"/>
    <w:rsid w:val="00B9676A"/>
    <w:rsid w:val="00B96FBA"/>
    <w:rsid w:val="00B97768"/>
    <w:rsid w:val="00BA0548"/>
    <w:rsid w:val="00BA05C9"/>
    <w:rsid w:val="00BA096B"/>
    <w:rsid w:val="00BA2215"/>
    <w:rsid w:val="00BA2573"/>
    <w:rsid w:val="00BA2E57"/>
    <w:rsid w:val="00BA34C2"/>
    <w:rsid w:val="00BA3793"/>
    <w:rsid w:val="00BA5A20"/>
    <w:rsid w:val="00BA64A2"/>
    <w:rsid w:val="00BB0E85"/>
    <w:rsid w:val="00BB2004"/>
    <w:rsid w:val="00BB36BB"/>
    <w:rsid w:val="00BB4496"/>
    <w:rsid w:val="00BB5FAC"/>
    <w:rsid w:val="00BB5FE4"/>
    <w:rsid w:val="00BB71BB"/>
    <w:rsid w:val="00BB723B"/>
    <w:rsid w:val="00BB7AE3"/>
    <w:rsid w:val="00BC05F2"/>
    <w:rsid w:val="00BC16F3"/>
    <w:rsid w:val="00BC17D7"/>
    <w:rsid w:val="00BC27D1"/>
    <w:rsid w:val="00BC3D8B"/>
    <w:rsid w:val="00BD0D18"/>
    <w:rsid w:val="00BD0E8A"/>
    <w:rsid w:val="00BD1CC1"/>
    <w:rsid w:val="00BD1F04"/>
    <w:rsid w:val="00BD33DD"/>
    <w:rsid w:val="00BD5EF7"/>
    <w:rsid w:val="00BD6BFA"/>
    <w:rsid w:val="00BD6CCB"/>
    <w:rsid w:val="00BE19A1"/>
    <w:rsid w:val="00BE39F9"/>
    <w:rsid w:val="00BE71EF"/>
    <w:rsid w:val="00BF246C"/>
    <w:rsid w:val="00BF430B"/>
    <w:rsid w:val="00C0167B"/>
    <w:rsid w:val="00C02B29"/>
    <w:rsid w:val="00C02C64"/>
    <w:rsid w:val="00C032F1"/>
    <w:rsid w:val="00C06708"/>
    <w:rsid w:val="00C10FF9"/>
    <w:rsid w:val="00C13AEE"/>
    <w:rsid w:val="00C1460B"/>
    <w:rsid w:val="00C1735F"/>
    <w:rsid w:val="00C21CDB"/>
    <w:rsid w:val="00C2469F"/>
    <w:rsid w:val="00C247A0"/>
    <w:rsid w:val="00C27A0B"/>
    <w:rsid w:val="00C30864"/>
    <w:rsid w:val="00C3090B"/>
    <w:rsid w:val="00C30EEA"/>
    <w:rsid w:val="00C31533"/>
    <w:rsid w:val="00C322D8"/>
    <w:rsid w:val="00C345E1"/>
    <w:rsid w:val="00C35CAB"/>
    <w:rsid w:val="00C413AB"/>
    <w:rsid w:val="00C41865"/>
    <w:rsid w:val="00C45341"/>
    <w:rsid w:val="00C45EFA"/>
    <w:rsid w:val="00C464E0"/>
    <w:rsid w:val="00C5014F"/>
    <w:rsid w:val="00C507B1"/>
    <w:rsid w:val="00C5092D"/>
    <w:rsid w:val="00C50A71"/>
    <w:rsid w:val="00C51C3D"/>
    <w:rsid w:val="00C52B34"/>
    <w:rsid w:val="00C5428B"/>
    <w:rsid w:val="00C565E0"/>
    <w:rsid w:val="00C57E59"/>
    <w:rsid w:val="00C6173F"/>
    <w:rsid w:val="00C61A37"/>
    <w:rsid w:val="00C61AD9"/>
    <w:rsid w:val="00C630F8"/>
    <w:rsid w:val="00C635A9"/>
    <w:rsid w:val="00C6500C"/>
    <w:rsid w:val="00C65F83"/>
    <w:rsid w:val="00C66167"/>
    <w:rsid w:val="00C667BE"/>
    <w:rsid w:val="00C66D48"/>
    <w:rsid w:val="00C7014A"/>
    <w:rsid w:val="00C70D25"/>
    <w:rsid w:val="00C713D5"/>
    <w:rsid w:val="00C714DB"/>
    <w:rsid w:val="00C731B0"/>
    <w:rsid w:val="00C752AA"/>
    <w:rsid w:val="00C7575D"/>
    <w:rsid w:val="00C773F8"/>
    <w:rsid w:val="00C81412"/>
    <w:rsid w:val="00C8213F"/>
    <w:rsid w:val="00C83ABB"/>
    <w:rsid w:val="00C8423F"/>
    <w:rsid w:val="00C85D11"/>
    <w:rsid w:val="00C86A7C"/>
    <w:rsid w:val="00C877FE"/>
    <w:rsid w:val="00C90E12"/>
    <w:rsid w:val="00C91095"/>
    <w:rsid w:val="00C9317E"/>
    <w:rsid w:val="00C960AA"/>
    <w:rsid w:val="00C9703B"/>
    <w:rsid w:val="00C97AB9"/>
    <w:rsid w:val="00CA0672"/>
    <w:rsid w:val="00CA07AE"/>
    <w:rsid w:val="00CA1E4C"/>
    <w:rsid w:val="00CA2E56"/>
    <w:rsid w:val="00CA3EB9"/>
    <w:rsid w:val="00CA42B2"/>
    <w:rsid w:val="00CA4DFB"/>
    <w:rsid w:val="00CA6E73"/>
    <w:rsid w:val="00CA7D82"/>
    <w:rsid w:val="00CB1061"/>
    <w:rsid w:val="00CB2963"/>
    <w:rsid w:val="00CB3445"/>
    <w:rsid w:val="00CB35CD"/>
    <w:rsid w:val="00CB685D"/>
    <w:rsid w:val="00CC02EE"/>
    <w:rsid w:val="00CC0AEB"/>
    <w:rsid w:val="00CC1E04"/>
    <w:rsid w:val="00CC1E41"/>
    <w:rsid w:val="00CC33D3"/>
    <w:rsid w:val="00CC38DD"/>
    <w:rsid w:val="00CC39B3"/>
    <w:rsid w:val="00CC4878"/>
    <w:rsid w:val="00CC6877"/>
    <w:rsid w:val="00CD05FB"/>
    <w:rsid w:val="00CD0AC1"/>
    <w:rsid w:val="00CD16FA"/>
    <w:rsid w:val="00CD2293"/>
    <w:rsid w:val="00CD2901"/>
    <w:rsid w:val="00CD35F5"/>
    <w:rsid w:val="00CD37D3"/>
    <w:rsid w:val="00CD4790"/>
    <w:rsid w:val="00CD47DD"/>
    <w:rsid w:val="00CD4A44"/>
    <w:rsid w:val="00CD63E8"/>
    <w:rsid w:val="00CD6B00"/>
    <w:rsid w:val="00CD7328"/>
    <w:rsid w:val="00CD7454"/>
    <w:rsid w:val="00CD7E02"/>
    <w:rsid w:val="00CE0F0F"/>
    <w:rsid w:val="00CE20C9"/>
    <w:rsid w:val="00CE6595"/>
    <w:rsid w:val="00CE7291"/>
    <w:rsid w:val="00CE7BBD"/>
    <w:rsid w:val="00CF1906"/>
    <w:rsid w:val="00CF1ADE"/>
    <w:rsid w:val="00CF2C23"/>
    <w:rsid w:val="00CF2C3D"/>
    <w:rsid w:val="00CF7C6C"/>
    <w:rsid w:val="00D016BD"/>
    <w:rsid w:val="00D02AAD"/>
    <w:rsid w:val="00D02D0F"/>
    <w:rsid w:val="00D039AA"/>
    <w:rsid w:val="00D04AE9"/>
    <w:rsid w:val="00D05E22"/>
    <w:rsid w:val="00D07B0F"/>
    <w:rsid w:val="00D11497"/>
    <w:rsid w:val="00D15169"/>
    <w:rsid w:val="00D177E5"/>
    <w:rsid w:val="00D17EEE"/>
    <w:rsid w:val="00D21192"/>
    <w:rsid w:val="00D21A32"/>
    <w:rsid w:val="00D2479D"/>
    <w:rsid w:val="00D24CEB"/>
    <w:rsid w:val="00D27087"/>
    <w:rsid w:val="00D27AE0"/>
    <w:rsid w:val="00D316F2"/>
    <w:rsid w:val="00D3390B"/>
    <w:rsid w:val="00D34693"/>
    <w:rsid w:val="00D35AF4"/>
    <w:rsid w:val="00D36239"/>
    <w:rsid w:val="00D40405"/>
    <w:rsid w:val="00D4046C"/>
    <w:rsid w:val="00D40574"/>
    <w:rsid w:val="00D41CB7"/>
    <w:rsid w:val="00D42679"/>
    <w:rsid w:val="00D4349D"/>
    <w:rsid w:val="00D43D66"/>
    <w:rsid w:val="00D449FF"/>
    <w:rsid w:val="00D45111"/>
    <w:rsid w:val="00D4703E"/>
    <w:rsid w:val="00D4713C"/>
    <w:rsid w:val="00D52C05"/>
    <w:rsid w:val="00D53ECD"/>
    <w:rsid w:val="00D55C7D"/>
    <w:rsid w:val="00D55CED"/>
    <w:rsid w:val="00D62C04"/>
    <w:rsid w:val="00D62D3F"/>
    <w:rsid w:val="00D64F7B"/>
    <w:rsid w:val="00D655B4"/>
    <w:rsid w:val="00D7079A"/>
    <w:rsid w:val="00D70C04"/>
    <w:rsid w:val="00D718B6"/>
    <w:rsid w:val="00D71C47"/>
    <w:rsid w:val="00D73829"/>
    <w:rsid w:val="00D76994"/>
    <w:rsid w:val="00D770EE"/>
    <w:rsid w:val="00D838DB"/>
    <w:rsid w:val="00D84669"/>
    <w:rsid w:val="00D8512E"/>
    <w:rsid w:val="00D855EE"/>
    <w:rsid w:val="00D85DD7"/>
    <w:rsid w:val="00D954CE"/>
    <w:rsid w:val="00D96D44"/>
    <w:rsid w:val="00D972D2"/>
    <w:rsid w:val="00DA3F2D"/>
    <w:rsid w:val="00DA574E"/>
    <w:rsid w:val="00DA6CFB"/>
    <w:rsid w:val="00DA735E"/>
    <w:rsid w:val="00DA7A2D"/>
    <w:rsid w:val="00DB1CDB"/>
    <w:rsid w:val="00DB2AB5"/>
    <w:rsid w:val="00DB3AFA"/>
    <w:rsid w:val="00DC0468"/>
    <w:rsid w:val="00DC04EA"/>
    <w:rsid w:val="00DC0707"/>
    <w:rsid w:val="00DC0A6B"/>
    <w:rsid w:val="00DC0BCE"/>
    <w:rsid w:val="00DC15F8"/>
    <w:rsid w:val="00DC2452"/>
    <w:rsid w:val="00DC274D"/>
    <w:rsid w:val="00DC2E1B"/>
    <w:rsid w:val="00DC4655"/>
    <w:rsid w:val="00DC582D"/>
    <w:rsid w:val="00DC5F2C"/>
    <w:rsid w:val="00DC6318"/>
    <w:rsid w:val="00DC758E"/>
    <w:rsid w:val="00DC77F1"/>
    <w:rsid w:val="00DD16AA"/>
    <w:rsid w:val="00DD5049"/>
    <w:rsid w:val="00DD6459"/>
    <w:rsid w:val="00DE0B87"/>
    <w:rsid w:val="00DE2947"/>
    <w:rsid w:val="00DE4BE6"/>
    <w:rsid w:val="00DE7B11"/>
    <w:rsid w:val="00DF0335"/>
    <w:rsid w:val="00DF0366"/>
    <w:rsid w:val="00DF2768"/>
    <w:rsid w:val="00DF4713"/>
    <w:rsid w:val="00DF6652"/>
    <w:rsid w:val="00DF6F89"/>
    <w:rsid w:val="00DF77AF"/>
    <w:rsid w:val="00E00B9F"/>
    <w:rsid w:val="00E01236"/>
    <w:rsid w:val="00E0310B"/>
    <w:rsid w:val="00E046F0"/>
    <w:rsid w:val="00E04E1D"/>
    <w:rsid w:val="00E060E5"/>
    <w:rsid w:val="00E11792"/>
    <w:rsid w:val="00E12B75"/>
    <w:rsid w:val="00E1381E"/>
    <w:rsid w:val="00E13B73"/>
    <w:rsid w:val="00E14B8B"/>
    <w:rsid w:val="00E14FFA"/>
    <w:rsid w:val="00E15445"/>
    <w:rsid w:val="00E15F93"/>
    <w:rsid w:val="00E1628E"/>
    <w:rsid w:val="00E21B02"/>
    <w:rsid w:val="00E2350C"/>
    <w:rsid w:val="00E2404C"/>
    <w:rsid w:val="00E254F0"/>
    <w:rsid w:val="00E27156"/>
    <w:rsid w:val="00E272D1"/>
    <w:rsid w:val="00E27686"/>
    <w:rsid w:val="00E2798B"/>
    <w:rsid w:val="00E3156B"/>
    <w:rsid w:val="00E32AC1"/>
    <w:rsid w:val="00E347AC"/>
    <w:rsid w:val="00E433DE"/>
    <w:rsid w:val="00E43FA6"/>
    <w:rsid w:val="00E44875"/>
    <w:rsid w:val="00E4511A"/>
    <w:rsid w:val="00E464C5"/>
    <w:rsid w:val="00E511DC"/>
    <w:rsid w:val="00E5371B"/>
    <w:rsid w:val="00E55212"/>
    <w:rsid w:val="00E56F2D"/>
    <w:rsid w:val="00E61F10"/>
    <w:rsid w:val="00E63DC2"/>
    <w:rsid w:val="00E649AF"/>
    <w:rsid w:val="00E72207"/>
    <w:rsid w:val="00E72778"/>
    <w:rsid w:val="00E729E8"/>
    <w:rsid w:val="00E731BB"/>
    <w:rsid w:val="00E7445B"/>
    <w:rsid w:val="00E80667"/>
    <w:rsid w:val="00E842EA"/>
    <w:rsid w:val="00E8608C"/>
    <w:rsid w:val="00E87B1B"/>
    <w:rsid w:val="00E9170E"/>
    <w:rsid w:val="00E91B36"/>
    <w:rsid w:val="00E91C56"/>
    <w:rsid w:val="00E9454E"/>
    <w:rsid w:val="00E9701E"/>
    <w:rsid w:val="00EA0886"/>
    <w:rsid w:val="00EA19F1"/>
    <w:rsid w:val="00EA2138"/>
    <w:rsid w:val="00EA2743"/>
    <w:rsid w:val="00EA30F2"/>
    <w:rsid w:val="00EA3D63"/>
    <w:rsid w:val="00EA64AB"/>
    <w:rsid w:val="00EB18B5"/>
    <w:rsid w:val="00EB256C"/>
    <w:rsid w:val="00EB260F"/>
    <w:rsid w:val="00EB348E"/>
    <w:rsid w:val="00EB6818"/>
    <w:rsid w:val="00EC16D6"/>
    <w:rsid w:val="00EC2C2E"/>
    <w:rsid w:val="00EC2CF6"/>
    <w:rsid w:val="00EC5F61"/>
    <w:rsid w:val="00ED1ACB"/>
    <w:rsid w:val="00ED1E57"/>
    <w:rsid w:val="00ED2364"/>
    <w:rsid w:val="00ED57A4"/>
    <w:rsid w:val="00ED625D"/>
    <w:rsid w:val="00ED70FD"/>
    <w:rsid w:val="00ED7B9F"/>
    <w:rsid w:val="00EE083B"/>
    <w:rsid w:val="00EE0F34"/>
    <w:rsid w:val="00EE225E"/>
    <w:rsid w:val="00EE24C9"/>
    <w:rsid w:val="00EE2CAD"/>
    <w:rsid w:val="00EE4DAA"/>
    <w:rsid w:val="00EE4DFB"/>
    <w:rsid w:val="00EE5538"/>
    <w:rsid w:val="00EE7503"/>
    <w:rsid w:val="00EF16DB"/>
    <w:rsid w:val="00EF1EF0"/>
    <w:rsid w:val="00EF2991"/>
    <w:rsid w:val="00EF56C9"/>
    <w:rsid w:val="00EF6062"/>
    <w:rsid w:val="00EF7133"/>
    <w:rsid w:val="00EF7787"/>
    <w:rsid w:val="00F018AE"/>
    <w:rsid w:val="00F02006"/>
    <w:rsid w:val="00F03C6A"/>
    <w:rsid w:val="00F04E47"/>
    <w:rsid w:val="00F051EB"/>
    <w:rsid w:val="00F06CE6"/>
    <w:rsid w:val="00F16C37"/>
    <w:rsid w:val="00F20CB7"/>
    <w:rsid w:val="00F21706"/>
    <w:rsid w:val="00F2185A"/>
    <w:rsid w:val="00F21978"/>
    <w:rsid w:val="00F2198E"/>
    <w:rsid w:val="00F224B4"/>
    <w:rsid w:val="00F2371C"/>
    <w:rsid w:val="00F308DC"/>
    <w:rsid w:val="00F32500"/>
    <w:rsid w:val="00F32652"/>
    <w:rsid w:val="00F3268D"/>
    <w:rsid w:val="00F3351E"/>
    <w:rsid w:val="00F354E2"/>
    <w:rsid w:val="00F362C7"/>
    <w:rsid w:val="00F37F40"/>
    <w:rsid w:val="00F41D40"/>
    <w:rsid w:val="00F47B7E"/>
    <w:rsid w:val="00F52F35"/>
    <w:rsid w:val="00F53AB9"/>
    <w:rsid w:val="00F5400A"/>
    <w:rsid w:val="00F543BB"/>
    <w:rsid w:val="00F544C6"/>
    <w:rsid w:val="00F55D66"/>
    <w:rsid w:val="00F55DCA"/>
    <w:rsid w:val="00F57B0D"/>
    <w:rsid w:val="00F601E6"/>
    <w:rsid w:val="00F63167"/>
    <w:rsid w:val="00F632C1"/>
    <w:rsid w:val="00F632F5"/>
    <w:rsid w:val="00F640DA"/>
    <w:rsid w:val="00F64C7D"/>
    <w:rsid w:val="00F64F29"/>
    <w:rsid w:val="00F65B76"/>
    <w:rsid w:val="00F679AD"/>
    <w:rsid w:val="00F74536"/>
    <w:rsid w:val="00F74E99"/>
    <w:rsid w:val="00F77553"/>
    <w:rsid w:val="00F813BE"/>
    <w:rsid w:val="00F81E9E"/>
    <w:rsid w:val="00F82B75"/>
    <w:rsid w:val="00F82B9D"/>
    <w:rsid w:val="00F833DA"/>
    <w:rsid w:val="00F83512"/>
    <w:rsid w:val="00F83927"/>
    <w:rsid w:val="00F85468"/>
    <w:rsid w:val="00F86FAA"/>
    <w:rsid w:val="00F874A7"/>
    <w:rsid w:val="00F9172E"/>
    <w:rsid w:val="00F932EF"/>
    <w:rsid w:val="00F94C15"/>
    <w:rsid w:val="00F950DE"/>
    <w:rsid w:val="00F954DD"/>
    <w:rsid w:val="00F9635E"/>
    <w:rsid w:val="00F96B86"/>
    <w:rsid w:val="00F9751A"/>
    <w:rsid w:val="00F97B06"/>
    <w:rsid w:val="00FA105C"/>
    <w:rsid w:val="00FA3C49"/>
    <w:rsid w:val="00FA4673"/>
    <w:rsid w:val="00FA62A8"/>
    <w:rsid w:val="00FA6616"/>
    <w:rsid w:val="00FA7349"/>
    <w:rsid w:val="00FA79A1"/>
    <w:rsid w:val="00FA7D65"/>
    <w:rsid w:val="00FB080C"/>
    <w:rsid w:val="00FB0FD3"/>
    <w:rsid w:val="00FB1133"/>
    <w:rsid w:val="00FB187D"/>
    <w:rsid w:val="00FB34B0"/>
    <w:rsid w:val="00FB3ABE"/>
    <w:rsid w:val="00FB48D8"/>
    <w:rsid w:val="00FB4CC0"/>
    <w:rsid w:val="00FB5134"/>
    <w:rsid w:val="00FB76DB"/>
    <w:rsid w:val="00FB798B"/>
    <w:rsid w:val="00FC0914"/>
    <w:rsid w:val="00FC5EA5"/>
    <w:rsid w:val="00FC742E"/>
    <w:rsid w:val="00FC77CF"/>
    <w:rsid w:val="00FD1B8D"/>
    <w:rsid w:val="00FD2597"/>
    <w:rsid w:val="00FD42DC"/>
    <w:rsid w:val="00FD483E"/>
    <w:rsid w:val="00FD557E"/>
    <w:rsid w:val="00FD66B7"/>
    <w:rsid w:val="00FE26B1"/>
    <w:rsid w:val="00FE2FDC"/>
    <w:rsid w:val="00FE3A7C"/>
    <w:rsid w:val="00FE3B0C"/>
    <w:rsid w:val="00FE55B3"/>
    <w:rsid w:val="00FE6163"/>
    <w:rsid w:val="00FE6467"/>
    <w:rsid w:val="00FF12C9"/>
    <w:rsid w:val="00FF1EFD"/>
    <w:rsid w:val="00FF46E9"/>
    <w:rsid w:val="00FF7811"/>
    <w:rsid w:val="00FF7B8A"/>
    <w:rsid w:val="0FFB145B"/>
    <w:rsid w:val="14B9170A"/>
    <w:rsid w:val="1DC50446"/>
    <w:rsid w:val="1E5BED66"/>
    <w:rsid w:val="1EF3005C"/>
    <w:rsid w:val="1F97CBE4"/>
    <w:rsid w:val="1FB7D0BC"/>
    <w:rsid w:val="1FBBD357"/>
    <w:rsid w:val="27F6C209"/>
    <w:rsid w:val="2B5FBE74"/>
    <w:rsid w:val="2B7FCEBC"/>
    <w:rsid w:val="2B993A0E"/>
    <w:rsid w:val="2BB3B173"/>
    <w:rsid w:val="2BE6845E"/>
    <w:rsid w:val="2BFE5AE5"/>
    <w:rsid w:val="2FFCB8D9"/>
    <w:rsid w:val="33FFC4C3"/>
    <w:rsid w:val="37DBA46F"/>
    <w:rsid w:val="37E5ED80"/>
    <w:rsid w:val="3B4C68F6"/>
    <w:rsid w:val="3BFB23D9"/>
    <w:rsid w:val="3C7F8DB4"/>
    <w:rsid w:val="3DE59419"/>
    <w:rsid w:val="3DFF309A"/>
    <w:rsid w:val="3EF7647C"/>
    <w:rsid w:val="3F98A45E"/>
    <w:rsid w:val="3FC93D8F"/>
    <w:rsid w:val="3FE9FC59"/>
    <w:rsid w:val="3FEF4F24"/>
    <w:rsid w:val="4F7F534F"/>
    <w:rsid w:val="5351DAAF"/>
    <w:rsid w:val="5AF7E50A"/>
    <w:rsid w:val="5B9E7D36"/>
    <w:rsid w:val="5BFDEA55"/>
    <w:rsid w:val="5DF5C176"/>
    <w:rsid w:val="5E0F4DB0"/>
    <w:rsid w:val="5EFBF0E9"/>
    <w:rsid w:val="5FBB24F8"/>
    <w:rsid w:val="5FEDC259"/>
    <w:rsid w:val="5FFAE9EF"/>
    <w:rsid w:val="5FFFBAB6"/>
    <w:rsid w:val="63199DE2"/>
    <w:rsid w:val="64FD8AB9"/>
    <w:rsid w:val="655FE52B"/>
    <w:rsid w:val="67F9A97F"/>
    <w:rsid w:val="6BFF3583"/>
    <w:rsid w:val="6CBA20A4"/>
    <w:rsid w:val="6EED8758"/>
    <w:rsid w:val="6EFB663C"/>
    <w:rsid w:val="6EFE67C4"/>
    <w:rsid w:val="6EFF1E90"/>
    <w:rsid w:val="6FDF24F1"/>
    <w:rsid w:val="72FFE94A"/>
    <w:rsid w:val="777E7309"/>
    <w:rsid w:val="77EB51E2"/>
    <w:rsid w:val="77EFDECF"/>
    <w:rsid w:val="77FABD93"/>
    <w:rsid w:val="77FFAF23"/>
    <w:rsid w:val="79D9B574"/>
    <w:rsid w:val="7A3FC214"/>
    <w:rsid w:val="7A76D56C"/>
    <w:rsid w:val="7B72772C"/>
    <w:rsid w:val="7B7F87D0"/>
    <w:rsid w:val="7BEF1C90"/>
    <w:rsid w:val="7BFD9B0C"/>
    <w:rsid w:val="7CBDA67B"/>
    <w:rsid w:val="7E37508B"/>
    <w:rsid w:val="7E55A213"/>
    <w:rsid w:val="7E93181F"/>
    <w:rsid w:val="7EBF2709"/>
    <w:rsid w:val="7ED89890"/>
    <w:rsid w:val="7F17CE5A"/>
    <w:rsid w:val="7F259810"/>
    <w:rsid w:val="7F2E3A5C"/>
    <w:rsid w:val="7F59BDC7"/>
    <w:rsid w:val="7FA1ABC8"/>
    <w:rsid w:val="7FD97353"/>
    <w:rsid w:val="7FF3640D"/>
    <w:rsid w:val="7FFED1C0"/>
    <w:rsid w:val="9CFD8375"/>
    <w:rsid w:val="9E72B2BB"/>
    <w:rsid w:val="9EBF0A0A"/>
    <w:rsid w:val="9FDF0D53"/>
    <w:rsid w:val="A47ACD79"/>
    <w:rsid w:val="A76FD897"/>
    <w:rsid w:val="B3E3602C"/>
    <w:rsid w:val="B5DD32FA"/>
    <w:rsid w:val="B67AB1B9"/>
    <w:rsid w:val="B77AC4F9"/>
    <w:rsid w:val="BCBF139C"/>
    <w:rsid w:val="BECF1F54"/>
    <w:rsid w:val="BED5319E"/>
    <w:rsid w:val="BFE64BB7"/>
    <w:rsid w:val="BFF62C11"/>
    <w:rsid w:val="C64F1589"/>
    <w:rsid w:val="CD97D69C"/>
    <w:rsid w:val="CE9B857C"/>
    <w:rsid w:val="CEEF3DBB"/>
    <w:rsid w:val="CEFF0EBD"/>
    <w:rsid w:val="CFE8E966"/>
    <w:rsid w:val="D9EED3EB"/>
    <w:rsid w:val="D9FF3B71"/>
    <w:rsid w:val="DB7D7DAC"/>
    <w:rsid w:val="DB7EDE87"/>
    <w:rsid w:val="DBEFC80B"/>
    <w:rsid w:val="DBF6277B"/>
    <w:rsid w:val="DBFCE8D1"/>
    <w:rsid w:val="DDC73B2D"/>
    <w:rsid w:val="DE7B1508"/>
    <w:rsid w:val="DEDF8321"/>
    <w:rsid w:val="DFE6E28B"/>
    <w:rsid w:val="E7ED80B1"/>
    <w:rsid w:val="EA5DA509"/>
    <w:rsid w:val="EBEE7DF7"/>
    <w:rsid w:val="EBFE47AA"/>
    <w:rsid w:val="EF75BC4E"/>
    <w:rsid w:val="F37EB620"/>
    <w:rsid w:val="F3F1C472"/>
    <w:rsid w:val="F3F7E73C"/>
    <w:rsid w:val="F5D37C90"/>
    <w:rsid w:val="F5F3B4A1"/>
    <w:rsid w:val="F7DB5381"/>
    <w:rsid w:val="F8BD1EE3"/>
    <w:rsid w:val="F94F7D75"/>
    <w:rsid w:val="FAD51B3E"/>
    <w:rsid w:val="FAFA65B4"/>
    <w:rsid w:val="FAFD923C"/>
    <w:rsid w:val="FAFEE09D"/>
    <w:rsid w:val="FB5F8BCB"/>
    <w:rsid w:val="FBBFDCCD"/>
    <w:rsid w:val="FBFFF3DA"/>
    <w:rsid w:val="FCB5C8D8"/>
    <w:rsid w:val="FCBB1ECD"/>
    <w:rsid w:val="FD67608E"/>
    <w:rsid w:val="FEDF4CCD"/>
    <w:rsid w:val="FEEF95CE"/>
    <w:rsid w:val="FF9F508E"/>
    <w:rsid w:val="FFDB8FEF"/>
    <w:rsid w:val="FFDF3888"/>
    <w:rsid w:val="FFE61844"/>
    <w:rsid w:val="FFFD0BEE"/>
    <w:rsid w:val="FFFF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2"/>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unhideWhenUsed/>
    <w:qFormat/>
    <w:uiPriority w:val="0"/>
  </w:style>
  <w:style w:type="paragraph" w:styleId="7">
    <w:name w:val="toc 7"/>
    <w:basedOn w:val="1"/>
    <w:next w:val="1"/>
    <w:unhideWhenUsed/>
    <w:qFormat/>
    <w:uiPriority w:val="39"/>
    <w:pPr>
      <w:ind w:left="2520" w:leftChars="1200"/>
    </w:pPr>
    <w:rPr>
      <w:rFonts w:asciiTheme="minorHAnsi" w:hAnsiTheme="minorHAnsi" w:eastAsiaTheme="minorEastAsia" w:cstheme="minorBidi"/>
    </w:rPr>
  </w:style>
  <w:style w:type="paragraph" w:styleId="8">
    <w:name w:val="annotation text"/>
    <w:basedOn w:val="1"/>
    <w:link w:val="38"/>
    <w:unhideWhenUsed/>
    <w:qFormat/>
    <w:uiPriority w:val="99"/>
    <w:pPr>
      <w:jc w:val="left"/>
    </w:pPr>
  </w:style>
  <w:style w:type="paragraph" w:styleId="9">
    <w:name w:val="Salutation"/>
    <w:basedOn w:val="1"/>
    <w:next w:val="1"/>
    <w:link w:val="45"/>
    <w:unhideWhenUsed/>
    <w:qFormat/>
    <w:uiPriority w:val="99"/>
    <w:rPr>
      <w:rFonts w:ascii="仿宋" w:hAnsi="仿宋" w:eastAsia="仿宋" w:cstheme="minorBidi"/>
      <w:sz w:val="30"/>
      <w:szCs w:val="30"/>
    </w:rPr>
  </w:style>
  <w:style w:type="paragraph" w:styleId="10">
    <w:name w:val="Closing"/>
    <w:basedOn w:val="1"/>
    <w:link w:val="46"/>
    <w:unhideWhenUsed/>
    <w:qFormat/>
    <w:uiPriority w:val="99"/>
    <w:pPr>
      <w:ind w:left="100" w:leftChars="2100"/>
    </w:pPr>
    <w:rPr>
      <w:rFonts w:ascii="仿宋" w:hAnsi="仿宋" w:eastAsia="仿宋" w:cstheme="minorBidi"/>
      <w:sz w:val="30"/>
      <w:szCs w:val="30"/>
    </w:r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unhideWhenUsed/>
    <w:qFormat/>
    <w:uiPriority w:val="39"/>
    <w:pPr>
      <w:ind w:left="840" w:leftChars="400"/>
    </w:pPr>
    <w:rPr>
      <w:rFonts w:asciiTheme="minorHAnsi" w:hAnsiTheme="minorHAnsi" w:eastAsiaTheme="minorEastAsia" w:cstheme="minorBidi"/>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Date"/>
    <w:basedOn w:val="1"/>
    <w:next w:val="1"/>
    <w:link w:val="56"/>
    <w:semiHidden/>
    <w:unhideWhenUsed/>
    <w:qFormat/>
    <w:uiPriority w:val="99"/>
    <w:pPr>
      <w:ind w:left="100" w:leftChars="2500"/>
    </w:pPr>
  </w:style>
  <w:style w:type="paragraph" w:styleId="15">
    <w:name w:val="Balloon Text"/>
    <w:basedOn w:val="1"/>
    <w:link w:val="36"/>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pPr>
    <w:rPr>
      <w:rFonts w:ascii="黑体" w:hAnsi="黑体" w:eastAsia="黑体" w:cs="Times New Roman"/>
      <w:sz w:val="32"/>
      <w:szCs w:val="32"/>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tabs>
        <w:tab w:val="right" w:leader="dot" w:pos="8296"/>
      </w:tabs>
      <w:adjustRightInd w:val="0"/>
      <w:snapToGrid w:val="0"/>
      <w:spacing w:line="500" w:lineRule="exact"/>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8"/>
    <w:next w:val="8"/>
    <w:link w:val="39"/>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页眉 Char"/>
    <w:basedOn w:val="27"/>
    <w:link w:val="17"/>
    <w:qFormat/>
    <w:uiPriority w:val="99"/>
    <w:rPr>
      <w:sz w:val="18"/>
      <w:szCs w:val="18"/>
    </w:rPr>
  </w:style>
  <w:style w:type="character" w:customStyle="1" w:styleId="31">
    <w:name w:val="页脚 Char"/>
    <w:basedOn w:val="27"/>
    <w:link w:val="16"/>
    <w:qFormat/>
    <w:uiPriority w:val="99"/>
    <w:rPr>
      <w:sz w:val="18"/>
      <w:szCs w:val="18"/>
    </w:rPr>
  </w:style>
  <w:style w:type="character" w:customStyle="1" w:styleId="32">
    <w:name w:val="标题 1 Char"/>
    <w:basedOn w:val="27"/>
    <w:link w:val="4"/>
    <w:qFormat/>
    <w:uiPriority w:val="9"/>
    <w:rPr>
      <w:rFonts w:ascii="Calibri" w:hAnsi="Calibri" w:eastAsia="宋体" w:cs="黑体"/>
      <w:b/>
      <w:bCs/>
      <w:kern w:val="44"/>
      <w:sz w:val="44"/>
      <w:szCs w:val="44"/>
    </w:rPr>
  </w:style>
  <w:style w:type="paragraph" w:styleId="33">
    <w:name w:val="List Paragraph"/>
    <w:basedOn w:val="1"/>
    <w:link w:val="47"/>
    <w:qFormat/>
    <w:uiPriority w:val="34"/>
    <w:pPr>
      <w:ind w:firstLine="420" w:firstLineChars="200"/>
    </w:pPr>
    <w:rPr>
      <w:rFonts w:asciiTheme="minorHAnsi" w:hAnsiTheme="minorHAnsi" w:eastAsiaTheme="minorEastAsia" w:cstheme="minorBidi"/>
    </w:rPr>
  </w:style>
  <w:style w:type="paragraph" w:customStyle="1" w:styleId="34">
    <w:name w:val="目录"/>
    <w:basedOn w:val="1"/>
    <w:link w:val="35"/>
    <w:qFormat/>
    <w:uiPriority w:val="0"/>
    <w:pPr>
      <w:jc w:val="center"/>
    </w:pPr>
    <w:rPr>
      <w:rFonts w:ascii="宋体" w:hAnsi="宋体" w:cs="Times New Roman"/>
      <w:b/>
      <w:sz w:val="44"/>
    </w:rPr>
  </w:style>
  <w:style w:type="character" w:customStyle="1" w:styleId="35">
    <w:name w:val="目录 Char"/>
    <w:basedOn w:val="27"/>
    <w:link w:val="34"/>
    <w:qFormat/>
    <w:uiPriority w:val="0"/>
    <w:rPr>
      <w:rFonts w:ascii="宋体" w:hAnsi="宋体" w:eastAsia="宋体" w:cs="Times New Roman"/>
      <w:b/>
      <w:sz w:val="44"/>
    </w:rPr>
  </w:style>
  <w:style w:type="character" w:customStyle="1" w:styleId="36">
    <w:name w:val="批注框文本 Char"/>
    <w:basedOn w:val="27"/>
    <w:link w:val="15"/>
    <w:semiHidden/>
    <w:qFormat/>
    <w:uiPriority w:val="99"/>
    <w:rPr>
      <w:rFonts w:ascii="Calibri" w:hAnsi="Calibri" w:eastAsia="宋体" w:cs="黑体"/>
      <w:sz w:val="18"/>
      <w:szCs w:val="18"/>
    </w:rPr>
  </w:style>
  <w:style w:type="character" w:customStyle="1" w:styleId="37">
    <w:name w:val="标题 2 Char"/>
    <w:basedOn w:val="27"/>
    <w:link w:val="5"/>
    <w:qFormat/>
    <w:uiPriority w:val="9"/>
    <w:rPr>
      <w:rFonts w:asciiTheme="majorHAnsi" w:hAnsiTheme="majorHAnsi" w:eastAsiaTheme="majorEastAsia" w:cstheme="majorBidi"/>
      <w:b/>
      <w:bCs/>
      <w:sz w:val="32"/>
      <w:szCs w:val="32"/>
    </w:rPr>
  </w:style>
  <w:style w:type="character" w:customStyle="1" w:styleId="38">
    <w:name w:val="批注文字 Char"/>
    <w:basedOn w:val="27"/>
    <w:link w:val="8"/>
    <w:qFormat/>
    <w:uiPriority w:val="99"/>
    <w:rPr>
      <w:rFonts w:ascii="Calibri" w:hAnsi="Calibri" w:eastAsia="宋体" w:cs="黑体"/>
    </w:rPr>
  </w:style>
  <w:style w:type="character" w:customStyle="1" w:styleId="39">
    <w:name w:val="批注主题 Char"/>
    <w:basedOn w:val="38"/>
    <w:link w:val="24"/>
    <w:semiHidden/>
    <w:qFormat/>
    <w:uiPriority w:val="99"/>
    <w:rPr>
      <w:rFonts w:ascii="Calibri" w:hAnsi="Calibri" w:eastAsia="宋体" w:cs="黑体"/>
      <w:b/>
      <w:bCs/>
    </w:rPr>
  </w:style>
  <w:style w:type="table" w:customStyle="1" w:styleId="40">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标题 3 Char"/>
    <w:basedOn w:val="27"/>
    <w:link w:val="6"/>
    <w:qFormat/>
    <w:uiPriority w:val="0"/>
    <w:rPr>
      <w:rFonts w:ascii="Times New Roman" w:hAnsi="Times New Roman" w:eastAsia="宋体" w:cs="Times New Roman"/>
      <w:b/>
      <w:bCs/>
      <w:sz w:val="32"/>
      <w:szCs w:val="32"/>
    </w:rPr>
  </w:style>
  <w:style w:type="table" w:customStyle="1" w:styleId="43">
    <w:name w:val="网格型3"/>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称呼 Char"/>
    <w:basedOn w:val="27"/>
    <w:link w:val="9"/>
    <w:qFormat/>
    <w:uiPriority w:val="99"/>
    <w:rPr>
      <w:rFonts w:ascii="仿宋" w:hAnsi="仿宋" w:eastAsia="仿宋"/>
      <w:sz w:val="30"/>
      <w:szCs w:val="30"/>
    </w:rPr>
  </w:style>
  <w:style w:type="character" w:customStyle="1" w:styleId="46">
    <w:name w:val="结束语 Char"/>
    <w:basedOn w:val="27"/>
    <w:link w:val="10"/>
    <w:qFormat/>
    <w:uiPriority w:val="99"/>
    <w:rPr>
      <w:rFonts w:ascii="仿宋" w:hAnsi="仿宋" w:eastAsia="仿宋"/>
      <w:sz w:val="30"/>
      <w:szCs w:val="30"/>
    </w:rPr>
  </w:style>
  <w:style w:type="character" w:customStyle="1" w:styleId="47">
    <w:name w:val="列出段落 Char"/>
    <w:link w:val="33"/>
    <w:qFormat/>
    <w:uiPriority w:val="0"/>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50">
    <w:name w:val="网格型4"/>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5"/>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网格型6"/>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样式6"/>
    <w:basedOn w:val="1"/>
    <w:qFormat/>
    <w:uiPriority w:val="0"/>
    <w:pPr>
      <w:keepNext/>
      <w:keepLines/>
      <w:numPr>
        <w:ilvl w:val="0"/>
        <w:numId w:val="1"/>
      </w:numPr>
      <w:tabs>
        <w:tab w:val="left" w:pos="1418"/>
      </w:tabs>
      <w:adjustRightInd w:val="0"/>
      <w:spacing w:line="560" w:lineRule="exact"/>
      <w:ind w:left="420"/>
      <w:jc w:val="center"/>
      <w:textAlignment w:val="baseline"/>
      <w:outlineLvl w:val="0"/>
    </w:pPr>
    <w:rPr>
      <w:rFonts w:ascii="黑体" w:hAnsi="Arial Unicode MS" w:eastAsia="黑体" w:cs="Arial Unicode MS"/>
      <w:bCs/>
      <w:kern w:val="44"/>
      <w:sz w:val="32"/>
      <w:szCs w:val="32"/>
    </w:rPr>
  </w:style>
  <w:style w:type="table" w:customStyle="1" w:styleId="54">
    <w:name w:val="网格型7"/>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5">
    <w:name w:val="网格型8"/>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6">
    <w:name w:val="日期 Char"/>
    <w:basedOn w:val="27"/>
    <w:link w:val="14"/>
    <w:semiHidden/>
    <w:qFormat/>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19062</Words>
  <Characters>20733</Characters>
  <Lines>167</Lines>
  <Paragraphs>47</Paragraphs>
  <TotalTime>1</TotalTime>
  <ScaleCrop>false</ScaleCrop>
  <LinksUpToDate>false</LinksUpToDate>
  <CharactersWithSpaces>21256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2023-08-20T16:10:00Z</dcterms:created>
  <dc:creator>杨媛媛yyy</dc:creator>
  <cp:lastModifiedBy>gaoduo</cp:lastModifiedBy>
  <cp:lastPrinted>2023-08-20T22:08:00Z</cp:lastPrinted>
  <dcterms:modified xsi:type="dcterms:W3CDTF">2023-08-21T18:48:36Z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C996FC73F0429B77048CA264F97E5740_42</vt:lpwstr>
  </property>
</Properties>
</file>