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02"/>
        <w:jc w:val="left"/>
        <w:rPr>
          <w:rFonts w:ascii="仿宋_GB2312" w:hAnsi="微软雅黑" w:eastAsia="仿宋_GB2312"/>
          <w:b/>
          <w:color w:val="000000"/>
          <w:sz w:val="30"/>
          <w:szCs w:val="30"/>
        </w:rPr>
      </w:pPr>
    </w:p>
    <w:p>
      <w:pPr>
        <w:spacing w:line="620" w:lineRule="exact"/>
        <w:jc w:val="center"/>
        <w:rPr>
          <w:rFonts w:ascii="方正大标宋简体" w:eastAsia="方正大标宋简体"/>
          <w:sz w:val="44"/>
          <w:szCs w:val="44"/>
        </w:rPr>
      </w:pPr>
      <w:r>
        <w:rPr>
          <w:rFonts w:hint="eastAsia" w:ascii="方正大标宋简体" w:eastAsia="方正大标宋简体"/>
          <w:sz w:val="44"/>
          <w:szCs w:val="44"/>
        </w:rPr>
        <w:t>北京证券交易所上市公司股份协议转让</w:t>
      </w:r>
    </w:p>
    <w:p>
      <w:pPr>
        <w:spacing w:line="620" w:lineRule="exact"/>
        <w:jc w:val="center"/>
        <w:rPr>
          <w:rFonts w:ascii="方正大标宋简体" w:eastAsia="方正大标宋简体"/>
          <w:sz w:val="44"/>
          <w:szCs w:val="44"/>
        </w:rPr>
      </w:pPr>
      <w:r>
        <w:rPr>
          <w:rFonts w:hint="eastAsia" w:ascii="方正大标宋简体" w:eastAsia="方正大标宋简体"/>
          <w:sz w:val="44"/>
          <w:szCs w:val="44"/>
        </w:rPr>
        <w:t>业务办理指引</w:t>
      </w:r>
    </w:p>
    <w:p>
      <w:pPr>
        <w:keepNext w:val="0"/>
        <w:keepLines w:val="0"/>
        <w:pageBreakBefore w:val="0"/>
        <w:widowControl w:val="0"/>
        <w:kinsoku/>
        <w:wordWrap/>
        <w:overflowPunct/>
        <w:topLinePunct w:val="0"/>
        <w:autoSpaceDE/>
        <w:autoSpaceDN/>
        <w:bidi w:val="0"/>
        <w:adjustRightInd/>
        <w:snapToGrid/>
        <w:spacing w:before="156" w:beforeLines="50" w:after="157" w:afterLines="50" w:line="600" w:lineRule="exact"/>
        <w:ind w:firstLine="601"/>
        <w:textAlignment w:val="auto"/>
        <w:rPr>
          <w:rFonts w:ascii="方正大标宋简体" w:eastAsia="方正大标宋简体"/>
          <w:sz w:val="44"/>
          <w:szCs w:val="44"/>
        </w:rPr>
      </w:pPr>
      <w:r>
        <w:rPr>
          <w:rFonts w:hint="eastAsia" w:ascii="楷体" w:hAnsi="楷体" w:eastAsia="楷体"/>
          <w:sz w:val="30"/>
          <w:szCs w:val="30"/>
        </w:rPr>
        <w:t>（2021年11月2日</w:t>
      </w:r>
      <w:r>
        <w:rPr>
          <w:rFonts w:ascii="楷体" w:hAnsi="楷体" w:eastAsia="楷体"/>
          <w:sz w:val="30"/>
          <w:szCs w:val="30"/>
        </w:rPr>
        <w:t>发布，</w:t>
      </w:r>
      <w:r>
        <w:rPr>
          <w:rFonts w:hint="eastAsia" w:ascii="楷体" w:hAnsi="楷体" w:eastAsia="楷体"/>
          <w:sz w:val="30"/>
          <w:szCs w:val="30"/>
        </w:rPr>
        <w:t>2023年7月21日</w:t>
      </w:r>
      <w:r>
        <w:rPr>
          <w:rFonts w:ascii="楷体" w:hAnsi="楷体" w:eastAsia="楷体"/>
          <w:sz w:val="30"/>
          <w:szCs w:val="30"/>
        </w:rPr>
        <w:t>第一次修订</w:t>
      </w:r>
      <w:r>
        <w:rPr>
          <w:rFonts w:hint="eastAsia" w:ascii="楷体" w:hAnsi="楷体" w:eastAsia="楷体"/>
          <w:sz w:val="30"/>
          <w:szCs w:val="30"/>
        </w:rPr>
        <w:t>）</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为了规范北京证券交易所（以下简称本所）上市公司股份协议转让业务（以下简称协议转让），明确业务受理要求和办理程序，提升市场服务水平，依</w:t>
      </w:r>
      <w:bookmarkStart w:id="0" w:name="_GoBack"/>
      <w:bookmarkEnd w:id="0"/>
      <w:r>
        <w:rPr>
          <w:rFonts w:hint="eastAsia" w:ascii="仿宋" w:hAnsi="仿宋" w:eastAsia="仿宋"/>
          <w:sz w:val="32"/>
          <w:szCs w:val="32"/>
        </w:rPr>
        <w:t>据《北京证券交易所交易规则（试行）》（以下简称《交易规则》）、《北京证券交易所上市公司股份协议转让细则》（以下简称《协议转让细则》）等有关规定，制定本指引。</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转让双方依据依法订立的协议，办理本所上市公司股份协议转让，适用本指引。</w:t>
      </w:r>
    </w:p>
    <w:p>
      <w:pPr>
        <w:pStyle w:val="16"/>
        <w:spacing w:line="620" w:lineRule="exact"/>
        <w:ind w:firstLine="64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转让双方在本所办理上市公司股份协议转让，应当遵守法律、</w:t>
      </w:r>
      <w:r>
        <w:rPr>
          <w:rFonts w:ascii="仿宋" w:hAnsi="仿宋" w:eastAsia="仿宋"/>
          <w:sz w:val="32"/>
          <w:szCs w:val="32"/>
        </w:rPr>
        <w:t>行政</w:t>
      </w:r>
      <w:r>
        <w:rPr>
          <w:rFonts w:hint="eastAsia" w:ascii="仿宋" w:hAnsi="仿宋" w:eastAsia="仿宋"/>
          <w:sz w:val="32"/>
          <w:szCs w:val="32"/>
        </w:rPr>
        <w:t>法规、部门</w:t>
      </w:r>
      <w:r>
        <w:rPr>
          <w:rFonts w:ascii="仿宋" w:hAnsi="仿宋" w:eastAsia="仿宋"/>
          <w:sz w:val="32"/>
          <w:szCs w:val="32"/>
        </w:rPr>
        <w:t>规章</w:t>
      </w:r>
      <w:r>
        <w:rPr>
          <w:rFonts w:hint="eastAsia" w:ascii="仿宋" w:hAnsi="仿宋" w:eastAsia="仿宋"/>
          <w:sz w:val="32"/>
          <w:szCs w:val="32"/>
        </w:rPr>
        <w:t>和</w:t>
      </w:r>
      <w:r>
        <w:rPr>
          <w:rFonts w:ascii="仿宋" w:hAnsi="仿宋" w:eastAsia="仿宋"/>
          <w:sz w:val="32"/>
          <w:szCs w:val="32"/>
        </w:rPr>
        <w:t>规范性文件</w:t>
      </w:r>
      <w:r>
        <w:rPr>
          <w:rFonts w:hint="eastAsia" w:ascii="仿宋" w:hAnsi="仿宋" w:eastAsia="仿宋"/>
          <w:sz w:val="32"/>
          <w:szCs w:val="32"/>
        </w:rPr>
        <w:t>（以下</w:t>
      </w:r>
      <w:r>
        <w:rPr>
          <w:rFonts w:ascii="仿宋" w:hAnsi="仿宋" w:eastAsia="仿宋"/>
          <w:sz w:val="32"/>
          <w:szCs w:val="32"/>
        </w:rPr>
        <w:t>统称法律法规</w:t>
      </w:r>
      <w:r>
        <w:rPr>
          <w:rFonts w:hint="eastAsia" w:ascii="仿宋" w:hAnsi="仿宋" w:eastAsia="仿宋"/>
          <w:sz w:val="32"/>
          <w:szCs w:val="32"/>
        </w:rPr>
        <w:t>）及本所业务规则的相关规定，不得违反转让双方或任何一方作出的承诺。</w:t>
      </w:r>
    </w:p>
    <w:p>
      <w:pPr>
        <w:pStyle w:val="16"/>
        <w:spacing w:line="620" w:lineRule="exact"/>
        <w:ind w:firstLine="640"/>
        <w:rPr>
          <w:rFonts w:ascii="仿宋" w:hAnsi="仿宋" w:eastAsia="仿宋"/>
          <w:sz w:val="32"/>
          <w:szCs w:val="32"/>
        </w:rPr>
      </w:pPr>
      <w:r>
        <w:rPr>
          <w:rFonts w:hint="eastAsia" w:ascii="仿宋" w:hAnsi="仿宋" w:eastAsia="仿宋"/>
          <w:sz w:val="32"/>
          <w:szCs w:val="32"/>
        </w:rPr>
        <w:t>转让双方保证向本所提交的办理材料真实、准确、完整、合法合规，保证拟转让的股份为依法取得、有权处分的资产，且已根据相关规定履行相应的审批或备案程序，并自行承担协议转让的风险和与之有关的法律责任。</w:t>
      </w:r>
    </w:p>
    <w:p>
      <w:pPr>
        <w:pStyle w:val="16"/>
        <w:spacing w:line="620" w:lineRule="exact"/>
        <w:ind w:firstLine="64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本所依据《协议转让细则》及本指引的规定办理协议转让，对转让双方提交的办理材料进行形式审核，并对符合条件的协议转让出具确认意见。</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 xml:space="preserve">第五条 </w:t>
      </w:r>
      <w:r>
        <w:rPr>
          <w:rFonts w:ascii="黑体" w:hAnsi="黑体" w:eastAsia="黑体"/>
          <w:sz w:val="32"/>
          <w:szCs w:val="32"/>
        </w:rPr>
        <w:t xml:space="preserve"> </w:t>
      </w:r>
      <w:r>
        <w:rPr>
          <w:rFonts w:ascii="仿宋" w:hAnsi="仿宋" w:eastAsia="仿宋"/>
          <w:sz w:val="32"/>
          <w:szCs w:val="32"/>
        </w:rPr>
        <w:t>具有以下情形之一的，可以向本所提交协议转让办理材料：</w:t>
      </w:r>
    </w:p>
    <w:p>
      <w:pPr>
        <w:tabs>
          <w:tab w:val="left" w:pos="1980"/>
        </w:tabs>
        <w:spacing w:line="620" w:lineRule="exact"/>
        <w:ind w:firstLine="640" w:firstLineChars="200"/>
        <w:rPr>
          <w:rFonts w:eastAsia="仿宋"/>
          <w:sz w:val="32"/>
          <w:szCs w:val="32"/>
        </w:rPr>
      </w:pPr>
      <w:r>
        <w:rPr>
          <w:rFonts w:hint="eastAsia" w:ascii="仿宋" w:hAnsi="仿宋" w:eastAsia="仿宋"/>
          <w:sz w:val="32"/>
          <w:szCs w:val="32"/>
        </w:rPr>
        <w:t>（一）单个受让方受让的股份数量不低于上市公司境内外发行股份总数</w:t>
      </w:r>
      <w:r>
        <w:rPr>
          <w:rFonts w:eastAsia="仿宋"/>
          <w:sz w:val="32"/>
          <w:szCs w:val="32"/>
        </w:rPr>
        <w:t>5%的协议转让；</w:t>
      </w:r>
    </w:p>
    <w:p>
      <w:pPr>
        <w:tabs>
          <w:tab w:val="left" w:pos="1980"/>
        </w:tabs>
        <w:spacing w:line="620" w:lineRule="exact"/>
        <w:ind w:firstLine="640" w:firstLineChars="200"/>
        <w:rPr>
          <w:rFonts w:ascii="仿宋" w:hAnsi="仿宋" w:eastAsia="仿宋"/>
          <w:sz w:val="32"/>
          <w:szCs w:val="32"/>
        </w:rPr>
      </w:pPr>
      <w:r>
        <w:rPr>
          <w:rFonts w:eastAsia="仿宋"/>
          <w:sz w:val="32"/>
          <w:szCs w:val="32"/>
        </w:rPr>
        <w:t>（二）</w:t>
      </w:r>
      <w:r>
        <w:rPr>
          <w:rStyle w:val="22"/>
          <w:rFonts w:hint="default" w:ascii="Times New Roman" w:hAnsi="Times New Roman"/>
        </w:rPr>
        <w:t>因自然人、法人或其他主体对公司持股50%以上，或根据中国证券监督管理委员会（以下简称中国证监会）</w:t>
      </w:r>
      <w:r>
        <w:rPr>
          <w:rStyle w:val="22"/>
          <w:rFonts w:hint="default"/>
        </w:rPr>
        <w:t>有关规定构成实际控制关系或均受同一控制人所控制的协议转让</w:t>
      </w:r>
      <w:r>
        <w:rPr>
          <w:rFonts w:hint="eastAsia" w:ascii="仿宋" w:hAnsi="仿宋" w:eastAsia="仿宋"/>
          <w:sz w:val="32"/>
          <w:szCs w:val="32"/>
        </w:rPr>
        <w:t>；</w:t>
      </w:r>
    </w:p>
    <w:p>
      <w:pPr>
        <w:tabs>
          <w:tab w:val="left" w:pos="1980"/>
        </w:tabs>
        <w:spacing w:line="620" w:lineRule="exact"/>
        <w:ind w:firstLine="640" w:firstLineChars="200"/>
        <w:rPr>
          <w:rFonts w:ascii="仿宋" w:hAnsi="仿宋" w:eastAsia="仿宋"/>
          <w:sz w:val="32"/>
          <w:szCs w:val="32"/>
        </w:rPr>
      </w:pPr>
      <w:r>
        <w:rPr>
          <w:rFonts w:hint="eastAsia" w:ascii="仿宋" w:hAnsi="仿宋" w:eastAsia="仿宋"/>
          <w:sz w:val="32"/>
          <w:szCs w:val="32"/>
        </w:rPr>
        <w:t>（三）外国投资者战略投资上市公司所涉及的协议转让；</w:t>
      </w:r>
    </w:p>
    <w:p>
      <w:pPr>
        <w:tabs>
          <w:tab w:val="left" w:pos="1980"/>
        </w:tabs>
        <w:spacing w:line="620" w:lineRule="exact"/>
        <w:ind w:firstLine="640" w:firstLineChars="200"/>
        <w:rPr>
          <w:rFonts w:ascii="仿宋" w:hAnsi="仿宋" w:eastAsia="仿宋"/>
          <w:sz w:val="32"/>
          <w:szCs w:val="32"/>
        </w:rPr>
      </w:pPr>
      <w:r>
        <w:rPr>
          <w:rFonts w:hint="eastAsia" w:ascii="仿宋" w:hAnsi="仿宋" w:eastAsia="仿宋"/>
          <w:sz w:val="32"/>
          <w:szCs w:val="32"/>
        </w:rPr>
        <w:t>（四）按照已披露的通过全国中小企业</w:t>
      </w:r>
      <w:r>
        <w:rPr>
          <w:rFonts w:ascii="仿宋" w:hAnsi="仿宋" w:eastAsia="仿宋"/>
          <w:sz w:val="32"/>
          <w:szCs w:val="32"/>
        </w:rPr>
        <w:t>股份转让系统</w:t>
      </w:r>
      <w:r>
        <w:rPr>
          <w:rFonts w:hint="eastAsia" w:ascii="仿宋" w:hAnsi="仿宋" w:eastAsia="仿宋"/>
          <w:sz w:val="32"/>
          <w:szCs w:val="32"/>
        </w:rPr>
        <w:t>或本所备案、审查或审核的《公开转让说明书》《股票发行情况报告书》《重大资产重组报告书》《收购报告书》《招股说明书》等文件中股东间业绩承诺及补偿等特殊条款，特定投资者之间以事先约定的价格进行的协议转让；</w:t>
      </w:r>
    </w:p>
    <w:p>
      <w:pPr>
        <w:tabs>
          <w:tab w:val="left" w:pos="1980"/>
        </w:tabs>
        <w:spacing w:line="620" w:lineRule="exact"/>
        <w:ind w:firstLine="640" w:firstLineChars="200"/>
        <w:rPr>
          <w:rFonts w:ascii="仿宋" w:hAnsi="仿宋" w:eastAsia="仿宋"/>
          <w:sz w:val="32"/>
          <w:szCs w:val="32"/>
        </w:rPr>
      </w:pPr>
      <w:r>
        <w:rPr>
          <w:rFonts w:hint="eastAsia" w:ascii="仿宋" w:hAnsi="仿宋" w:eastAsia="仿宋"/>
          <w:sz w:val="32"/>
          <w:szCs w:val="32"/>
        </w:rPr>
        <w:t>（五）行政划转上市公司股份；</w:t>
      </w:r>
    </w:p>
    <w:p>
      <w:pPr>
        <w:spacing w:line="620" w:lineRule="exact"/>
        <w:ind w:firstLine="640" w:firstLineChars="200"/>
        <w:rPr>
          <w:rFonts w:ascii="仿宋" w:hAnsi="仿宋" w:eastAsia="仿宋"/>
          <w:sz w:val="32"/>
          <w:szCs w:val="32"/>
          <w:u w:val="single"/>
        </w:rPr>
      </w:pPr>
      <w:r>
        <w:rPr>
          <w:rFonts w:hint="eastAsia" w:ascii="仿宋" w:hAnsi="仿宋" w:eastAsia="仿宋"/>
          <w:sz w:val="32"/>
          <w:szCs w:val="32"/>
        </w:rPr>
        <w:t>（六）本所和</w:t>
      </w:r>
      <w:r>
        <w:rPr>
          <w:rFonts w:eastAsia="仿宋"/>
          <w:sz w:val="32"/>
          <w:szCs w:val="32"/>
        </w:rPr>
        <w:t>中国</w:t>
      </w:r>
      <w:r>
        <w:rPr>
          <w:rFonts w:hint="eastAsia" w:eastAsia="仿宋"/>
          <w:sz w:val="32"/>
          <w:szCs w:val="32"/>
        </w:rPr>
        <w:t>证券</w:t>
      </w:r>
      <w:r>
        <w:rPr>
          <w:rFonts w:eastAsia="仿宋"/>
          <w:sz w:val="32"/>
          <w:szCs w:val="32"/>
        </w:rPr>
        <w:t>登记结算</w:t>
      </w:r>
      <w:r>
        <w:rPr>
          <w:rFonts w:hint="eastAsia" w:eastAsia="仿宋"/>
          <w:sz w:val="32"/>
          <w:szCs w:val="32"/>
        </w:rPr>
        <w:t>有限</w:t>
      </w:r>
      <w:r>
        <w:rPr>
          <w:rFonts w:eastAsia="仿宋"/>
          <w:sz w:val="32"/>
          <w:szCs w:val="32"/>
        </w:rPr>
        <w:t>责任</w:t>
      </w:r>
      <w:r>
        <w:rPr>
          <w:rFonts w:hint="eastAsia" w:eastAsia="仿宋"/>
          <w:sz w:val="32"/>
          <w:szCs w:val="32"/>
        </w:rPr>
        <w:t>公司（以下</w:t>
      </w:r>
      <w:r>
        <w:rPr>
          <w:rFonts w:eastAsia="仿宋"/>
          <w:sz w:val="32"/>
          <w:szCs w:val="32"/>
        </w:rPr>
        <w:t>简称中国结算</w:t>
      </w:r>
      <w:r>
        <w:rPr>
          <w:rFonts w:hint="eastAsia" w:eastAsia="仿宋"/>
          <w:sz w:val="32"/>
          <w:szCs w:val="32"/>
        </w:rPr>
        <w:t>）</w:t>
      </w:r>
      <w:r>
        <w:rPr>
          <w:rFonts w:ascii="仿宋" w:hAnsi="仿宋" w:eastAsia="仿宋"/>
          <w:sz w:val="32"/>
          <w:szCs w:val="32"/>
        </w:rPr>
        <w:t>认定的其他情形</w:t>
      </w:r>
      <w:r>
        <w:rPr>
          <w:rFonts w:hint="eastAsia" w:ascii="仿宋" w:hAnsi="仿宋" w:eastAsia="仿宋"/>
          <w:sz w:val="32"/>
          <w:szCs w:val="32"/>
        </w:rPr>
        <w:t>,包括</w:t>
      </w:r>
      <w:r>
        <w:rPr>
          <w:rStyle w:val="22"/>
          <w:rFonts w:hint="default"/>
        </w:rPr>
        <w:t>中国证监会认定的情形等</w:t>
      </w:r>
      <w:r>
        <w:rPr>
          <w:rFonts w:hint="eastAsia" w:ascii="仿宋" w:hAnsi="仿宋" w:eastAsia="仿宋"/>
          <w:sz w:val="32"/>
          <w:szCs w:val="32"/>
        </w:rPr>
        <w:t>。</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w:t>
      </w:r>
      <w:r>
        <w:rPr>
          <w:rFonts w:ascii="仿宋" w:hAnsi="仿宋" w:eastAsia="仿宋"/>
          <w:sz w:val="32"/>
          <w:szCs w:val="32"/>
        </w:rPr>
        <w:t xml:space="preserve"> 转让双方办理协议转让，应</w:t>
      </w:r>
      <w:r>
        <w:rPr>
          <w:rFonts w:hint="eastAsia" w:ascii="仿宋" w:hAnsi="仿宋" w:eastAsia="仿宋"/>
          <w:sz w:val="32"/>
          <w:szCs w:val="32"/>
        </w:rPr>
        <w:t>当符合以下要求：</w:t>
      </w:r>
    </w:p>
    <w:p>
      <w:pPr>
        <w:spacing w:line="620" w:lineRule="exact"/>
        <w:ind w:firstLine="640"/>
        <w:rPr>
          <w:rFonts w:ascii="仿宋" w:hAnsi="仿宋" w:eastAsia="仿宋"/>
          <w:sz w:val="32"/>
          <w:szCs w:val="32"/>
        </w:rPr>
      </w:pPr>
      <w:r>
        <w:rPr>
          <w:rFonts w:hint="eastAsia" w:ascii="仿宋" w:hAnsi="仿宋" w:eastAsia="仿宋"/>
          <w:sz w:val="32"/>
          <w:szCs w:val="32"/>
        </w:rPr>
        <w:t>（一）转让协议依法生效；</w:t>
      </w:r>
    </w:p>
    <w:p>
      <w:pPr>
        <w:spacing w:line="620" w:lineRule="exact"/>
        <w:ind w:firstLine="640"/>
        <w:rPr>
          <w:rFonts w:ascii="仿宋" w:hAnsi="仿宋" w:eastAsia="仿宋"/>
          <w:sz w:val="32"/>
          <w:szCs w:val="32"/>
        </w:rPr>
      </w:pPr>
      <w:r>
        <w:rPr>
          <w:rFonts w:hint="eastAsia" w:ascii="仿宋" w:hAnsi="仿宋" w:eastAsia="仿宋"/>
          <w:sz w:val="32"/>
          <w:szCs w:val="32"/>
        </w:rPr>
        <w:t>（二）协议各方为自然人或者依法设立并有效存续的法人、其他组织；</w:t>
      </w:r>
    </w:p>
    <w:p>
      <w:pPr>
        <w:spacing w:line="620" w:lineRule="exact"/>
        <w:ind w:firstLine="640"/>
        <w:rPr>
          <w:rFonts w:ascii="仿宋" w:hAnsi="仿宋" w:eastAsia="仿宋"/>
          <w:sz w:val="32"/>
          <w:szCs w:val="32"/>
        </w:rPr>
      </w:pPr>
      <w:r>
        <w:rPr>
          <w:rFonts w:hint="eastAsia" w:ascii="仿宋" w:hAnsi="仿宋" w:eastAsia="仿宋"/>
          <w:sz w:val="32"/>
          <w:szCs w:val="32"/>
        </w:rPr>
        <w:t>（三）受让方符合本所投资者适当性要求；</w:t>
      </w:r>
    </w:p>
    <w:p>
      <w:pPr>
        <w:spacing w:line="620" w:lineRule="exact"/>
        <w:ind w:firstLine="640"/>
        <w:rPr>
          <w:rFonts w:ascii="仿宋" w:hAnsi="仿宋" w:eastAsia="仿宋"/>
          <w:sz w:val="32"/>
          <w:szCs w:val="32"/>
        </w:rPr>
      </w:pPr>
      <w:r>
        <w:rPr>
          <w:rFonts w:hint="eastAsia" w:ascii="仿宋" w:hAnsi="仿宋" w:eastAsia="仿宋"/>
          <w:sz w:val="32"/>
          <w:szCs w:val="32"/>
        </w:rPr>
        <w:t>（四）协议</w:t>
      </w:r>
      <w:r>
        <w:rPr>
          <w:rFonts w:ascii="仿宋" w:hAnsi="仿宋" w:eastAsia="仿宋"/>
          <w:sz w:val="32"/>
          <w:szCs w:val="32"/>
        </w:rPr>
        <w:t>各方自然人本人、法定代表人、负责人或者其合法授权的代表向本所提出转让股份的申请；</w:t>
      </w:r>
    </w:p>
    <w:p>
      <w:pPr>
        <w:spacing w:line="620" w:lineRule="exact"/>
        <w:ind w:firstLine="640"/>
        <w:rPr>
          <w:rFonts w:ascii="仿宋" w:hAnsi="仿宋" w:eastAsia="仿宋"/>
          <w:sz w:val="32"/>
          <w:szCs w:val="32"/>
        </w:rPr>
      </w:pPr>
      <w:r>
        <w:rPr>
          <w:rFonts w:hint="eastAsia" w:ascii="仿宋" w:hAnsi="仿宋" w:eastAsia="仿宋"/>
          <w:sz w:val="32"/>
          <w:szCs w:val="32"/>
        </w:rPr>
        <w:t>（五）拟转让股份为无限售条件流通股，法律法规及本所业务规则等另有规定的除外；</w:t>
      </w:r>
    </w:p>
    <w:p>
      <w:pPr>
        <w:spacing w:line="620" w:lineRule="exact"/>
        <w:ind w:firstLine="640"/>
        <w:rPr>
          <w:rFonts w:ascii="仿宋" w:hAnsi="仿宋" w:eastAsia="仿宋"/>
          <w:sz w:val="32"/>
          <w:szCs w:val="32"/>
        </w:rPr>
      </w:pPr>
      <w:r>
        <w:rPr>
          <w:rFonts w:hint="eastAsia" w:ascii="仿宋" w:hAnsi="仿宋" w:eastAsia="仿宋"/>
          <w:sz w:val="32"/>
          <w:szCs w:val="32"/>
        </w:rPr>
        <w:t>（六）依法须经行政审批或备案等方可进行的股份转让，已经取得有关部门的批准或备案文件或其他证明文件；</w:t>
      </w:r>
    </w:p>
    <w:p>
      <w:pPr>
        <w:spacing w:line="620" w:lineRule="exact"/>
        <w:ind w:firstLine="640"/>
        <w:rPr>
          <w:rFonts w:ascii="仿宋" w:hAnsi="仿宋" w:eastAsia="仿宋"/>
          <w:sz w:val="32"/>
          <w:szCs w:val="32"/>
        </w:rPr>
      </w:pPr>
      <w:r>
        <w:rPr>
          <w:rFonts w:hint="eastAsia" w:ascii="仿宋" w:hAnsi="仿宋" w:eastAsia="仿宋"/>
          <w:sz w:val="32"/>
          <w:szCs w:val="32"/>
        </w:rPr>
        <w:t>（七）涉及信息披露的，信息披露义务人已经按照</w:t>
      </w:r>
      <w:r>
        <w:rPr>
          <w:rFonts w:ascii="仿宋" w:hAnsi="仿宋" w:eastAsia="仿宋"/>
          <w:sz w:val="32"/>
          <w:szCs w:val="32"/>
        </w:rPr>
        <w:t>中国证监会</w:t>
      </w:r>
      <w:r>
        <w:rPr>
          <w:rFonts w:hint="eastAsia" w:ascii="仿宋" w:hAnsi="仿宋" w:eastAsia="仿宋"/>
          <w:sz w:val="32"/>
          <w:szCs w:val="32"/>
        </w:rPr>
        <w:t>及本所相关规定履行信息披露义务；</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（八）中国证监会及本所规定的其他要求。</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转让双方办理协议转让，不得存在以下情形：</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（一）不符合</w:t>
      </w:r>
      <w:r>
        <w:rPr>
          <w:rFonts w:ascii="仿宋" w:hAnsi="仿宋" w:eastAsia="仿宋"/>
          <w:sz w:val="32"/>
          <w:szCs w:val="32"/>
        </w:rPr>
        <w:t>本指引第六条规定的要求；</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（二）拟转让股份已经被质押且质权人未书面同意转让；</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（三）拟转让股份存在尚未了结的诉讼、仲裁、其他争议或被司法冻结等权利受限情形，但</w:t>
      </w:r>
      <w:r>
        <w:rPr>
          <w:rFonts w:ascii="仿宋" w:hAnsi="仿宋" w:eastAsia="仿宋"/>
          <w:sz w:val="32"/>
          <w:szCs w:val="32"/>
        </w:rPr>
        <w:t>按照《</w:t>
      </w:r>
      <w:r>
        <w:rPr>
          <w:rFonts w:hint="eastAsia" w:ascii="仿宋" w:hAnsi="仿宋" w:eastAsia="仿宋"/>
          <w:sz w:val="32"/>
          <w:szCs w:val="32"/>
        </w:rPr>
        <w:t>关于</w:t>
      </w:r>
      <w:r>
        <w:rPr>
          <w:rFonts w:ascii="仿宋" w:hAnsi="仿宋" w:eastAsia="仿宋"/>
          <w:sz w:val="32"/>
          <w:szCs w:val="32"/>
        </w:rPr>
        <w:t>进一步规范人民法院冻结上市公司质押股票工作的意见》</w:t>
      </w:r>
      <w:r>
        <w:rPr>
          <w:rFonts w:hint="eastAsia" w:ascii="仿宋" w:hAnsi="仿宋" w:eastAsia="仿宋"/>
          <w:sz w:val="32"/>
          <w:szCs w:val="32"/>
        </w:rPr>
        <w:t>规定</w:t>
      </w:r>
      <w:r>
        <w:rPr>
          <w:rFonts w:ascii="仿宋" w:hAnsi="仿宋" w:eastAsia="仿宋"/>
          <w:sz w:val="32"/>
          <w:szCs w:val="32"/>
        </w:rPr>
        <w:t>取得人民法院准许文件</w:t>
      </w:r>
      <w:r>
        <w:rPr>
          <w:rFonts w:hint="eastAsia" w:ascii="仿宋" w:hAnsi="仿宋" w:eastAsia="仿宋"/>
          <w:sz w:val="32"/>
          <w:szCs w:val="32"/>
        </w:rPr>
        <w:t>及</w:t>
      </w:r>
      <w:r>
        <w:rPr>
          <w:rFonts w:ascii="仿宋" w:hAnsi="仿宋" w:eastAsia="仿宋"/>
          <w:sz w:val="32"/>
          <w:szCs w:val="32"/>
        </w:rPr>
        <w:t>法律法规另有规定</w:t>
      </w:r>
      <w:r>
        <w:rPr>
          <w:rFonts w:hint="eastAsia" w:ascii="仿宋" w:hAnsi="仿宋" w:eastAsia="仿宋"/>
          <w:sz w:val="32"/>
          <w:szCs w:val="32"/>
        </w:rPr>
        <w:t>的除外；</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（四）转让双方或其中一方处于被限制证券账户交易的状态，法律法规另有规定的除外；</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（五）本次转让可能导致规避股份限售相关规定，或者存在其他违反法律法规或本所业务规则的情形；</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（六）违反股份转让双方或者任何一方作出的承诺；</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（七）协议签署日与提交申请日间隔</w:t>
      </w:r>
      <w:r>
        <w:rPr>
          <w:rFonts w:eastAsia="仿宋"/>
          <w:sz w:val="32"/>
          <w:szCs w:val="32"/>
        </w:rPr>
        <w:t>超过6个月，</w:t>
      </w:r>
      <w:r>
        <w:rPr>
          <w:rFonts w:hint="eastAsia" w:eastAsia="仿宋"/>
          <w:sz w:val="32"/>
          <w:szCs w:val="32"/>
        </w:rPr>
        <w:t>但</w:t>
      </w:r>
      <w:r>
        <w:rPr>
          <w:rFonts w:eastAsia="仿宋"/>
          <w:sz w:val="32"/>
          <w:szCs w:val="32"/>
        </w:rPr>
        <w:t>依法</w:t>
      </w:r>
      <w:r>
        <w:rPr>
          <w:rFonts w:hint="eastAsia" w:ascii="仿宋" w:hAnsi="仿宋" w:eastAsia="仿宋"/>
          <w:sz w:val="32"/>
          <w:szCs w:val="32"/>
        </w:rPr>
        <w:t>须经行政审批、备案方可转让或涉及收购且已在《收购报告书》中披露等特殊情形除外；</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（八）本所认定的其他情形。</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属于《协议转让细则》第三条第一项至第三项情形的股份转让，转让价格应当不低于转让协议签署日该股票大宗交易价格范围的下限，法律法规及本所业务规则等另有规定的除外。</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转让双方就股份转让协议签订补充协议，涉及变更转让主体、转让价格或者转让股份数量等任一情形的，股份转让价格不低于补充协议签署日该股票大宗交易价格范围的下限。</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国有主体行政划转或者协议转让上市公司股份应当遵守国有资产管理的相关规定，确定协议转让价格并根据规定履行审批或备案程序。</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w:t>
      </w:r>
      <w:r>
        <w:rPr>
          <w:rFonts w:ascii="仿宋" w:hAnsi="仿宋" w:eastAsia="仿宋"/>
          <w:sz w:val="32"/>
          <w:szCs w:val="32"/>
        </w:rPr>
        <w:t xml:space="preserve"> 转让双方根据拟办理的协议转让类型，按照本所相关办理指南所列材料清单，向本所</w:t>
      </w:r>
      <w:r>
        <w:rPr>
          <w:rFonts w:hint="eastAsia" w:ascii="仿宋" w:hAnsi="仿宋" w:eastAsia="仿宋"/>
          <w:sz w:val="32"/>
          <w:szCs w:val="32"/>
        </w:rPr>
        <w:t>提交相应办理材料。</w:t>
      </w:r>
    </w:p>
    <w:p>
      <w:pPr>
        <w:pStyle w:val="16"/>
        <w:spacing w:line="620" w:lineRule="exact"/>
        <w:ind w:firstLine="64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申请人向本所提交协议转让申请前，应当向中国结算申请办理证券查询业务，查询出让方拟转让股份的持有情况。查询日期距离转让申请提交日不超</w:t>
      </w:r>
      <w:r>
        <w:rPr>
          <w:rFonts w:eastAsia="仿宋"/>
          <w:sz w:val="32"/>
          <w:szCs w:val="32"/>
        </w:rPr>
        <w:t>过5个交易</w:t>
      </w:r>
      <w:r>
        <w:rPr>
          <w:rFonts w:ascii="仿宋" w:hAnsi="仿宋" w:eastAsia="仿宋"/>
          <w:sz w:val="32"/>
          <w:szCs w:val="32"/>
        </w:rPr>
        <w:t>日</w:t>
      </w:r>
      <w:r>
        <w:rPr>
          <w:rFonts w:hint="eastAsia" w:ascii="仿宋" w:hAnsi="仿宋" w:eastAsia="仿宋"/>
          <w:sz w:val="32"/>
          <w:szCs w:val="32"/>
        </w:rPr>
        <w:t>。</w:t>
      </w:r>
    </w:p>
    <w:p>
      <w:pPr>
        <w:spacing w:line="620" w:lineRule="exact"/>
        <w:ind w:firstLine="640" w:firstLineChars="200"/>
        <w:rPr>
          <w:rFonts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本所收到转让双方提交的协议转让</w:t>
      </w:r>
      <w:r>
        <w:rPr>
          <w:rFonts w:ascii="仿宋" w:hAnsi="仿宋" w:eastAsia="仿宋"/>
          <w:sz w:val="32"/>
          <w:szCs w:val="32"/>
        </w:rPr>
        <w:t>办理</w:t>
      </w:r>
      <w:r>
        <w:rPr>
          <w:rFonts w:hint="eastAsia" w:ascii="仿宋" w:hAnsi="仿宋" w:eastAsia="仿宋"/>
          <w:sz w:val="32"/>
          <w:szCs w:val="32"/>
        </w:rPr>
        <w:t>材料后，对</w:t>
      </w:r>
      <w:r>
        <w:rPr>
          <w:rFonts w:ascii="仿宋" w:hAnsi="仿宋" w:eastAsia="仿宋"/>
          <w:sz w:val="32"/>
          <w:szCs w:val="32"/>
        </w:rPr>
        <w:t>办理</w:t>
      </w:r>
      <w:r>
        <w:rPr>
          <w:rFonts w:hint="eastAsia" w:ascii="仿宋" w:hAnsi="仿宋" w:eastAsia="仿宋"/>
          <w:sz w:val="32"/>
          <w:szCs w:val="32"/>
        </w:rPr>
        <w:t>材料</w:t>
      </w:r>
      <w:r>
        <w:rPr>
          <w:rFonts w:ascii="仿宋" w:hAnsi="仿宋" w:eastAsia="仿宋"/>
          <w:sz w:val="32"/>
          <w:szCs w:val="32"/>
        </w:rPr>
        <w:t>的齐备性进行核对</w:t>
      </w:r>
      <w:r>
        <w:rPr>
          <w:rFonts w:hint="eastAsia" w:ascii="仿宋" w:hAnsi="仿宋" w:eastAsia="仿宋"/>
          <w:sz w:val="32"/>
          <w:szCs w:val="32"/>
        </w:rPr>
        <w:t>。</w:t>
      </w:r>
      <w:r>
        <w:rPr>
          <w:rFonts w:ascii="仿宋" w:hAnsi="仿宋" w:eastAsia="仿宋"/>
          <w:sz w:val="32"/>
          <w:szCs w:val="32"/>
        </w:rPr>
        <w:t>办理</w:t>
      </w:r>
      <w:r>
        <w:rPr>
          <w:rFonts w:hint="eastAsia" w:ascii="仿宋" w:hAnsi="仿宋" w:eastAsia="仿宋"/>
          <w:sz w:val="32"/>
          <w:szCs w:val="32"/>
        </w:rPr>
        <w:t>材料</w:t>
      </w:r>
      <w:r>
        <w:rPr>
          <w:rFonts w:ascii="仿宋" w:hAnsi="仿宋" w:eastAsia="仿宋"/>
          <w:sz w:val="32"/>
          <w:szCs w:val="32"/>
        </w:rPr>
        <w:t>齐备的，本所予以受理</w:t>
      </w:r>
      <w:r>
        <w:rPr>
          <w:rFonts w:hint="eastAsia" w:ascii="仿宋" w:hAnsi="仿宋" w:eastAsia="仿宋"/>
          <w:sz w:val="32"/>
          <w:szCs w:val="32"/>
        </w:rPr>
        <w:t>，并于受理之日</w:t>
      </w:r>
      <w:r>
        <w:rPr>
          <w:rFonts w:eastAsia="仿宋"/>
          <w:sz w:val="32"/>
          <w:szCs w:val="32"/>
        </w:rPr>
        <w:t>起3个交易日内出具确认意见或反馈意见。需要补充材料的，申请人应当及时提交相关材料，办理时限自申请人按要求提交材料后重新起算。</w:t>
      </w:r>
    </w:p>
    <w:p>
      <w:pPr>
        <w:tabs>
          <w:tab w:val="left" w:pos="5955"/>
        </w:tabs>
        <w:spacing w:line="620" w:lineRule="exact"/>
        <w:ind w:firstLine="640" w:firstLineChars="200"/>
        <w:rPr>
          <w:rFonts w:ascii="仿宋" w:hAnsi="仿宋" w:eastAsia="仿宋"/>
          <w:sz w:val="32"/>
          <w:szCs w:val="32"/>
        </w:rPr>
      </w:pPr>
      <w:r>
        <w:rPr>
          <w:rFonts w:eastAsia="仿宋"/>
          <w:sz w:val="32"/>
          <w:szCs w:val="32"/>
        </w:rPr>
        <w:t>申请人自收到反馈意见3个月内未</w:t>
      </w:r>
      <w:r>
        <w:rPr>
          <w:rFonts w:hint="eastAsia" w:ascii="仿宋" w:hAnsi="仿宋" w:eastAsia="仿宋"/>
          <w:sz w:val="32"/>
          <w:szCs w:val="32"/>
        </w:rPr>
        <w:t>补充提交相关材料的，本所终止对该转让申请的审核，并书面通知申请人。</w:t>
      </w:r>
    </w:p>
    <w:p>
      <w:pPr>
        <w:spacing w:line="620" w:lineRule="exact"/>
        <w:ind w:firstLine="64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w:t>
      </w:r>
      <w:r>
        <w:rPr>
          <w:rFonts w:ascii="仿宋" w:hAnsi="仿宋" w:eastAsia="仿宋"/>
          <w:sz w:val="32"/>
          <w:szCs w:val="32"/>
        </w:rPr>
        <w:t xml:space="preserve"> 本所对符合《协议转让细则》和本指引规定的协议转让出具确认意见的，转让双方应当按照本所关于股票竞价交易的收费标准缴纳经手</w:t>
      </w:r>
      <w:r>
        <w:rPr>
          <w:rFonts w:eastAsia="仿宋"/>
          <w:sz w:val="32"/>
          <w:szCs w:val="32"/>
        </w:rPr>
        <w:t>费。对于每笔协议转让的单个出让方和受让方，收取费用的上限各为10万元人民币。无成交金额或者每股成交金额低于每股面值的，以转让股份总</w:t>
      </w:r>
      <w:r>
        <w:rPr>
          <w:rFonts w:hint="eastAsia" w:ascii="仿宋" w:hAnsi="仿宋" w:eastAsia="仿宋"/>
          <w:sz w:val="32"/>
          <w:szCs w:val="32"/>
        </w:rPr>
        <w:t>面值计算应缴纳经手费。</w:t>
      </w:r>
    </w:p>
    <w:p>
      <w:pPr>
        <w:pStyle w:val="16"/>
        <w:spacing w:line="620" w:lineRule="exact"/>
        <w:ind w:firstLine="640"/>
        <w:rPr>
          <w:rFonts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协议转让确认函的有效</w:t>
      </w:r>
      <w:r>
        <w:rPr>
          <w:rFonts w:eastAsia="仿宋"/>
          <w:sz w:val="32"/>
          <w:szCs w:val="32"/>
        </w:rPr>
        <w:t>期为</w:t>
      </w:r>
      <w:r>
        <w:rPr>
          <w:rFonts w:hint="eastAsia" w:eastAsia="仿宋"/>
          <w:sz w:val="32"/>
          <w:szCs w:val="32"/>
        </w:rPr>
        <w:t>6</w:t>
      </w:r>
      <w:r>
        <w:rPr>
          <w:rFonts w:eastAsia="仿宋"/>
          <w:sz w:val="32"/>
          <w:szCs w:val="32"/>
        </w:rPr>
        <w:t>个月，申请人逾期未前往中国结算办理过户登记的，应当重新提交转让申请。</w:t>
      </w:r>
    </w:p>
    <w:p>
      <w:pPr>
        <w:pStyle w:val="16"/>
        <w:spacing w:line="620" w:lineRule="exact"/>
        <w:ind w:firstLine="640"/>
        <w:rPr>
          <w:rFonts w:ascii="仿宋" w:hAnsi="仿宋" w:eastAsia="仿宋"/>
          <w:sz w:val="32"/>
          <w:szCs w:val="32"/>
        </w:rPr>
      </w:pPr>
      <w:r>
        <w:rPr>
          <w:rFonts w:eastAsia="黑体"/>
          <w:sz w:val="32"/>
          <w:szCs w:val="32"/>
        </w:rPr>
        <w:t>第十五条</w:t>
      </w:r>
      <w:r>
        <w:rPr>
          <w:rFonts w:eastAsia="仿宋"/>
          <w:sz w:val="32"/>
          <w:szCs w:val="32"/>
        </w:rPr>
        <w:t xml:space="preserve">  转让双方应当按照确认函中载明</w:t>
      </w:r>
      <w:r>
        <w:rPr>
          <w:rFonts w:hint="eastAsia" w:ascii="仿宋" w:hAnsi="仿宋" w:eastAsia="仿宋"/>
          <w:sz w:val="32"/>
          <w:szCs w:val="32"/>
        </w:rPr>
        <w:t>的转让股份数量一次性办理过户登记。涉及多个出让方或受让方的，全部出让方和受让方应当同时办理股份过户手续，并一次性完成过户登记。</w:t>
      </w:r>
    </w:p>
    <w:p>
      <w:pPr>
        <w:pStyle w:val="16"/>
        <w:spacing w:line="620" w:lineRule="exact"/>
        <w:ind w:firstLine="64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股份过户登记完成后，本所公布协议转让公开信息，内容包括证券代码、证券简称、转让价格、转让数量、转让原因等。</w:t>
      </w:r>
    </w:p>
    <w:p>
      <w:pPr>
        <w:pStyle w:val="16"/>
        <w:spacing w:line="620" w:lineRule="exact"/>
        <w:ind w:firstLine="640"/>
        <w:rPr>
          <w:rFonts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w:t>
      </w:r>
      <w:r>
        <w:rPr>
          <w:rFonts w:eastAsia="仿宋"/>
          <w:sz w:val="32"/>
          <w:szCs w:val="32"/>
        </w:rPr>
        <w:t>股份过户完成后3个月内，同一股份受让方不得就其所受让的股份再次申请协议转让，法律法规另有规定的除外。</w:t>
      </w:r>
    </w:p>
    <w:p>
      <w:pPr>
        <w:pStyle w:val="16"/>
        <w:spacing w:line="620" w:lineRule="exact"/>
        <w:ind w:firstLine="64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相关主体在办理协议转让过程中，如存在违反本指引或者本所其他业务规则的情形，本所可根据《交易规则》及相关规定对其采取相应自律监管措施或纪律处分。</w:t>
      </w:r>
    </w:p>
    <w:p>
      <w:pPr>
        <w:spacing w:line="62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w:t>
      </w:r>
      <w:r>
        <w:rPr>
          <w:rFonts w:ascii="仿宋" w:hAnsi="仿宋" w:eastAsia="仿宋"/>
          <w:sz w:val="32"/>
          <w:szCs w:val="32"/>
        </w:rPr>
        <w:t xml:space="preserve"> 本指引由本所负责解释。</w:t>
      </w:r>
    </w:p>
    <w:p>
      <w:pPr>
        <w:spacing w:line="620" w:lineRule="exact"/>
        <w:ind w:firstLine="640" w:firstLineChars="200"/>
        <w:rPr>
          <w:rFonts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w:t>
      </w:r>
      <w:r>
        <w:rPr>
          <w:rFonts w:ascii="仿宋" w:hAnsi="仿宋" w:eastAsia="仿宋"/>
          <w:sz w:val="32"/>
          <w:szCs w:val="32"/>
        </w:rPr>
        <w:t xml:space="preserve"> 本指引自</w:t>
      </w:r>
      <w:r>
        <w:rPr>
          <w:rFonts w:hint="eastAsia" w:eastAsia="仿宋"/>
          <w:sz w:val="32"/>
          <w:szCs w:val="32"/>
        </w:rPr>
        <w:t>发布之日</w:t>
      </w:r>
      <w:r>
        <w:rPr>
          <w:rFonts w:eastAsia="仿宋"/>
          <w:sz w:val="32"/>
          <w:szCs w:val="32"/>
        </w:rPr>
        <w:t>起施行。</w:t>
      </w:r>
    </w:p>
    <w:p>
      <w:pPr>
        <w:widowControl/>
        <w:jc w:val="left"/>
        <w:rPr>
          <w:rFonts w:eastAsia="仿宋"/>
          <w:sz w:val="32"/>
          <w:szCs w:val="32"/>
        </w:rPr>
      </w:pPr>
    </w:p>
    <w:sectPr>
      <w:footerReference r:id="rId3" w:type="default"/>
      <w:footerReference r:id="rId4" w:type="even"/>
      <w:pgSz w:w="11906" w:h="16838"/>
      <w:pgMar w:top="1758" w:right="1588" w:bottom="175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633950"/>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8370754"/>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B6"/>
    <w:rsid w:val="00030131"/>
    <w:rsid w:val="00040165"/>
    <w:rsid w:val="00065BCE"/>
    <w:rsid w:val="000B5BA6"/>
    <w:rsid w:val="000E00E1"/>
    <w:rsid w:val="000E3EAC"/>
    <w:rsid w:val="000F7CBB"/>
    <w:rsid w:val="0010783D"/>
    <w:rsid w:val="00117220"/>
    <w:rsid w:val="00127B67"/>
    <w:rsid w:val="00131C55"/>
    <w:rsid w:val="00153CDA"/>
    <w:rsid w:val="0015776B"/>
    <w:rsid w:val="00164832"/>
    <w:rsid w:val="001729FE"/>
    <w:rsid w:val="001823DF"/>
    <w:rsid w:val="00187A40"/>
    <w:rsid w:val="001A459E"/>
    <w:rsid w:val="001C313E"/>
    <w:rsid w:val="001C6455"/>
    <w:rsid w:val="001C7841"/>
    <w:rsid w:val="001E0E48"/>
    <w:rsid w:val="002022D0"/>
    <w:rsid w:val="00203FB6"/>
    <w:rsid w:val="00242F43"/>
    <w:rsid w:val="00243E35"/>
    <w:rsid w:val="00285C96"/>
    <w:rsid w:val="002B513B"/>
    <w:rsid w:val="002B6161"/>
    <w:rsid w:val="0031116E"/>
    <w:rsid w:val="00314713"/>
    <w:rsid w:val="0032081B"/>
    <w:rsid w:val="00331C86"/>
    <w:rsid w:val="003401B9"/>
    <w:rsid w:val="00345D41"/>
    <w:rsid w:val="00347116"/>
    <w:rsid w:val="00360C90"/>
    <w:rsid w:val="00361387"/>
    <w:rsid w:val="003623A4"/>
    <w:rsid w:val="003664D8"/>
    <w:rsid w:val="00392B29"/>
    <w:rsid w:val="003A7AAB"/>
    <w:rsid w:val="003B5A04"/>
    <w:rsid w:val="003D2333"/>
    <w:rsid w:val="003D49C6"/>
    <w:rsid w:val="00402CA4"/>
    <w:rsid w:val="00402DB6"/>
    <w:rsid w:val="00407434"/>
    <w:rsid w:val="0041349A"/>
    <w:rsid w:val="0042688A"/>
    <w:rsid w:val="004274F7"/>
    <w:rsid w:val="00443C33"/>
    <w:rsid w:val="00462C11"/>
    <w:rsid w:val="004666BB"/>
    <w:rsid w:val="0046731B"/>
    <w:rsid w:val="00473D57"/>
    <w:rsid w:val="00477783"/>
    <w:rsid w:val="004904EB"/>
    <w:rsid w:val="004A7D16"/>
    <w:rsid w:val="004C682F"/>
    <w:rsid w:val="004D28F3"/>
    <w:rsid w:val="004E0B9B"/>
    <w:rsid w:val="004E3E15"/>
    <w:rsid w:val="00547719"/>
    <w:rsid w:val="00555E45"/>
    <w:rsid w:val="00560795"/>
    <w:rsid w:val="00567C24"/>
    <w:rsid w:val="005759B2"/>
    <w:rsid w:val="00592BEE"/>
    <w:rsid w:val="00592D2A"/>
    <w:rsid w:val="005B3377"/>
    <w:rsid w:val="005C0A98"/>
    <w:rsid w:val="005C375F"/>
    <w:rsid w:val="005D43F2"/>
    <w:rsid w:val="005E38AC"/>
    <w:rsid w:val="005F5EBA"/>
    <w:rsid w:val="005F5FA9"/>
    <w:rsid w:val="005F6FC0"/>
    <w:rsid w:val="00602A1D"/>
    <w:rsid w:val="0060512A"/>
    <w:rsid w:val="006108DC"/>
    <w:rsid w:val="00631998"/>
    <w:rsid w:val="00643C4E"/>
    <w:rsid w:val="0064558A"/>
    <w:rsid w:val="00657CC5"/>
    <w:rsid w:val="006653AF"/>
    <w:rsid w:val="006B0A5F"/>
    <w:rsid w:val="006B10AD"/>
    <w:rsid w:val="006B1129"/>
    <w:rsid w:val="006B43CD"/>
    <w:rsid w:val="006B7460"/>
    <w:rsid w:val="006D0674"/>
    <w:rsid w:val="006D2B7E"/>
    <w:rsid w:val="006D32D8"/>
    <w:rsid w:val="006D3411"/>
    <w:rsid w:val="006E3607"/>
    <w:rsid w:val="006E5EC7"/>
    <w:rsid w:val="006F3368"/>
    <w:rsid w:val="006F5D0B"/>
    <w:rsid w:val="006F7002"/>
    <w:rsid w:val="007121FE"/>
    <w:rsid w:val="00723054"/>
    <w:rsid w:val="00744E85"/>
    <w:rsid w:val="00745586"/>
    <w:rsid w:val="007476C8"/>
    <w:rsid w:val="00781E34"/>
    <w:rsid w:val="00786783"/>
    <w:rsid w:val="007A0A81"/>
    <w:rsid w:val="007C3096"/>
    <w:rsid w:val="007D213D"/>
    <w:rsid w:val="007F5164"/>
    <w:rsid w:val="00801ED6"/>
    <w:rsid w:val="00820E38"/>
    <w:rsid w:val="0087379E"/>
    <w:rsid w:val="00893809"/>
    <w:rsid w:val="008957C0"/>
    <w:rsid w:val="00897A6A"/>
    <w:rsid w:val="008A7B52"/>
    <w:rsid w:val="008C02E3"/>
    <w:rsid w:val="008E3CF6"/>
    <w:rsid w:val="009065CD"/>
    <w:rsid w:val="00923265"/>
    <w:rsid w:val="009454B8"/>
    <w:rsid w:val="00987890"/>
    <w:rsid w:val="009913DA"/>
    <w:rsid w:val="00994885"/>
    <w:rsid w:val="00995E6D"/>
    <w:rsid w:val="00996AB6"/>
    <w:rsid w:val="009C0067"/>
    <w:rsid w:val="009D10DE"/>
    <w:rsid w:val="009E3B1D"/>
    <w:rsid w:val="009E3B41"/>
    <w:rsid w:val="009F0CD9"/>
    <w:rsid w:val="00A04EF7"/>
    <w:rsid w:val="00A166B4"/>
    <w:rsid w:val="00A257B1"/>
    <w:rsid w:val="00A42958"/>
    <w:rsid w:val="00A60B11"/>
    <w:rsid w:val="00A636F8"/>
    <w:rsid w:val="00A717CE"/>
    <w:rsid w:val="00A76EC3"/>
    <w:rsid w:val="00A779E6"/>
    <w:rsid w:val="00A81E64"/>
    <w:rsid w:val="00A90EB0"/>
    <w:rsid w:val="00AA1CC4"/>
    <w:rsid w:val="00AC41DC"/>
    <w:rsid w:val="00AC4E65"/>
    <w:rsid w:val="00AD2025"/>
    <w:rsid w:val="00AD391C"/>
    <w:rsid w:val="00AF0E5B"/>
    <w:rsid w:val="00B02791"/>
    <w:rsid w:val="00B12243"/>
    <w:rsid w:val="00B37289"/>
    <w:rsid w:val="00B4530C"/>
    <w:rsid w:val="00B54281"/>
    <w:rsid w:val="00B63841"/>
    <w:rsid w:val="00B663EA"/>
    <w:rsid w:val="00B7284B"/>
    <w:rsid w:val="00B85788"/>
    <w:rsid w:val="00BA049D"/>
    <w:rsid w:val="00BB6BF7"/>
    <w:rsid w:val="00BB7DA4"/>
    <w:rsid w:val="00BF5DDC"/>
    <w:rsid w:val="00C101F4"/>
    <w:rsid w:val="00C1174E"/>
    <w:rsid w:val="00C37FC7"/>
    <w:rsid w:val="00C53D60"/>
    <w:rsid w:val="00C55E9B"/>
    <w:rsid w:val="00C6037D"/>
    <w:rsid w:val="00C643A4"/>
    <w:rsid w:val="00C71418"/>
    <w:rsid w:val="00C764F6"/>
    <w:rsid w:val="00C76B7A"/>
    <w:rsid w:val="00C85EA8"/>
    <w:rsid w:val="00C97A8B"/>
    <w:rsid w:val="00CA1CDE"/>
    <w:rsid w:val="00CB0AB0"/>
    <w:rsid w:val="00CB6C2C"/>
    <w:rsid w:val="00CC6F6C"/>
    <w:rsid w:val="00CE5B8D"/>
    <w:rsid w:val="00CE67EA"/>
    <w:rsid w:val="00D04ABC"/>
    <w:rsid w:val="00D07F58"/>
    <w:rsid w:val="00D1595B"/>
    <w:rsid w:val="00D23ABA"/>
    <w:rsid w:val="00D31C1D"/>
    <w:rsid w:val="00D35449"/>
    <w:rsid w:val="00D50B80"/>
    <w:rsid w:val="00D51218"/>
    <w:rsid w:val="00D56807"/>
    <w:rsid w:val="00D5737C"/>
    <w:rsid w:val="00D62B00"/>
    <w:rsid w:val="00D80385"/>
    <w:rsid w:val="00DA1BEC"/>
    <w:rsid w:val="00DA2D29"/>
    <w:rsid w:val="00DC13FE"/>
    <w:rsid w:val="00DC1A8E"/>
    <w:rsid w:val="00DD69B6"/>
    <w:rsid w:val="00DE29E5"/>
    <w:rsid w:val="00DF33F4"/>
    <w:rsid w:val="00E02B4A"/>
    <w:rsid w:val="00E04812"/>
    <w:rsid w:val="00E14BE1"/>
    <w:rsid w:val="00E20A44"/>
    <w:rsid w:val="00E5358B"/>
    <w:rsid w:val="00E61798"/>
    <w:rsid w:val="00E62850"/>
    <w:rsid w:val="00E63764"/>
    <w:rsid w:val="00E709D6"/>
    <w:rsid w:val="00E73BAC"/>
    <w:rsid w:val="00E768DA"/>
    <w:rsid w:val="00E85D02"/>
    <w:rsid w:val="00EA1B66"/>
    <w:rsid w:val="00EA4CE0"/>
    <w:rsid w:val="00EA694E"/>
    <w:rsid w:val="00EC1EEE"/>
    <w:rsid w:val="00ED383A"/>
    <w:rsid w:val="00EF35B6"/>
    <w:rsid w:val="00F0093D"/>
    <w:rsid w:val="00F05431"/>
    <w:rsid w:val="00F07564"/>
    <w:rsid w:val="00F20FC2"/>
    <w:rsid w:val="00F40680"/>
    <w:rsid w:val="00F60936"/>
    <w:rsid w:val="00F63DBD"/>
    <w:rsid w:val="00F824A6"/>
    <w:rsid w:val="00F8598F"/>
    <w:rsid w:val="00FA2793"/>
    <w:rsid w:val="00FB7EAC"/>
    <w:rsid w:val="00FF14E9"/>
    <w:rsid w:val="00FF25EB"/>
    <w:rsid w:val="00FF58E1"/>
    <w:rsid w:val="00FF64F0"/>
    <w:rsid w:val="00FF6E26"/>
    <w:rsid w:val="01AA7136"/>
    <w:rsid w:val="03F40F06"/>
    <w:rsid w:val="0AFE1DAA"/>
    <w:rsid w:val="0CB51C0A"/>
    <w:rsid w:val="0E0F31C4"/>
    <w:rsid w:val="0FAF306A"/>
    <w:rsid w:val="12A84285"/>
    <w:rsid w:val="15844030"/>
    <w:rsid w:val="1E7C5CA9"/>
    <w:rsid w:val="21615992"/>
    <w:rsid w:val="255157C1"/>
    <w:rsid w:val="28982F85"/>
    <w:rsid w:val="39071D00"/>
    <w:rsid w:val="395C137A"/>
    <w:rsid w:val="4099193C"/>
    <w:rsid w:val="41F7156E"/>
    <w:rsid w:val="4423603D"/>
    <w:rsid w:val="459E33D8"/>
    <w:rsid w:val="46F86C67"/>
    <w:rsid w:val="4BE645C2"/>
    <w:rsid w:val="4DD4666D"/>
    <w:rsid w:val="4EDB1AE4"/>
    <w:rsid w:val="52405BC6"/>
    <w:rsid w:val="5274070D"/>
    <w:rsid w:val="56DF0748"/>
    <w:rsid w:val="597B6757"/>
    <w:rsid w:val="5A705633"/>
    <w:rsid w:val="5CBB2657"/>
    <w:rsid w:val="5D810607"/>
    <w:rsid w:val="5E3F738E"/>
    <w:rsid w:val="5E9133E5"/>
    <w:rsid w:val="5E99561F"/>
    <w:rsid w:val="602B048D"/>
    <w:rsid w:val="60C820CB"/>
    <w:rsid w:val="635A708E"/>
    <w:rsid w:val="673B2172"/>
    <w:rsid w:val="69435F88"/>
    <w:rsid w:val="6B0D6E64"/>
    <w:rsid w:val="6F6B060F"/>
    <w:rsid w:val="73A57C9D"/>
    <w:rsid w:val="73ECD8BF"/>
    <w:rsid w:val="75FAC9A9"/>
    <w:rsid w:val="777C406E"/>
    <w:rsid w:val="7AC51D86"/>
    <w:rsid w:val="7B15469E"/>
    <w:rsid w:val="7EFB72B1"/>
    <w:rsid w:val="7EFFF4B4"/>
    <w:rsid w:val="A7BFADE0"/>
    <w:rsid w:val="B6FF7723"/>
    <w:rsid w:val="EAA7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line="560" w:lineRule="exact"/>
      <w:ind w:firstLine="640" w:firstLineChars="200"/>
      <w:outlineLvl w:val="0"/>
    </w:pPr>
    <w:rPr>
      <w:rFonts w:eastAsia="黑体"/>
      <w:sz w:val="32"/>
      <w:szCs w:val="32"/>
    </w:rPr>
  </w:style>
  <w:style w:type="paragraph" w:styleId="3">
    <w:name w:val="heading 2"/>
    <w:basedOn w:val="1"/>
    <w:next w:val="1"/>
    <w:link w:val="15"/>
    <w:unhideWhenUsed/>
    <w:qFormat/>
    <w:uiPriority w:val="0"/>
    <w:pPr>
      <w:spacing w:line="560" w:lineRule="exact"/>
      <w:ind w:firstLine="640" w:firstLineChars="200"/>
      <w:outlineLvl w:val="1"/>
    </w:pPr>
    <w:rPr>
      <w:rFonts w:eastAsia="楷体"/>
      <w:bCs/>
      <w:sz w:val="32"/>
      <w:szCs w:val="32"/>
    </w:rPr>
  </w:style>
  <w:style w:type="paragraph" w:styleId="4">
    <w:name w:val="heading 3"/>
    <w:basedOn w:val="1"/>
    <w:next w:val="1"/>
    <w:semiHidden/>
    <w:unhideWhenUsed/>
    <w:qFormat/>
    <w:uiPriority w:val="0"/>
    <w:pPr>
      <w:keepNext/>
      <w:keepLines/>
      <w:spacing w:line="640" w:lineRule="exact"/>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99"/>
    <w:pPr>
      <w:jc w:val="left"/>
    </w:pPr>
  </w:style>
  <w:style w:type="paragraph" w:styleId="6">
    <w:name w:val="Balloon Text"/>
    <w:basedOn w:val="1"/>
    <w:link w:val="17"/>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annotation subject"/>
    <w:basedOn w:val="5"/>
    <w:next w:val="5"/>
    <w:link w:val="20"/>
    <w:qFormat/>
    <w:uiPriority w:val="99"/>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标题 2 Char"/>
    <w:link w:val="3"/>
    <w:qFormat/>
    <w:uiPriority w:val="0"/>
    <w:rPr>
      <w:rFonts w:eastAsia="楷体"/>
      <w:bCs/>
      <w:kern w:val="2"/>
      <w:sz w:val="32"/>
      <w:szCs w:val="32"/>
    </w:rPr>
  </w:style>
  <w:style w:type="paragraph" w:styleId="16">
    <w:name w:val="List Paragraph"/>
    <w:basedOn w:val="1"/>
    <w:qFormat/>
    <w:uiPriority w:val="0"/>
    <w:pPr>
      <w:ind w:firstLine="420" w:firstLineChars="200"/>
    </w:pPr>
    <w:rPr>
      <w:szCs w:val="24"/>
    </w:rPr>
  </w:style>
  <w:style w:type="character" w:customStyle="1" w:styleId="17">
    <w:name w:val="批注框文本 Char"/>
    <w:basedOn w:val="12"/>
    <w:link w:val="6"/>
    <w:qFormat/>
    <w:uiPriority w:val="0"/>
    <w:rPr>
      <w:kern w:val="2"/>
      <w:sz w:val="18"/>
      <w:szCs w:val="18"/>
    </w:rPr>
  </w:style>
  <w:style w:type="character" w:customStyle="1" w:styleId="18">
    <w:name w:val="页眉 Char"/>
    <w:basedOn w:val="12"/>
    <w:link w:val="8"/>
    <w:qFormat/>
    <w:uiPriority w:val="0"/>
    <w:rPr>
      <w:kern w:val="2"/>
      <w:sz w:val="18"/>
      <w:szCs w:val="18"/>
    </w:rPr>
  </w:style>
  <w:style w:type="character" w:customStyle="1" w:styleId="19">
    <w:name w:val="批注文字 Char"/>
    <w:basedOn w:val="12"/>
    <w:link w:val="5"/>
    <w:qFormat/>
    <w:uiPriority w:val="99"/>
    <w:rPr>
      <w:kern w:val="2"/>
      <w:sz w:val="21"/>
    </w:rPr>
  </w:style>
  <w:style w:type="character" w:customStyle="1" w:styleId="20">
    <w:name w:val="批注主题 Char"/>
    <w:basedOn w:val="19"/>
    <w:link w:val="10"/>
    <w:qFormat/>
    <w:uiPriority w:val="99"/>
    <w:rPr>
      <w:b/>
      <w:bCs/>
      <w:kern w:val="2"/>
      <w:sz w:val="21"/>
    </w:rPr>
  </w:style>
  <w:style w:type="paragraph" w:customStyle="1" w:styleId="21">
    <w:name w:val="修订1"/>
    <w:hidden/>
    <w:semiHidden/>
    <w:qFormat/>
    <w:uiPriority w:val="99"/>
    <w:rPr>
      <w:rFonts w:ascii="Times New Roman" w:hAnsi="Times New Roman" w:eastAsia="宋体" w:cs="Times New Roman"/>
      <w:kern w:val="2"/>
      <w:sz w:val="21"/>
      <w:lang w:val="en-US" w:eastAsia="zh-CN" w:bidi="ar-SA"/>
    </w:rPr>
  </w:style>
  <w:style w:type="character" w:customStyle="1" w:styleId="22">
    <w:name w:val="fontstyle01"/>
    <w:basedOn w:val="12"/>
    <w:qFormat/>
    <w:uiPriority w:val="0"/>
    <w:rPr>
      <w:rFonts w:hint="eastAsia" w:ascii="仿宋" w:hAnsi="仿宋" w:eastAsia="仿宋"/>
      <w:color w:val="000000"/>
      <w:sz w:val="32"/>
      <w:szCs w:val="32"/>
    </w:rPr>
  </w:style>
  <w:style w:type="character" w:customStyle="1" w:styleId="23">
    <w:name w:val="页脚 Char"/>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383</Words>
  <Characters>2186</Characters>
  <Lines>18</Lines>
  <Paragraphs>5</Paragraphs>
  <TotalTime>4</TotalTime>
  <ScaleCrop>false</ScaleCrop>
  <LinksUpToDate>false</LinksUpToDate>
  <CharactersWithSpaces>2564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2021-10-29T17:21:00Z</dcterms:created>
  <dc:creator>zhanglb</dc:creator>
  <cp:lastModifiedBy>zhanglb</cp:lastModifiedBy>
  <cp:lastPrinted>2021-09-23T19:11:00Z</cp:lastPrinted>
  <dcterms:modified xsi:type="dcterms:W3CDTF">2023-07-21T17:50:10Z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2029534F4F7C4196BB365819EE6FCDD6</vt:lpwstr>
  </property>
</Properties>
</file>