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szCs w:val="32"/>
        </w:rPr>
      </w:pPr>
      <w:bookmarkStart w:id="0" w:name="_Toc1832762"/>
      <w:bookmarkStart w:id="1" w:name="_Toc414522857"/>
      <w:bookmarkStart w:id="2" w:name="_Toc37664892"/>
      <w:r>
        <w:rPr>
          <w:rFonts w:hint="eastAsia" w:ascii="黑体" w:hAnsi="黑体" w:eastAsia="黑体"/>
          <w:szCs w:val="32"/>
        </w:rPr>
        <w:t>附件</w:t>
      </w:r>
      <w:bookmarkStart w:id="49" w:name="_GoBack"/>
      <w:bookmarkEnd w:id="49"/>
    </w:p>
    <w:p>
      <w:pPr>
        <w:ind w:firstLine="0" w:firstLineChars="0"/>
        <w:rPr>
          <w:rFonts w:ascii="方正小标宋简体" w:hAnsi="宋体" w:eastAsia="方正小标宋简体"/>
          <w:color w:val="auto"/>
          <w:sz w:val="44"/>
          <w:szCs w:val="44"/>
        </w:rPr>
      </w:pPr>
    </w:p>
    <w:p>
      <w:pPr>
        <w:ind w:firstLine="0" w:firstLineChars="0"/>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深圳证券交易所公司债券存续期监管业务指引第2号——临时报告</w:t>
      </w:r>
    </w:p>
    <w:p>
      <w:pPr>
        <w:ind w:firstLine="0" w:firstLineChars="0"/>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w:t>
      </w:r>
      <w:r>
        <w:rPr>
          <w:rFonts w:ascii="方正小标宋简体" w:hAnsi="宋体" w:eastAsia="方正小标宋简体"/>
          <w:color w:val="auto"/>
          <w:sz w:val="44"/>
          <w:szCs w:val="44"/>
        </w:rPr>
        <w:t>2023年</w:t>
      </w:r>
      <w:r>
        <w:rPr>
          <w:rFonts w:hint="eastAsia" w:ascii="方正小标宋简体" w:hAnsi="宋体" w:eastAsia="方正小标宋简体"/>
          <w:color w:val="auto"/>
          <w:sz w:val="44"/>
          <w:szCs w:val="44"/>
        </w:rPr>
        <w:t>10月</w:t>
      </w:r>
      <w:r>
        <w:rPr>
          <w:rFonts w:ascii="方正小标宋简体" w:hAnsi="宋体" w:eastAsia="方正小标宋简体"/>
          <w:color w:val="auto"/>
          <w:sz w:val="44"/>
          <w:szCs w:val="44"/>
        </w:rPr>
        <w:t>修订）</w:t>
      </w:r>
    </w:p>
    <w:bookmarkEnd w:id="0"/>
    <w:bookmarkEnd w:id="1"/>
    <w:bookmarkEnd w:id="2"/>
    <w:p>
      <w:pPr>
        <w:ind w:firstLine="640"/>
        <w:rPr>
          <w:rFonts w:hAnsi="Calibri" w:eastAsia="仿宋_GB2312" w:cs="Calibri"/>
          <w:szCs w:val="30"/>
        </w:rPr>
      </w:pPr>
    </w:p>
    <w:p>
      <w:pPr>
        <w:pStyle w:val="2"/>
        <w:keepNext/>
        <w:keepLines/>
        <w:adjustRightInd/>
        <w:snapToGrid/>
        <w:spacing w:before="240" w:after="240" w:line="240" w:lineRule="auto"/>
        <w:rPr>
          <w:rFonts w:ascii="黑体" w:hAnsi="黑体"/>
          <w:color w:val="auto"/>
          <w:kern w:val="44"/>
          <w:szCs w:val="32"/>
        </w:rPr>
      </w:pPr>
      <w:bookmarkStart w:id="3" w:name="_Toc122424946"/>
      <w:bookmarkStart w:id="4" w:name="_Toc122425091"/>
      <w:bookmarkStart w:id="5" w:name="_Toc69972778"/>
      <w:bookmarkStart w:id="6" w:name="_Toc66294742"/>
      <w:r>
        <w:rPr>
          <w:rFonts w:hint="eastAsia" w:ascii="黑体" w:hAnsi="黑体"/>
          <w:color w:val="auto"/>
          <w:kern w:val="44"/>
          <w:szCs w:val="32"/>
        </w:rPr>
        <w:t>第一章</w:t>
      </w:r>
      <w:r>
        <w:rPr>
          <w:rFonts w:ascii="黑体" w:hAnsi="黑体"/>
          <w:color w:val="auto"/>
          <w:kern w:val="44"/>
          <w:szCs w:val="32"/>
        </w:rPr>
        <w:t xml:space="preserve"> </w:t>
      </w:r>
      <w:r>
        <w:rPr>
          <w:rFonts w:hint="eastAsia" w:ascii="黑体" w:hAnsi="黑体"/>
          <w:color w:val="auto"/>
          <w:kern w:val="44"/>
          <w:szCs w:val="32"/>
        </w:rPr>
        <w:t>总则</w:t>
      </w:r>
      <w:bookmarkEnd w:id="3"/>
      <w:bookmarkEnd w:id="4"/>
      <w:bookmarkEnd w:id="5"/>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 xml:space="preserve"> </w:t>
      </w:r>
      <w:r>
        <w:rPr>
          <w:rFonts w:hint="eastAsia" w:ascii="仿宋" w:hAnsi="仿宋" w:eastAsia="仿宋"/>
          <w:szCs w:val="32"/>
        </w:rPr>
        <w:t>为了规范公司债券（含企业债券）临时报告信息披露，保护投资者合法权益，根据《深圳证券交易所公司债券上市规则》《深圳证券交易所非公开发行公司债券挂牌规则》等业务规则的规定，制定本指引。</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 xml:space="preserve"> </w:t>
      </w:r>
      <w:r>
        <w:rPr>
          <w:rFonts w:hint="eastAsia" w:ascii="仿宋" w:hAnsi="仿宋" w:eastAsia="仿宋"/>
          <w:szCs w:val="32"/>
        </w:rPr>
        <w:t>本指引适用于在深圳证券交易所（以下简称本所）上市交易或者挂牌转让（以下统称上市挂牌）的公司债券的临时报告披露事宜。</w:t>
      </w:r>
    </w:p>
    <w:p>
      <w:pPr>
        <w:adjustRightInd/>
        <w:snapToGrid/>
        <w:ind w:firstLine="646" w:firstLineChars="202"/>
        <w:contextualSpacing/>
        <w:rPr>
          <w:rFonts w:ascii="仿宋" w:hAnsi="仿宋" w:eastAsia="仿宋"/>
          <w:szCs w:val="32"/>
        </w:rPr>
      </w:pPr>
      <w:r>
        <w:rPr>
          <w:rFonts w:hint="eastAsia" w:ascii="仿宋" w:hAnsi="仿宋" w:eastAsia="仿宋"/>
          <w:szCs w:val="32"/>
        </w:rPr>
        <w:t>本所上市公司发行的可转换公司债券的临时报告披露，不适用本指引。</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 xml:space="preserve"> </w:t>
      </w:r>
      <w:r>
        <w:rPr>
          <w:rFonts w:hint="eastAsia" w:ascii="仿宋" w:hAnsi="仿宋" w:eastAsia="仿宋"/>
          <w:szCs w:val="32"/>
        </w:rPr>
        <w:t>债券上市挂牌期间，发行人、增信主体、受托管理人、资信评级机构等信息披露义务人应当按照法律、行政法规、部门规章、规范性文件（以下统称法律法规）、本指引和本所其他业务规则的规定以及相关文件的约定和承诺履行临时报告披露义务。</w:t>
      </w:r>
    </w:p>
    <w:p>
      <w:pPr>
        <w:adjustRightInd/>
        <w:snapToGrid/>
        <w:ind w:firstLine="640"/>
        <w:contextualSpacing/>
        <w:rPr>
          <w:rFonts w:ascii="仿宋" w:hAnsi="仿宋" w:eastAsia="仿宋"/>
          <w:color w:val="auto"/>
          <w:szCs w:val="32"/>
        </w:rPr>
      </w:pPr>
      <w:r>
        <w:rPr>
          <w:rFonts w:hint="eastAsia" w:ascii="仿宋" w:hAnsi="仿宋" w:eastAsia="仿宋"/>
          <w:color w:val="auto"/>
          <w:szCs w:val="32"/>
        </w:rPr>
        <w:t>债券发行完成后上市挂牌前，发生本指引规定的披露事项的，信息披露义务人应当参照本指引履行临时报告披露义务。</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 xml:space="preserve"> </w:t>
      </w:r>
      <w:r>
        <w:rPr>
          <w:rFonts w:hint="eastAsia" w:ascii="仿宋" w:hAnsi="仿宋" w:eastAsia="仿宋"/>
          <w:szCs w:val="32"/>
        </w:rPr>
        <w:t>发行人和相关信息披露义务人编制临时报告，除遵守本指引的规定外，还应当依据法律法规以及本所其他业务规则的规定，及时、公平地披露信息，并保证所披露的信息真实、准确、完整，简明清晰，通俗易懂，不得有虚假记载、误导性陈述或者重大遗漏。</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 xml:space="preserve"> 发行人应当制定信息披露事务管理制度，健全完善信息披露业务流程，配备必要人员和资源，加强业务操作的风险控制，保障合</w:t>
      </w:r>
      <w:r>
        <w:rPr>
          <w:rFonts w:hint="eastAsia" w:ascii="仿宋" w:hAnsi="仿宋" w:eastAsia="仿宋"/>
          <w:szCs w:val="32"/>
        </w:rPr>
        <w:t>规履行信息披露义务，并及时关注文件的披露状态。</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 xml:space="preserve"> </w:t>
      </w:r>
      <w:r>
        <w:rPr>
          <w:rFonts w:hint="eastAsia" w:ascii="仿宋" w:hAnsi="仿宋" w:eastAsia="仿宋"/>
          <w:szCs w:val="32"/>
        </w:rPr>
        <w:t>发行人的董事、监事、高级管理人员、增信主体的相关人员应当勤勉履职，发行人的控股股东及其实际控制人应当如实提供相关信息，保障发行人、增信主体合规履行信息披露义务，并积极配合其他信息披露义务人及时获取必要信息。</w:t>
      </w:r>
    </w:p>
    <w:p>
      <w:pPr>
        <w:adjustRightInd/>
        <w:snapToGrid/>
        <w:ind w:firstLine="640"/>
        <w:contextualSpacing/>
        <w:rPr>
          <w:rFonts w:ascii="仿宋" w:hAnsi="仿宋" w:eastAsia="仿宋"/>
          <w:szCs w:val="32"/>
        </w:rPr>
      </w:pPr>
      <w:r>
        <w:rPr>
          <w:rFonts w:hint="eastAsia" w:ascii="仿宋" w:hAnsi="仿宋" w:eastAsia="仿宋"/>
          <w:szCs w:val="32"/>
        </w:rPr>
        <w:t>发行人的信息披露事务负责人组织和协调债券信息披露相关工作，应当勤勉履职，负责信息披露文件质量把关。</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 xml:space="preserve"> </w:t>
      </w:r>
      <w:r>
        <w:rPr>
          <w:rFonts w:hint="eastAsia" w:ascii="仿宋" w:hAnsi="仿宋" w:eastAsia="仿宋"/>
          <w:szCs w:val="32"/>
        </w:rPr>
        <w:t>受托管理人、资信评级机构、会计师事务所、律师事务所、资产评估机构（以下统称专业机构）及其相关人员应当勤勉尽责、恪尽职守，严格遵守法律法规、执业规范和自律规则的要求，按照规定和约定出具专业报告或者专业意见，如实提供相关信息，积极配合其他信息披露义务人及时获取必要信息。</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 xml:space="preserve"> </w:t>
      </w:r>
      <w:r>
        <w:rPr>
          <w:rFonts w:hint="eastAsia" w:ascii="仿宋" w:hAnsi="仿宋" w:eastAsia="仿宋"/>
          <w:szCs w:val="32"/>
        </w:rPr>
        <w:t>发行人、增信主体等信息披露义务人委托受托管理人等机构办理信息披露业务的，应当及时、公平地向受托管理人等机构提交符合规定的信息披露文件。相关委托不能免除或者减轻其法律法规以及本所规定的信息披露义务。</w:t>
      </w:r>
    </w:p>
    <w:p>
      <w:pPr>
        <w:adjustRightInd/>
        <w:snapToGrid/>
        <w:ind w:firstLine="640"/>
        <w:contextualSpacing/>
        <w:rPr>
          <w:rFonts w:ascii="仿宋" w:hAnsi="仿宋" w:eastAsia="仿宋"/>
          <w:szCs w:val="32"/>
        </w:rPr>
      </w:pPr>
      <w:r>
        <w:rPr>
          <w:rFonts w:hint="eastAsia" w:ascii="仿宋" w:hAnsi="仿宋" w:eastAsia="仿宋"/>
          <w:szCs w:val="32"/>
        </w:rPr>
        <w:t>受托管理人等机构应当完善内部工作流程，加强业务操作的风险控制，确保信息披露业务办理质量，并及时关注文件的披露状态。</w:t>
      </w:r>
    </w:p>
    <w:p>
      <w:pPr>
        <w:adjustRightInd/>
        <w:snapToGrid/>
        <w:ind w:firstLine="640"/>
        <w:contextualSpacing/>
        <w:rPr>
          <w:rFonts w:ascii="仿宋" w:hAnsi="仿宋" w:eastAsia="仿宋"/>
          <w:szCs w:val="32"/>
        </w:rPr>
      </w:pPr>
      <w:r>
        <w:rPr>
          <w:rFonts w:hint="eastAsia" w:ascii="仿宋" w:hAnsi="仿宋" w:eastAsia="仿宋"/>
          <w:szCs w:val="32"/>
        </w:rPr>
        <w:t>受托管理人应当勤勉尽责，在债券存续期内持续督导发行人履行信息披露义务。</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 xml:space="preserve"> </w:t>
      </w:r>
      <w:r>
        <w:rPr>
          <w:rFonts w:hint="eastAsia" w:ascii="仿宋" w:hAnsi="仿宋" w:eastAsia="仿宋"/>
          <w:szCs w:val="32"/>
        </w:rPr>
        <w:t>发行人转移债券清偿义务的，信息披露义务由债券承继方承担。发行人进入破产程序的，信息披露义务由破产管理人承担，发行人自行管理财产和营业事务的除外。</w:t>
      </w:r>
    </w:p>
    <w:p>
      <w:pPr>
        <w:adjustRightInd/>
        <w:snapToGrid/>
        <w:ind w:firstLine="640"/>
        <w:contextualSpacing/>
        <w:rPr>
          <w:rFonts w:ascii="仿宋" w:hAnsi="仿宋" w:eastAsia="仿宋"/>
          <w:szCs w:val="32"/>
        </w:rPr>
      </w:pPr>
      <w:r>
        <w:rPr>
          <w:rFonts w:hint="eastAsia" w:ascii="仿宋" w:hAnsi="仿宋" w:eastAsia="仿宋"/>
          <w:szCs w:val="32"/>
        </w:rPr>
        <w:t>承继方和破产管理人履行信息披露义务，应当符合法律法规、本指引和本所其他业务规则的规定以及相关文件的约定。</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 xml:space="preserve"> </w:t>
      </w:r>
      <w:r>
        <w:rPr>
          <w:rFonts w:hint="eastAsia" w:ascii="仿宋" w:hAnsi="仿宋" w:eastAsia="仿宋"/>
          <w:szCs w:val="32"/>
        </w:rPr>
        <w:t>上市公司、全国中小企业股份转让系统挂牌公司发行的公司债券在本所上市挂牌的，应当按照法律法规、本指引和本所其他业务规则的规定进行临时报告信息披露。</w:t>
      </w:r>
    </w:p>
    <w:p>
      <w:pPr>
        <w:adjustRightInd/>
        <w:snapToGrid/>
        <w:ind w:firstLine="640"/>
        <w:contextualSpacing/>
        <w:rPr>
          <w:rFonts w:ascii="仿宋" w:hAnsi="仿宋" w:eastAsia="仿宋"/>
          <w:szCs w:val="32"/>
        </w:rPr>
      </w:pPr>
      <w:r>
        <w:rPr>
          <w:rFonts w:hint="eastAsia" w:ascii="仿宋" w:hAnsi="仿宋" w:eastAsia="仿宋"/>
          <w:szCs w:val="32"/>
        </w:rPr>
        <w:t>前款公司按照股票上市或者挂牌场所的相关规定进行信息披露，同时符合本指引和本所其他业务规则的规定的，可以不再重复编制信息披露文件。发行人应当将信息披露文件同时刊登在本所网站、本所指定信息披露网站和符合中国证券监督管理委员会（以下简称中国证监会）或者国务院授权部门规定条件的信息披露媒体。</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本指引是对临时报告信息披露的最低要求</w:t>
      </w:r>
      <w:r>
        <w:rPr>
          <w:rFonts w:ascii="仿宋" w:hAnsi="仿宋" w:eastAsia="仿宋"/>
          <w:szCs w:val="32"/>
        </w:rPr>
        <w:t>,不论本指引是否明确规定，相关信息可能对发行人偿债能力、增</w:t>
      </w:r>
      <w:r>
        <w:rPr>
          <w:rFonts w:hint="eastAsia" w:ascii="仿宋" w:hAnsi="仿宋" w:eastAsia="仿宋"/>
          <w:szCs w:val="32"/>
        </w:rPr>
        <w:t>信主体代偿能力、增信措施有效性、债券交易价格、投资者合法权益产生重大影响，或者触发约定的投资者权益保护条款、构成债券持有人会议召开事由的，信息披露义务人均应当及时披露。</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本所可以根据发行人的持续经营情况、资信状况、规范运作情况和信息披露质量等事项，结合债券适用的交易机制以及投资者适当性情况，在保障投资者知情权等合法权益的情况下，对临时报告信息披露实施分类管理，调整公告直通披露（事后审核）和非直通披露（事前审核）的适用范围。</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本所根据法律法规、本指引和本所其他业务规则以及相关文件的约定和承诺，对信息披露义务人、发行人的董事、监事、高级管理人员、控股股东、实际控制人、专业机构及其相关人员进行自律监管。</w:t>
      </w:r>
    </w:p>
    <w:bookmarkEnd w:id="6"/>
    <w:p>
      <w:pPr>
        <w:pStyle w:val="2"/>
        <w:keepNext/>
        <w:keepLines/>
        <w:adjustRightInd/>
        <w:snapToGrid/>
        <w:spacing w:before="240" w:after="240" w:line="240" w:lineRule="auto"/>
        <w:rPr>
          <w:rFonts w:ascii="黑体" w:hAnsi="黑体"/>
          <w:color w:val="auto"/>
          <w:kern w:val="44"/>
          <w:szCs w:val="32"/>
        </w:rPr>
      </w:pPr>
      <w:bookmarkStart w:id="7" w:name="_Toc122425092"/>
      <w:bookmarkStart w:id="8" w:name="_Toc69972779"/>
      <w:bookmarkStart w:id="9" w:name="_Toc122424947"/>
      <w:r>
        <w:rPr>
          <w:rFonts w:hint="eastAsia" w:ascii="黑体" w:hAnsi="黑体"/>
          <w:color w:val="auto"/>
          <w:kern w:val="44"/>
          <w:szCs w:val="32"/>
        </w:rPr>
        <w:t>第二章</w:t>
      </w:r>
      <w:r>
        <w:rPr>
          <w:rFonts w:ascii="黑体" w:hAnsi="黑体"/>
          <w:color w:val="auto"/>
          <w:kern w:val="44"/>
          <w:szCs w:val="32"/>
        </w:rPr>
        <w:t xml:space="preserve"> </w:t>
      </w:r>
      <w:r>
        <w:rPr>
          <w:rFonts w:hint="eastAsia" w:ascii="黑体" w:hAnsi="黑体"/>
          <w:color w:val="auto"/>
          <w:kern w:val="44"/>
          <w:szCs w:val="32"/>
        </w:rPr>
        <w:t>临时报告披露一般规定</w:t>
      </w:r>
      <w:bookmarkEnd w:id="7"/>
      <w:bookmarkEnd w:id="8"/>
      <w:bookmarkEnd w:id="9"/>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生法律法规、本指引和本所其他业务规则规定的可能影响发行人偿债能力、增信主体代偿能力、增信措施有效性、债券交易价格或者投资者合法权益的重大事项的，信息披露义务人应当于知道或者应当知道相关事项之日起</w:t>
      </w:r>
      <w:r>
        <w:rPr>
          <w:rFonts w:ascii="仿宋" w:hAnsi="仿宋" w:eastAsia="仿宋"/>
          <w:szCs w:val="32"/>
        </w:rPr>
        <w:t>2个交易日内，向本所提交并且披露临时报告，说明重大事项的基本情况，包括重大事项涉及主体、标的基本情况、重大事项起因或者背景</w:t>
      </w:r>
      <w:r>
        <w:rPr>
          <w:rFonts w:hint="eastAsia" w:ascii="仿宋" w:hAnsi="仿宋" w:eastAsia="仿宋"/>
          <w:szCs w:val="32"/>
        </w:rPr>
        <w:t>、</w:t>
      </w:r>
      <w:r>
        <w:rPr>
          <w:rFonts w:ascii="仿宋" w:hAnsi="仿宋" w:eastAsia="仿宋"/>
          <w:szCs w:val="32"/>
        </w:rPr>
        <w:t>相关决策程序（如有）</w:t>
      </w:r>
      <w:r>
        <w:rPr>
          <w:rFonts w:hint="eastAsia" w:ascii="仿宋" w:hAnsi="仿宋" w:eastAsia="仿宋"/>
          <w:szCs w:val="32"/>
        </w:rPr>
        <w:t>、</w:t>
      </w:r>
      <w:r>
        <w:rPr>
          <w:rFonts w:ascii="仿宋" w:hAnsi="仿宋" w:eastAsia="仿宋"/>
          <w:szCs w:val="32"/>
        </w:rPr>
        <w:t>协议主要内容（如有）、目前的状态、可能产生的影响、已采取或者拟采取的应对措施以及相应成效（如有）。</w:t>
      </w:r>
    </w:p>
    <w:p>
      <w:pPr>
        <w:adjustRightInd/>
        <w:snapToGrid/>
        <w:ind w:firstLine="640"/>
        <w:contextualSpacing/>
        <w:rPr>
          <w:rFonts w:ascii="仿宋" w:hAnsi="仿宋" w:eastAsia="仿宋"/>
          <w:szCs w:val="32"/>
        </w:rPr>
      </w:pPr>
      <w:r>
        <w:rPr>
          <w:rFonts w:hint="eastAsia" w:ascii="仿宋" w:hAnsi="仿宋" w:eastAsia="仿宋"/>
          <w:szCs w:val="32"/>
        </w:rPr>
        <w:t>已经披露的重大事项出现重大进展或者变化的，信息披露义务人应当于知道或者应当知道之日起</w:t>
      </w:r>
      <w:r>
        <w:rPr>
          <w:rFonts w:ascii="仿宋" w:hAnsi="仿宋" w:eastAsia="仿宋"/>
          <w:szCs w:val="32"/>
        </w:rPr>
        <w:t>2个交易日内披露重大事项最新进展、变化情况及其可能产生的影响。</w:t>
      </w:r>
    </w:p>
    <w:p>
      <w:pPr>
        <w:adjustRightInd/>
        <w:snapToGrid/>
        <w:ind w:firstLine="640"/>
        <w:contextualSpacing/>
        <w:rPr>
          <w:rFonts w:ascii="仿宋" w:hAnsi="仿宋" w:eastAsia="仿宋"/>
          <w:szCs w:val="32"/>
        </w:rPr>
      </w:pPr>
      <w:r>
        <w:rPr>
          <w:rFonts w:hint="eastAsia" w:ascii="仿宋" w:hAnsi="仿宋" w:eastAsia="仿宋"/>
          <w:szCs w:val="32"/>
        </w:rPr>
        <w:t>法律法规、本指引或者本所其他业务规则对重大事项的信息披露义务履行时间另有规定的，从其规定。</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本指引第十四条所称知道或者应当知道之日，是指下列任一情形的最早发生日当日：</w:t>
      </w:r>
    </w:p>
    <w:p>
      <w:pPr>
        <w:adjustRightInd/>
        <w:snapToGrid/>
        <w:ind w:firstLine="640"/>
        <w:contextualSpacing/>
        <w:rPr>
          <w:rFonts w:ascii="仿宋" w:hAnsi="仿宋" w:eastAsia="仿宋"/>
          <w:szCs w:val="32"/>
        </w:rPr>
      </w:pPr>
      <w:r>
        <w:rPr>
          <w:rFonts w:hint="eastAsia" w:ascii="仿宋" w:hAnsi="仿宋" w:eastAsia="仿宋"/>
          <w:szCs w:val="32"/>
        </w:rPr>
        <w:t>（一）董事会、监事会就该重大事项形成决议时；</w:t>
      </w:r>
    </w:p>
    <w:p>
      <w:pPr>
        <w:adjustRightInd/>
        <w:snapToGrid/>
        <w:ind w:firstLine="640"/>
        <w:contextualSpacing/>
        <w:rPr>
          <w:rFonts w:ascii="仿宋" w:hAnsi="仿宋" w:eastAsia="仿宋"/>
          <w:szCs w:val="32"/>
        </w:rPr>
      </w:pPr>
      <w:r>
        <w:rPr>
          <w:rFonts w:hint="eastAsia" w:ascii="仿宋" w:hAnsi="仿宋" w:eastAsia="仿宋"/>
          <w:szCs w:val="32"/>
        </w:rPr>
        <w:t>（二）有关各方就该重大事项签署意向书或者协议时；</w:t>
      </w:r>
    </w:p>
    <w:p>
      <w:pPr>
        <w:adjustRightInd/>
        <w:snapToGrid/>
        <w:ind w:firstLine="640"/>
        <w:contextualSpacing/>
        <w:rPr>
          <w:rFonts w:ascii="仿宋" w:hAnsi="仿宋" w:eastAsia="仿宋"/>
          <w:szCs w:val="32"/>
        </w:rPr>
      </w:pPr>
      <w:r>
        <w:rPr>
          <w:rFonts w:hint="eastAsia" w:ascii="仿宋" w:hAnsi="仿宋" w:eastAsia="仿宋"/>
          <w:szCs w:val="32"/>
        </w:rPr>
        <w:t>（三）董事、监事、高级管理人员知悉该重大事项发生时；</w:t>
      </w:r>
    </w:p>
    <w:p>
      <w:pPr>
        <w:adjustRightInd/>
        <w:snapToGrid/>
        <w:ind w:firstLine="640"/>
        <w:contextualSpacing/>
        <w:rPr>
          <w:rFonts w:ascii="仿宋" w:hAnsi="仿宋" w:eastAsia="仿宋"/>
          <w:szCs w:val="32"/>
        </w:rPr>
      </w:pPr>
      <w:r>
        <w:rPr>
          <w:rFonts w:hint="eastAsia" w:ascii="仿宋" w:hAnsi="仿宋" w:eastAsia="仿宋"/>
          <w:szCs w:val="32"/>
        </w:rPr>
        <w:t>（四）收到相关主管部门关于该重大事项的决定或者通知时；</w:t>
      </w:r>
    </w:p>
    <w:p>
      <w:pPr>
        <w:adjustRightInd/>
        <w:snapToGrid/>
        <w:ind w:firstLine="640"/>
        <w:contextualSpacing/>
        <w:rPr>
          <w:rFonts w:ascii="仿宋" w:hAnsi="仿宋" w:eastAsia="仿宋"/>
          <w:szCs w:val="32"/>
        </w:rPr>
      </w:pPr>
      <w:r>
        <w:rPr>
          <w:rFonts w:hint="eastAsia" w:ascii="仿宋" w:hAnsi="仿宋" w:eastAsia="仿宋"/>
          <w:szCs w:val="32"/>
        </w:rPr>
        <w:t>（五）其他能够表明信息披露义务人知道或者应当知道重大事项已经发生的时点。</w:t>
      </w:r>
    </w:p>
    <w:p>
      <w:pPr>
        <w:adjustRightInd/>
        <w:snapToGrid/>
        <w:ind w:firstLine="640"/>
        <w:contextualSpacing/>
        <w:rPr>
          <w:rFonts w:ascii="仿宋" w:hAnsi="仿宋" w:eastAsia="仿宋"/>
          <w:szCs w:val="32"/>
        </w:rPr>
      </w:pPr>
      <w:r>
        <w:rPr>
          <w:rFonts w:hint="eastAsia" w:ascii="仿宋" w:hAnsi="仿宋" w:eastAsia="仿宋"/>
          <w:szCs w:val="32"/>
        </w:rPr>
        <w:t>重大事项出现泄露或者市场传闻的，信息披露义务人原则上应当在出现泄露或者传闻之日起</w:t>
      </w:r>
      <w:r>
        <w:rPr>
          <w:rFonts w:ascii="仿宋" w:hAnsi="仿宋" w:eastAsia="仿宋"/>
          <w:szCs w:val="32"/>
        </w:rPr>
        <w:t>2个交易日内履行信息披露义务。</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同一事件触发本指引不同事项披露标准的，临时报告应当同时符合不同事项的披露要求。</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重大事项涉及发行人及其重要子公司以外的其他主体的，信息披露义务人应当按照下列要求披露相关主体的基本情况：</w:t>
      </w:r>
    </w:p>
    <w:p>
      <w:pPr>
        <w:adjustRightInd/>
        <w:snapToGrid/>
        <w:ind w:firstLine="640"/>
        <w:contextualSpacing/>
        <w:rPr>
          <w:rFonts w:ascii="仿宋" w:hAnsi="仿宋" w:eastAsia="仿宋"/>
          <w:szCs w:val="32"/>
        </w:rPr>
      </w:pPr>
      <w:r>
        <w:rPr>
          <w:rFonts w:hint="eastAsia" w:ascii="仿宋" w:hAnsi="仿宋" w:eastAsia="仿宋"/>
          <w:szCs w:val="32"/>
        </w:rPr>
        <w:t>（一）相关主体为法人的，应当披露其名称、法人性质、成立时间、注册地、主要办公地点、法定代表人姓名、注册资本、实缴资本、主要股东或者实际控制人、主要业务及其最近一年开展情况、最近一年主要财务状况、资信和诚信情况等。相关主体成立时间不足一年或者专为该项交易而设立的，应当披露其实际控制人或者控股股东最近一年的主要财务状况。</w:t>
      </w:r>
    </w:p>
    <w:p>
      <w:pPr>
        <w:adjustRightInd/>
        <w:snapToGrid/>
        <w:ind w:firstLine="640"/>
        <w:contextualSpacing/>
        <w:rPr>
          <w:rFonts w:ascii="仿宋" w:hAnsi="仿宋" w:eastAsia="仿宋"/>
          <w:szCs w:val="32"/>
        </w:rPr>
      </w:pPr>
      <w:r>
        <w:rPr>
          <w:rFonts w:hint="eastAsia" w:ascii="仿宋" w:hAnsi="仿宋" w:eastAsia="仿宋"/>
          <w:szCs w:val="32"/>
        </w:rPr>
        <w:t>（二）相关主体为自然人的，应当披露其姓名、性别、国籍、最近一年的职业或者职务、资信和诚信情况、其控制的核心企业主要业务及其最近一年开展情况、最近一年主要财务状况等。</w:t>
      </w:r>
    </w:p>
    <w:p>
      <w:pPr>
        <w:adjustRightInd/>
        <w:snapToGrid/>
        <w:ind w:firstLine="640"/>
        <w:contextualSpacing/>
        <w:rPr>
          <w:rFonts w:ascii="仿宋" w:hAnsi="仿宋" w:eastAsia="仿宋"/>
          <w:szCs w:val="32"/>
        </w:rPr>
      </w:pPr>
      <w:r>
        <w:rPr>
          <w:rFonts w:hint="eastAsia" w:ascii="仿宋" w:hAnsi="仿宋" w:eastAsia="仿宋"/>
          <w:szCs w:val="32"/>
        </w:rPr>
        <w:t>（三）说明相关主体是否为发行人关联方及其关联关系。</w:t>
      </w:r>
    </w:p>
    <w:p>
      <w:pPr>
        <w:adjustRightInd/>
        <w:snapToGrid/>
        <w:ind w:firstLine="640"/>
        <w:contextualSpacing/>
        <w:rPr>
          <w:rFonts w:ascii="仿宋" w:hAnsi="仿宋" w:eastAsia="仿宋"/>
          <w:szCs w:val="32"/>
        </w:rPr>
      </w:pPr>
      <w:r>
        <w:rPr>
          <w:rFonts w:hint="eastAsia" w:ascii="仿宋" w:hAnsi="仿宋" w:eastAsia="仿宋"/>
          <w:szCs w:val="32"/>
        </w:rPr>
        <w:t>前款所称主要财务状况，是指最近一年的资产总额、资产净额、营业收入、净利润、现金流情况以及其他有利于反映主体财务状况和偿债能力的数据。前款所称资信和诚信情况，是指资信评级情况（如有），是否存在重大违法违规、重大债务逾期和失信行为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重要子公司触发本指引相关披露要求的，发行人应当披露该子公司的基本情况，包括名称、发行人直接或者间接持股情况、资信和诚信情况、主要业务及其最近一年开展情况、最近一年主要财务状况及其占发行人合并报表范围相应数据的比例等。</w:t>
      </w:r>
    </w:p>
    <w:p>
      <w:pPr>
        <w:adjustRightInd/>
        <w:snapToGrid/>
        <w:ind w:firstLine="640"/>
        <w:contextualSpacing/>
        <w:rPr>
          <w:rFonts w:ascii="仿宋" w:hAnsi="仿宋" w:eastAsia="仿宋"/>
          <w:szCs w:val="32"/>
        </w:rPr>
      </w:pPr>
      <w:r>
        <w:rPr>
          <w:rFonts w:hint="eastAsia" w:ascii="仿宋" w:hAnsi="仿宋" w:eastAsia="仿宋"/>
          <w:szCs w:val="32"/>
        </w:rPr>
        <w:t>发行人控股股东、实际控制人触发本指引相关披露要求的，发行人可以简要披露其名称、与发行人的关系等。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信息披露义务人应当按照下列要求分别披露重大事项所涉标的基本情况：</w:t>
      </w:r>
    </w:p>
    <w:p>
      <w:pPr>
        <w:ind w:firstLine="640"/>
        <w:contextualSpacing/>
        <w:rPr>
          <w:rFonts w:ascii="仿宋" w:hAnsi="仿宋" w:eastAsia="仿宋"/>
          <w:szCs w:val="32"/>
        </w:rPr>
      </w:pPr>
      <w:r>
        <w:rPr>
          <w:rFonts w:hint="eastAsia" w:ascii="仿宋" w:hAnsi="仿宋" w:eastAsia="仿宋"/>
          <w:szCs w:val="32"/>
        </w:rPr>
        <w:t>（一）相关标的为股权的，应当披露持股股东名称、与发行人关联关系（如有）、股权最近一年又一期的价值、股权对应标的公司的基本情况。其中，标的公司基本情况应当按照本指引第十七条的规定披露。</w:t>
      </w:r>
    </w:p>
    <w:p>
      <w:pPr>
        <w:ind w:firstLine="640"/>
        <w:contextualSpacing/>
        <w:rPr>
          <w:rFonts w:ascii="仿宋" w:hAnsi="仿宋" w:eastAsia="仿宋"/>
          <w:szCs w:val="32"/>
        </w:rPr>
      </w:pPr>
      <w:r>
        <w:rPr>
          <w:rFonts w:hint="eastAsia" w:ascii="仿宋" w:hAnsi="仿宋" w:eastAsia="仿宋"/>
          <w:szCs w:val="32"/>
        </w:rPr>
        <w:t>（二）相关标的为债权的，应当披露债权人和债务人名称、债权发生原因、债权金额和价值、到期时间、增信情况（如有）、权利救济情况等。</w:t>
      </w:r>
    </w:p>
    <w:p>
      <w:pPr>
        <w:ind w:firstLine="640"/>
        <w:contextualSpacing/>
        <w:rPr>
          <w:rFonts w:ascii="仿宋" w:hAnsi="仿宋" w:eastAsia="仿宋"/>
          <w:szCs w:val="32"/>
        </w:rPr>
      </w:pPr>
      <w:r>
        <w:rPr>
          <w:rFonts w:hint="eastAsia" w:ascii="仿宋" w:hAnsi="仿宋" w:eastAsia="仿宋"/>
          <w:szCs w:val="32"/>
        </w:rPr>
        <w:t>（三）相关标的为其他资产的，应当披露资产名称、类别、权属、运营情况、最近一年又一期的资产价值等。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重大事项存在协议安排的，发行人应当在临时报告中披露协议主要内容，包括协议各方主要权利义务、交易对价的确定依据和公允性、支付方式和期限、标的权属变更安排、协议生效条件、协议的保留或者附加条款、交易履约风险、协议违约责任以及其他可能对发行人财务状况和偿债能力产生重大影响的安排。</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信息披露义务人应当按照下列要求在临时报告中披露重大事项的决策情况：</w:t>
      </w:r>
    </w:p>
    <w:p>
      <w:pPr>
        <w:adjustRightInd/>
        <w:snapToGrid/>
        <w:ind w:firstLine="640"/>
        <w:contextualSpacing/>
        <w:rPr>
          <w:rFonts w:ascii="仿宋" w:hAnsi="仿宋" w:eastAsia="仿宋"/>
          <w:szCs w:val="32"/>
        </w:rPr>
      </w:pPr>
      <w:r>
        <w:rPr>
          <w:rFonts w:hint="eastAsia" w:ascii="仿宋" w:hAnsi="仿宋" w:eastAsia="仿宋"/>
          <w:szCs w:val="32"/>
        </w:rPr>
        <w:t>（一）法律法规或者公司章程规定应当由公司有权决策机构审议通过后实施的，应当披露决策机构、决策时间、决策结果、后续决策安排（如有），并说明决策程序是否符合相关规定。涉及关联交易的，还应当披露关联交易审议情况。</w:t>
      </w:r>
    </w:p>
    <w:p>
      <w:pPr>
        <w:ind w:firstLine="640"/>
        <w:contextualSpacing/>
        <w:rPr>
          <w:rFonts w:ascii="仿宋" w:hAnsi="仿宋" w:eastAsia="仿宋"/>
          <w:szCs w:val="32"/>
        </w:rPr>
      </w:pPr>
      <w:r>
        <w:rPr>
          <w:rFonts w:hint="eastAsia" w:ascii="仿宋" w:hAnsi="仿宋" w:eastAsia="仿宋"/>
          <w:szCs w:val="32"/>
        </w:rPr>
        <w:t>（二）法律法规规定应当由相关主管部门批准或者向其备案的，应当披露批准或者备案的机构、实施时间或者拟提交批准、备案的安排。</w:t>
      </w:r>
    </w:p>
    <w:p>
      <w:pPr>
        <w:ind w:firstLine="640"/>
        <w:contextualSpacing/>
        <w:rPr>
          <w:rFonts w:ascii="仿宋" w:hAnsi="仿宋" w:eastAsia="仿宋"/>
          <w:szCs w:val="32"/>
        </w:rPr>
      </w:pPr>
      <w:r>
        <w:rPr>
          <w:rFonts w:hint="eastAsia" w:ascii="仿宋" w:hAnsi="仿宋" w:eastAsia="仿宋"/>
          <w:szCs w:val="32"/>
        </w:rPr>
        <w:t>（三）说明相关事项是否符合法律法规、本所业务规则的规定以及募集说明书、受托管理协议、持有人会议规则等文件的约定。根据规定或者约定应当征求债券持有人意见的，应当披露持有人会议召开情况或者其他持有人意见征求情况。可能违反相关规定或者约定的，还应当披露已采取或者拟采取的持有人权益救济措施及其成效。</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信息披露义务人应当综合评估相关重大事项对发行人及其相应子公司（如有）生产经营、财务状况、公司治理和偿债能力、增信主体代偿能力、增信措施有效性、公司债券交易价格、投资者权益保护可能产生的影响，结合重大事项的实际情况，客观、公允、有针对性地进行影响分析并在临时报告中披露。预计产生不利影响的，应当进一步披露已采取或者拟采取的应对措施及其相应成效。</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信息披露义务人披露的财务数据和财务指标，法律法规规定应当经审计的，信息披露义务人应当遵守相关规定；未作规定的，应当优先使用经审计的财务数据。</w:t>
      </w:r>
    </w:p>
    <w:p>
      <w:pPr>
        <w:adjustRightInd/>
        <w:snapToGrid/>
        <w:ind w:firstLine="640"/>
        <w:contextualSpacing/>
        <w:rPr>
          <w:rFonts w:ascii="仿宋" w:hAnsi="仿宋" w:eastAsia="仿宋"/>
          <w:szCs w:val="32"/>
        </w:rPr>
      </w:pPr>
      <w:r>
        <w:rPr>
          <w:rFonts w:hint="eastAsia" w:ascii="仿宋" w:hAnsi="仿宋" w:eastAsia="仿宋"/>
          <w:szCs w:val="32"/>
        </w:rPr>
        <w:t>信息披露义务人披露未经审计的相关数据，应当确保披露内容的真实、准确、完整，并注明该财务数据未经审计。</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已披露信息出现错误、遗漏或者误导等情形的，信息披露义务人应当及时披露补充或者更正公告，说明原因、补充或者更正事项、具体影响等，还应当同步披露经补充或者更正的信息披露文件。</w:t>
      </w:r>
    </w:p>
    <w:p>
      <w:pPr>
        <w:pStyle w:val="2"/>
        <w:keepNext/>
        <w:keepLines/>
        <w:adjustRightInd/>
        <w:snapToGrid/>
        <w:spacing w:before="240" w:after="240" w:line="240" w:lineRule="auto"/>
        <w:rPr>
          <w:rFonts w:ascii="黑体" w:hAnsi="黑体"/>
          <w:color w:val="auto"/>
          <w:kern w:val="44"/>
          <w:szCs w:val="32"/>
        </w:rPr>
      </w:pPr>
      <w:bookmarkStart w:id="10" w:name="_Toc122424948"/>
      <w:bookmarkStart w:id="11" w:name="_Toc122425093"/>
      <w:r>
        <w:rPr>
          <w:rFonts w:hint="eastAsia" w:ascii="黑体" w:hAnsi="黑体"/>
          <w:color w:val="auto"/>
          <w:kern w:val="44"/>
          <w:szCs w:val="32"/>
        </w:rPr>
        <w:t>第三章</w:t>
      </w:r>
      <w:r>
        <w:rPr>
          <w:rFonts w:ascii="黑体" w:hAnsi="黑体"/>
          <w:color w:val="auto"/>
          <w:kern w:val="44"/>
          <w:szCs w:val="32"/>
        </w:rPr>
        <w:t xml:space="preserve"> </w:t>
      </w:r>
      <w:r>
        <w:rPr>
          <w:rFonts w:hint="eastAsia" w:ascii="黑体" w:hAnsi="黑体"/>
          <w:color w:val="auto"/>
          <w:kern w:val="44"/>
          <w:szCs w:val="32"/>
        </w:rPr>
        <w:t>发行人重大事项披露要求</w:t>
      </w:r>
      <w:bookmarkEnd w:id="10"/>
      <w:bookmarkEnd w:id="11"/>
    </w:p>
    <w:p>
      <w:pPr>
        <w:pStyle w:val="4"/>
        <w:keepNext/>
        <w:keepLines/>
        <w:adjustRightInd/>
        <w:snapToGrid/>
        <w:spacing w:before="260" w:after="260" w:line="416" w:lineRule="auto"/>
        <w:rPr>
          <w:rFonts w:ascii="楷体" w:hAnsi="楷体" w:eastAsia="楷体"/>
          <w:color w:val="auto"/>
          <w:sz w:val="32"/>
          <w:szCs w:val="20"/>
        </w:rPr>
      </w:pPr>
      <w:bookmarkStart w:id="12" w:name="_Toc69972781"/>
      <w:bookmarkStart w:id="13" w:name="_Toc122424949"/>
      <w:bookmarkStart w:id="14" w:name="_Toc122425094"/>
      <w:r>
        <w:rPr>
          <w:rFonts w:hint="eastAsia" w:ascii="楷体" w:hAnsi="楷体" w:eastAsia="楷体"/>
          <w:color w:val="auto"/>
          <w:sz w:val="32"/>
          <w:szCs w:val="20"/>
        </w:rPr>
        <w:t>第一节</w:t>
      </w:r>
      <w:r>
        <w:rPr>
          <w:rFonts w:ascii="楷体" w:hAnsi="楷体" w:eastAsia="楷体"/>
          <w:color w:val="auto"/>
          <w:sz w:val="32"/>
          <w:szCs w:val="20"/>
        </w:rPr>
        <w:t xml:space="preserve"> </w:t>
      </w:r>
      <w:r>
        <w:rPr>
          <w:rFonts w:hint="eastAsia" w:ascii="楷体" w:hAnsi="楷体" w:eastAsia="楷体"/>
          <w:color w:val="auto"/>
          <w:sz w:val="32"/>
          <w:szCs w:val="20"/>
        </w:rPr>
        <w:t>关于生产经营状况的重大事项</w:t>
      </w:r>
      <w:bookmarkEnd w:id="12"/>
      <w:bookmarkEnd w:id="13"/>
      <w:bookmarkEnd w:id="14"/>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发行人及其重要子公司的生产经营状况发生下列重大不利变化的，发行人应当于知道或者应当知道之日起</w:t>
      </w:r>
      <w:r>
        <w:rPr>
          <w:rFonts w:ascii="仿宋" w:hAnsi="仿宋" w:eastAsia="仿宋"/>
          <w:szCs w:val="32"/>
        </w:rPr>
        <w:t>2个交易日内披露相关事项基本情况、产生原因、预计持续时间、对发行人的影响、应对措施和相应成效：</w:t>
      </w:r>
    </w:p>
    <w:p>
      <w:pPr>
        <w:adjustRightInd/>
        <w:snapToGrid/>
        <w:ind w:firstLine="640"/>
        <w:contextualSpacing/>
        <w:rPr>
          <w:rFonts w:ascii="仿宋" w:hAnsi="仿宋" w:eastAsia="仿宋"/>
          <w:szCs w:val="32"/>
        </w:rPr>
      </w:pPr>
      <w:r>
        <w:rPr>
          <w:rFonts w:hint="eastAsia" w:ascii="仿宋" w:hAnsi="仿宋" w:eastAsia="仿宋"/>
          <w:szCs w:val="32"/>
        </w:rPr>
        <w:t>（一）主要或者全部业务陷入停滞；</w:t>
      </w:r>
    </w:p>
    <w:p>
      <w:pPr>
        <w:adjustRightInd/>
        <w:snapToGrid/>
        <w:ind w:firstLine="640"/>
        <w:contextualSpacing/>
        <w:rPr>
          <w:rFonts w:ascii="仿宋" w:hAnsi="仿宋" w:eastAsia="仿宋"/>
          <w:szCs w:val="32"/>
        </w:rPr>
      </w:pPr>
      <w:r>
        <w:rPr>
          <w:rFonts w:hint="eastAsia" w:ascii="仿宋" w:hAnsi="仿宋" w:eastAsia="仿宋"/>
          <w:szCs w:val="32"/>
        </w:rPr>
        <w:t>（二）丧失重要特许经营权或者其他生产经营业务重要资质；</w:t>
      </w:r>
    </w:p>
    <w:p>
      <w:pPr>
        <w:adjustRightInd/>
        <w:snapToGrid/>
        <w:ind w:firstLine="640"/>
        <w:contextualSpacing/>
        <w:rPr>
          <w:rFonts w:ascii="仿宋" w:hAnsi="仿宋" w:eastAsia="仿宋"/>
          <w:szCs w:val="32"/>
        </w:rPr>
      </w:pPr>
      <w:r>
        <w:rPr>
          <w:rFonts w:hint="eastAsia" w:ascii="仿宋" w:hAnsi="仿宋" w:eastAsia="仿宋"/>
          <w:szCs w:val="32"/>
        </w:rPr>
        <w:t>（三）主要产品、服务的销售或者回款情况、资金归集情况等发生重大变化，对公司的收入、现金流管理等带来不利影响；</w:t>
      </w:r>
    </w:p>
    <w:p>
      <w:pPr>
        <w:adjustRightInd/>
        <w:snapToGrid/>
        <w:ind w:firstLine="640"/>
        <w:contextualSpacing/>
        <w:rPr>
          <w:rFonts w:ascii="仿宋" w:hAnsi="仿宋" w:eastAsia="仿宋"/>
          <w:szCs w:val="32"/>
        </w:rPr>
      </w:pPr>
      <w:r>
        <w:rPr>
          <w:rFonts w:hint="eastAsia" w:ascii="仿宋" w:hAnsi="仿宋" w:eastAsia="仿宋"/>
          <w:szCs w:val="32"/>
        </w:rPr>
        <w:t>（四）严重拖欠职工工资，即公司实发工资总额不足应发工资总额</w:t>
      </w:r>
      <w:r>
        <w:rPr>
          <w:rFonts w:ascii="仿宋" w:hAnsi="仿宋" w:eastAsia="仿宋"/>
          <w:szCs w:val="32"/>
        </w:rPr>
        <w:t>50%并且持续时间达到一个季度以上，但公司已经履行法律法规规定或者相关主管部门要求的程序减免或者延缓支付职工工资的除外；</w:t>
      </w:r>
    </w:p>
    <w:p>
      <w:pPr>
        <w:adjustRightInd/>
        <w:snapToGrid/>
        <w:ind w:firstLine="646" w:firstLineChars="202"/>
        <w:contextualSpacing/>
        <w:rPr>
          <w:rFonts w:ascii="仿宋" w:hAnsi="仿宋" w:eastAsia="仿宋"/>
          <w:szCs w:val="32"/>
        </w:rPr>
      </w:pPr>
      <w:r>
        <w:rPr>
          <w:rFonts w:hint="eastAsia" w:ascii="仿宋" w:hAnsi="仿宋" w:eastAsia="仿宋"/>
          <w:szCs w:val="32"/>
        </w:rPr>
        <w:t>（五）其他可能严重影响发行人偿债能力的情形。</w:t>
      </w:r>
    </w:p>
    <w:p>
      <w:pPr>
        <w:adjustRightInd/>
        <w:snapToGrid/>
        <w:ind w:firstLine="646" w:firstLineChars="202"/>
        <w:contextualSpacing/>
        <w:rPr>
          <w:rFonts w:ascii="仿宋" w:hAnsi="仿宋" w:eastAsia="仿宋"/>
          <w:szCs w:val="32"/>
        </w:rPr>
      </w:pPr>
      <w:r>
        <w:rPr>
          <w:rFonts w:hint="eastAsia" w:ascii="仿宋" w:hAnsi="仿宋" w:eastAsia="仿宋"/>
          <w:szCs w:val="32"/>
        </w:rPr>
        <w:t>发行人或者其重要子公司的主要或者全部业务陷入停滞的，发行人还应当在相关事项基本情况中详细披露具体业务类型，最近一年产生的收入、利润及其占发行人合并报表范围收入和净利润的比重等。</w:t>
      </w:r>
    </w:p>
    <w:p>
      <w:pPr>
        <w:adjustRightInd/>
        <w:snapToGrid/>
        <w:ind w:firstLine="640"/>
        <w:contextualSpacing/>
        <w:rPr>
          <w:rFonts w:ascii="仿宋" w:hAnsi="仿宋" w:eastAsia="仿宋"/>
          <w:szCs w:val="32"/>
        </w:rPr>
      </w:pPr>
      <w:r>
        <w:rPr>
          <w:rFonts w:hint="eastAsia" w:ascii="仿宋" w:hAnsi="仿宋" w:eastAsia="仿宋"/>
          <w:szCs w:val="32"/>
        </w:rPr>
        <w:t>发行人应当于重大不利变化情形消除或者进一步恶化后的</w:t>
      </w:r>
      <w:r>
        <w:rPr>
          <w:rFonts w:ascii="仿宋" w:hAnsi="仿宋" w:eastAsia="仿宋"/>
          <w:szCs w:val="32"/>
        </w:rPr>
        <w:t>2个交易日内披露进展公告。相关重大事项持续超过一个季度仍无实质进展的，发行人应当于每个季度前5个交易日内披露相关事项对发行人的影响、应对措施和相应成效。</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的生产经营外部环境发生不利变化，包括但不限于所在地区或者所属行业的产业政策、竞争格局、融资环境发生重大变化、生产、采购、销售外部环境发生重大不利变化、遭遇重大自然灾害等，导致公司生产经营状况出现重大不利变化的，发行人应当按照第二十五条的规定及时披露临时报告和进展公告。</w:t>
      </w:r>
    </w:p>
    <w:p>
      <w:pPr>
        <w:adjustRightInd/>
        <w:snapToGrid/>
        <w:ind w:firstLine="640"/>
        <w:contextualSpacing/>
        <w:rPr>
          <w:rFonts w:ascii="仿宋" w:hAnsi="仿宋" w:eastAsia="仿宋"/>
          <w:szCs w:val="32"/>
        </w:rPr>
      </w:pPr>
      <w:r>
        <w:rPr>
          <w:rFonts w:hint="eastAsia" w:ascii="仿宋" w:hAnsi="仿宋" w:eastAsia="仿宋"/>
          <w:szCs w:val="32"/>
        </w:rPr>
        <w:t>前款所称生产、采购、销售外部环境发生重大不利变化，是指主要产品或者服务的平均采购成本同比上涨超过</w:t>
      </w:r>
      <w:r>
        <w:rPr>
          <w:rFonts w:ascii="仿宋" w:hAnsi="仿宋" w:eastAsia="仿宋"/>
          <w:szCs w:val="32"/>
        </w:rPr>
        <w:t>30%或者平均销售价格、数量同比下跌超过30%，并且相关不利变化持续时间达到一个季度以上，公司因经营战略调整主动收缩或者剥离相关业务板块导致的变化除外。</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发行人及其重要子公司因实施重大投资或者重大资产重组行为导致发行人经营战略、经营模式或者主营业务发生重大变化的，发行人应当于有权决策机构审议同意或者知道子公司决议实施相关交易之日起</w:t>
      </w:r>
      <w:r>
        <w:rPr>
          <w:rFonts w:ascii="仿宋" w:hAnsi="仿宋" w:eastAsia="仿宋"/>
          <w:szCs w:val="32"/>
        </w:rPr>
        <w:t>2个交易日内披露临时报告，并在签订协议、决策程序取得进展、交易安排或者其执行情况发生重大变化、相关交易交割完毕等事项发生之日起2个交易日内披露进展公告。</w:t>
      </w:r>
    </w:p>
    <w:p>
      <w:pPr>
        <w:adjustRightInd/>
        <w:snapToGrid/>
        <w:ind w:firstLine="646" w:firstLineChars="202"/>
        <w:contextualSpacing/>
        <w:rPr>
          <w:rFonts w:ascii="仿宋" w:hAnsi="仿宋" w:eastAsia="仿宋"/>
          <w:szCs w:val="32"/>
        </w:rPr>
      </w:pPr>
      <w:r>
        <w:rPr>
          <w:rFonts w:hint="eastAsia" w:ascii="仿宋" w:hAnsi="仿宋" w:eastAsia="仿宋"/>
          <w:szCs w:val="32"/>
        </w:rPr>
        <w:t>发行人应当披露相关交易行为的背景和目的、交易涉及各方基本情况、交易标的基本情况、交易协议的主要内容以及履约安排、各方承诺、相关决策情况、持有人会议召开情况（如有）、当前进展情况等，分析相关交易行为对发行人的影响，并说明发行人的应对措施和相应成效（如有）。</w:t>
      </w:r>
    </w:p>
    <w:p>
      <w:pPr>
        <w:adjustRightInd/>
        <w:snapToGrid/>
        <w:ind w:firstLine="646" w:firstLineChars="202"/>
        <w:contextualSpacing/>
        <w:rPr>
          <w:rFonts w:ascii="仿宋" w:hAnsi="仿宋" w:eastAsia="仿宋"/>
          <w:szCs w:val="32"/>
        </w:rPr>
      </w:pPr>
      <w:r>
        <w:rPr>
          <w:rFonts w:hint="eastAsia" w:ascii="仿宋" w:hAnsi="仿宋" w:eastAsia="仿宋"/>
          <w:szCs w:val="32"/>
        </w:rPr>
        <w:t>本条第一款所称重大资产重组，是指发行人及其重要子公司购买、出售资产或者通过其他方式进行资产交易，且达到下列标准之一：</w:t>
      </w:r>
    </w:p>
    <w:p>
      <w:pPr>
        <w:adjustRightInd/>
        <w:snapToGrid/>
        <w:ind w:firstLine="646" w:firstLineChars="202"/>
        <w:contextualSpacing/>
        <w:rPr>
          <w:rFonts w:ascii="仿宋" w:hAnsi="仿宋" w:eastAsia="仿宋"/>
          <w:szCs w:val="32"/>
        </w:rPr>
      </w:pPr>
      <w:r>
        <w:rPr>
          <w:rFonts w:hint="eastAsia" w:ascii="仿宋" w:hAnsi="仿宋" w:eastAsia="仿宋"/>
          <w:szCs w:val="32"/>
        </w:rPr>
        <w:t>（一）标的资产总额占发行人上年末合并报表范围资产总额</w:t>
      </w:r>
      <w:r>
        <w:rPr>
          <w:rFonts w:ascii="仿宋" w:hAnsi="仿宋" w:eastAsia="仿宋"/>
          <w:szCs w:val="32"/>
        </w:rPr>
        <w:t>50%以上；</w:t>
      </w:r>
    </w:p>
    <w:p>
      <w:pPr>
        <w:adjustRightInd/>
        <w:snapToGrid/>
        <w:ind w:firstLine="646" w:firstLineChars="202"/>
        <w:contextualSpacing/>
        <w:rPr>
          <w:rFonts w:ascii="仿宋" w:hAnsi="仿宋" w:eastAsia="仿宋"/>
          <w:szCs w:val="32"/>
        </w:rPr>
      </w:pPr>
      <w:r>
        <w:rPr>
          <w:rFonts w:hint="eastAsia" w:ascii="仿宋" w:hAnsi="仿宋" w:eastAsia="仿宋"/>
          <w:szCs w:val="32"/>
        </w:rPr>
        <w:t>（二）标的资产上年度实现的营业收入占发行人同期合并报表范围营业收入</w:t>
      </w:r>
      <w:r>
        <w:rPr>
          <w:rFonts w:ascii="仿宋" w:hAnsi="仿宋" w:eastAsia="仿宋"/>
          <w:szCs w:val="32"/>
        </w:rPr>
        <w:t>50%以上；</w:t>
      </w:r>
    </w:p>
    <w:p>
      <w:pPr>
        <w:adjustRightInd/>
        <w:snapToGrid/>
        <w:ind w:firstLine="640"/>
        <w:contextualSpacing/>
        <w:rPr>
          <w:rFonts w:ascii="仿宋" w:hAnsi="仿宋" w:eastAsia="仿宋"/>
          <w:szCs w:val="32"/>
        </w:rPr>
      </w:pPr>
      <w:r>
        <w:rPr>
          <w:rFonts w:hint="eastAsia" w:ascii="仿宋" w:hAnsi="仿宋" w:eastAsia="仿宋"/>
          <w:szCs w:val="32"/>
        </w:rPr>
        <w:t>（三）标的资产净额占发行人上年末合并报表范围净资产</w:t>
      </w:r>
      <w:r>
        <w:rPr>
          <w:rFonts w:ascii="仿宋" w:hAnsi="仿宋" w:eastAsia="仿宋"/>
          <w:szCs w:val="32"/>
        </w:rPr>
        <w:t>50%以上，且超过5000万元。</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因发生安全事故、遭受自然灾害、承担大额赔偿、债权出现逾期或者预计难以实现、资产发生减值、投资亏损、履行担保责任、资产公允价值发生变动等原因导致预计发生超过发行人上年末合并报表范围净资产</w:t>
      </w:r>
      <w:r>
        <w:rPr>
          <w:rFonts w:ascii="仿宋" w:hAnsi="仿宋" w:eastAsia="仿宋"/>
          <w:szCs w:val="32"/>
        </w:rPr>
        <w:t>10%的重大损失的，发行人应当于决定确认损失或者知道子公司相应决定之日起2个交易日内披露发生重大损失主体的基本情况、损失相关事由的具体情况、发生原因、发生时间、具体资产情况（如有）、相关决策情况、预计损失金额、对发行人的影响，并及时披露损失确定、后续处理应对等进展情况。</w:t>
      </w:r>
    </w:p>
    <w:p>
      <w:pPr>
        <w:pStyle w:val="4"/>
        <w:keepNext/>
        <w:keepLines/>
        <w:adjustRightInd/>
        <w:snapToGrid/>
        <w:spacing w:before="260" w:after="260" w:line="416" w:lineRule="auto"/>
        <w:rPr>
          <w:rFonts w:ascii="楷体" w:hAnsi="楷体" w:eastAsia="楷体"/>
          <w:color w:val="auto"/>
          <w:sz w:val="32"/>
          <w:szCs w:val="20"/>
        </w:rPr>
      </w:pPr>
      <w:bookmarkStart w:id="15" w:name="_Toc122424950"/>
      <w:bookmarkStart w:id="16" w:name="_Toc69972782"/>
      <w:bookmarkStart w:id="17" w:name="_Toc122425095"/>
      <w:r>
        <w:rPr>
          <w:rFonts w:hint="eastAsia" w:ascii="楷体" w:hAnsi="楷体" w:eastAsia="楷体"/>
          <w:color w:val="auto"/>
          <w:sz w:val="32"/>
          <w:szCs w:val="20"/>
        </w:rPr>
        <w:t>第二节</w:t>
      </w:r>
      <w:r>
        <w:rPr>
          <w:rFonts w:ascii="楷体" w:hAnsi="楷体" w:eastAsia="楷体"/>
          <w:color w:val="auto"/>
          <w:sz w:val="32"/>
          <w:szCs w:val="20"/>
        </w:rPr>
        <w:t xml:space="preserve"> </w:t>
      </w:r>
      <w:r>
        <w:rPr>
          <w:rFonts w:hint="eastAsia" w:ascii="楷体" w:hAnsi="楷体" w:eastAsia="楷体"/>
          <w:color w:val="auto"/>
          <w:sz w:val="32"/>
          <w:szCs w:val="20"/>
        </w:rPr>
        <w:t>关于资产状况的重大事项</w:t>
      </w:r>
      <w:bookmarkEnd w:id="15"/>
      <w:bookmarkEnd w:id="16"/>
      <w:bookmarkEnd w:id="17"/>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发行人及其子公司出售或者转让资产并且达到下列标准之一的，发行人应当于有权决策机构审议同意或者知道子公司相关决定之日起</w:t>
      </w:r>
      <w:r>
        <w:rPr>
          <w:rFonts w:ascii="仿宋" w:hAnsi="仿宋" w:eastAsia="仿宋"/>
          <w:szCs w:val="32"/>
        </w:rPr>
        <w:t>2个交易日内披露交易背景、交易各方基本情况、交易标的基本情况、交易协议的签署情况、主要内容以及履约安排、相关决策情况、对发行人的影响、应对措施和相应成效（如有）:</w:t>
      </w:r>
    </w:p>
    <w:p>
      <w:pPr>
        <w:ind w:firstLine="640"/>
        <w:contextualSpacing/>
        <w:rPr>
          <w:rFonts w:ascii="仿宋" w:hAnsi="仿宋" w:eastAsia="仿宋"/>
          <w:szCs w:val="32"/>
        </w:rPr>
      </w:pPr>
      <w:r>
        <w:rPr>
          <w:rFonts w:hint="eastAsia" w:ascii="仿宋" w:hAnsi="仿宋" w:eastAsia="仿宋"/>
          <w:szCs w:val="32"/>
        </w:rPr>
        <w:t>（一）标的资产总额占发行人上年末合并报表范围总资产的</w:t>
      </w:r>
      <w:r>
        <w:rPr>
          <w:rFonts w:ascii="仿宋" w:hAnsi="仿宋" w:eastAsia="仿宋"/>
          <w:szCs w:val="32"/>
        </w:rPr>
        <w:t>10%以上；</w:t>
      </w:r>
    </w:p>
    <w:p>
      <w:pPr>
        <w:ind w:firstLine="640"/>
        <w:contextualSpacing/>
        <w:rPr>
          <w:rFonts w:ascii="仿宋" w:hAnsi="仿宋" w:eastAsia="仿宋"/>
          <w:color w:val="auto"/>
          <w:szCs w:val="32"/>
        </w:rPr>
      </w:pPr>
      <w:r>
        <w:rPr>
          <w:rFonts w:hint="eastAsia" w:ascii="仿宋" w:hAnsi="仿宋" w:eastAsia="仿宋"/>
          <w:color w:val="auto"/>
          <w:szCs w:val="32"/>
        </w:rPr>
        <w:t>（二）交易标的（如股权）涉及的资产净额占发行人上年末</w:t>
      </w:r>
      <w:r>
        <w:rPr>
          <w:rFonts w:hint="eastAsia" w:ascii="仿宋" w:hAnsi="仿宋" w:eastAsia="仿宋"/>
          <w:szCs w:val="32"/>
        </w:rPr>
        <w:t>合并报表范围</w:t>
      </w:r>
      <w:r>
        <w:rPr>
          <w:rFonts w:hint="eastAsia" w:ascii="仿宋" w:hAnsi="仿宋" w:eastAsia="仿宋"/>
          <w:color w:val="auto"/>
          <w:szCs w:val="32"/>
        </w:rPr>
        <w:t>净资产的</w:t>
      </w:r>
      <w:r>
        <w:rPr>
          <w:rFonts w:ascii="仿宋" w:hAnsi="仿宋" w:eastAsia="仿宋"/>
          <w:color w:val="auto"/>
          <w:szCs w:val="32"/>
        </w:rPr>
        <w:t>10%以上，且超过1000万元；</w:t>
      </w:r>
    </w:p>
    <w:p>
      <w:pPr>
        <w:ind w:firstLine="640"/>
        <w:contextualSpacing/>
        <w:rPr>
          <w:rFonts w:ascii="仿宋" w:hAnsi="仿宋" w:eastAsia="仿宋"/>
          <w:color w:val="auto"/>
          <w:szCs w:val="32"/>
        </w:rPr>
      </w:pPr>
      <w:r>
        <w:rPr>
          <w:rFonts w:hint="eastAsia" w:ascii="仿宋" w:hAnsi="仿宋" w:eastAsia="仿宋"/>
          <w:color w:val="auto"/>
          <w:szCs w:val="32"/>
        </w:rPr>
        <w:t>（三）交易标的（如股权）上年度相关的营业收入占发行人上年度</w:t>
      </w:r>
      <w:r>
        <w:rPr>
          <w:rFonts w:hint="eastAsia" w:ascii="仿宋" w:hAnsi="仿宋" w:eastAsia="仿宋"/>
          <w:szCs w:val="32"/>
        </w:rPr>
        <w:t>合并报表范围</w:t>
      </w:r>
      <w:r>
        <w:rPr>
          <w:rFonts w:hint="eastAsia" w:ascii="仿宋" w:hAnsi="仿宋" w:eastAsia="仿宋"/>
          <w:color w:val="auto"/>
          <w:szCs w:val="32"/>
        </w:rPr>
        <w:t>营业收入的</w:t>
      </w:r>
      <w:r>
        <w:rPr>
          <w:rFonts w:ascii="仿宋" w:hAnsi="仿宋" w:eastAsia="仿宋"/>
          <w:color w:val="auto"/>
          <w:szCs w:val="32"/>
        </w:rPr>
        <w:t>10%以上，且超过1000万元；</w:t>
      </w:r>
    </w:p>
    <w:p>
      <w:pPr>
        <w:ind w:firstLine="640"/>
        <w:contextualSpacing/>
        <w:rPr>
          <w:rFonts w:ascii="仿宋" w:hAnsi="仿宋" w:eastAsia="仿宋"/>
          <w:color w:val="auto"/>
          <w:szCs w:val="32"/>
        </w:rPr>
      </w:pPr>
      <w:r>
        <w:rPr>
          <w:rFonts w:hint="eastAsia" w:ascii="仿宋" w:hAnsi="仿宋" w:eastAsia="仿宋"/>
          <w:color w:val="auto"/>
          <w:szCs w:val="32"/>
        </w:rPr>
        <w:t>（四）交易标的（如股权）上年度相关的净利润占发行人上年度</w:t>
      </w:r>
      <w:r>
        <w:rPr>
          <w:rFonts w:hint="eastAsia" w:ascii="仿宋" w:hAnsi="仿宋" w:eastAsia="仿宋"/>
          <w:szCs w:val="32"/>
        </w:rPr>
        <w:t>合并报表范围</w:t>
      </w:r>
      <w:r>
        <w:rPr>
          <w:rFonts w:hint="eastAsia" w:ascii="仿宋" w:hAnsi="仿宋" w:eastAsia="仿宋"/>
          <w:color w:val="auto"/>
          <w:szCs w:val="32"/>
        </w:rPr>
        <w:t>净利润的</w:t>
      </w:r>
      <w:r>
        <w:rPr>
          <w:rFonts w:ascii="仿宋" w:hAnsi="仿宋" w:eastAsia="仿宋"/>
          <w:color w:val="auto"/>
          <w:szCs w:val="32"/>
        </w:rPr>
        <w:t>10%以上，且超过100万元；</w:t>
      </w:r>
    </w:p>
    <w:p>
      <w:pPr>
        <w:ind w:firstLine="640"/>
        <w:contextualSpacing/>
        <w:rPr>
          <w:rFonts w:ascii="仿宋" w:hAnsi="仿宋" w:eastAsia="仿宋"/>
          <w:szCs w:val="32"/>
        </w:rPr>
      </w:pPr>
      <w:r>
        <w:rPr>
          <w:rFonts w:hint="eastAsia" w:ascii="仿宋" w:hAnsi="仿宋" w:eastAsia="仿宋"/>
          <w:szCs w:val="32"/>
        </w:rPr>
        <w:t>（五）交易的成交金额（包括承担的债务和费用）占发行人上年末合并报表范围净资产的</w:t>
      </w:r>
      <w:r>
        <w:rPr>
          <w:rFonts w:ascii="仿宋" w:hAnsi="仿宋" w:eastAsia="仿宋"/>
          <w:szCs w:val="32"/>
        </w:rPr>
        <w:t>10%以上，且超过1000万元；</w:t>
      </w:r>
    </w:p>
    <w:p>
      <w:pPr>
        <w:ind w:firstLine="640"/>
        <w:contextualSpacing/>
        <w:rPr>
          <w:rFonts w:ascii="仿宋" w:hAnsi="仿宋" w:eastAsia="仿宋"/>
          <w:szCs w:val="32"/>
        </w:rPr>
      </w:pPr>
      <w:r>
        <w:rPr>
          <w:rFonts w:hint="eastAsia" w:ascii="仿宋" w:hAnsi="仿宋" w:eastAsia="仿宋"/>
          <w:szCs w:val="32"/>
        </w:rPr>
        <w:t>（六）交易产生的损益占发行人上年度合并报表范围净利润的</w:t>
      </w:r>
      <w:r>
        <w:rPr>
          <w:rFonts w:ascii="仿宋" w:hAnsi="仿宋" w:eastAsia="仿宋"/>
          <w:szCs w:val="32"/>
        </w:rPr>
        <w:t>10%以上，且超过100万元。</w:t>
      </w:r>
    </w:p>
    <w:p>
      <w:pPr>
        <w:adjustRightInd/>
        <w:snapToGrid/>
        <w:ind w:firstLine="640"/>
        <w:contextualSpacing/>
        <w:rPr>
          <w:rFonts w:ascii="仿宋" w:hAnsi="仿宋" w:eastAsia="仿宋"/>
          <w:bCs/>
          <w:szCs w:val="32"/>
        </w:rPr>
      </w:pPr>
      <w:r>
        <w:rPr>
          <w:rFonts w:hint="eastAsia" w:ascii="仿宋" w:hAnsi="仿宋" w:eastAsia="仿宋"/>
          <w:szCs w:val="32"/>
        </w:rPr>
        <w:t>发行人应当于签订协议、获得主管部门批准（如有）、完成资产权属变更登记等情形发生之日起</w:t>
      </w:r>
      <w:r>
        <w:rPr>
          <w:rFonts w:ascii="仿宋" w:hAnsi="仿宋" w:eastAsia="仿宋"/>
          <w:szCs w:val="32"/>
        </w:rPr>
        <w:t>2个交易日内披露进展公告。</w:t>
      </w:r>
    </w:p>
    <w:p>
      <w:pPr>
        <w:adjustRightInd/>
        <w:snapToGrid/>
        <w:ind w:firstLine="640"/>
        <w:contextualSpacing/>
        <w:rPr>
          <w:rFonts w:ascii="仿宋" w:hAnsi="仿宋" w:eastAsia="仿宋"/>
          <w:szCs w:val="32"/>
        </w:rPr>
      </w:pPr>
      <w:r>
        <w:rPr>
          <w:rFonts w:hint="eastAsia" w:ascii="仿宋" w:hAnsi="仿宋" w:eastAsia="仿宋"/>
          <w:szCs w:val="32"/>
        </w:rPr>
        <w:t>本条所称的出售、转让资产，是指日常经营活动之外的出售、转让，不包括购买原材料、燃料和动力，以及出售产品、商品等与日常经营相关的资产转让出售行为，资产置换中涉及到的此类资产出售、转让行为，包括在内。</w:t>
      </w:r>
    </w:p>
    <w:p>
      <w:pPr>
        <w:ind w:firstLine="640"/>
        <w:contextualSpacing/>
        <w:rPr>
          <w:rFonts w:ascii="仿宋" w:hAnsi="仿宋" w:eastAsia="仿宋"/>
          <w:szCs w:val="32"/>
        </w:rPr>
      </w:pPr>
      <w:r>
        <w:rPr>
          <w:rFonts w:hint="eastAsia" w:ascii="仿宋" w:hAnsi="仿宋" w:eastAsia="仿宋"/>
          <w:szCs w:val="32"/>
        </w:rPr>
        <w:t>发行人出售、转让股权的，应当按照发行人所持标的公司股权变动比例计算相关财务指标适用本条第一款的规定，但交易将导致发行人合并报表范围发生变更的，应当将该股权所对应的标的公司的相关财务指标作为计算基础。</w:t>
      </w:r>
    </w:p>
    <w:p>
      <w:pPr>
        <w:adjustRightInd/>
        <w:snapToGrid/>
        <w:ind w:firstLine="640"/>
        <w:contextualSpacing/>
        <w:rPr>
          <w:rFonts w:ascii="仿宋" w:hAnsi="仿宋" w:eastAsia="仿宋"/>
          <w:szCs w:val="32"/>
        </w:rPr>
      </w:pPr>
      <w:r>
        <w:rPr>
          <w:rFonts w:hint="eastAsia" w:ascii="仿宋" w:hAnsi="仿宋" w:eastAsia="仿宋"/>
          <w:bCs/>
          <w:szCs w:val="32"/>
        </w:rPr>
        <w:t>发行人与其子公司之间出售、转让资产适用本条规定。发行人</w:t>
      </w:r>
      <w:r>
        <w:rPr>
          <w:rFonts w:hint="eastAsia" w:ascii="仿宋" w:hAnsi="仿宋" w:eastAsia="仿宋"/>
          <w:szCs w:val="32"/>
        </w:rPr>
        <w:t>子公司之间出售、转让资产的，无需按照本条进行信息披露。</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发行人及其子公司放弃债权、无偿划转或者赠予资产，且单次被处分财产价值占发行人上年末合并报表范围净资产</w:t>
      </w:r>
      <w:r>
        <w:rPr>
          <w:rFonts w:ascii="仿宋" w:hAnsi="仿宋" w:eastAsia="仿宋"/>
          <w:szCs w:val="32"/>
        </w:rPr>
        <w:t>10%以上的，发行人应当于有权决策机构审议同意或者知道子公司相关决议之日起2个交易日内披露被处分财产情况、当事人各方基本情况、协议主要内容（如有）、放弃财产原因、相关决策情况、对发行人的影响</w:t>
      </w:r>
      <w:r>
        <w:rPr>
          <w:rFonts w:hint="eastAsia" w:ascii="仿宋" w:hAnsi="仿宋" w:eastAsia="仿宋"/>
          <w:szCs w:val="32"/>
        </w:rPr>
        <w:t>、</w:t>
      </w:r>
      <w:r>
        <w:rPr>
          <w:rFonts w:ascii="仿宋" w:hAnsi="仿宋" w:eastAsia="仿宋"/>
          <w:szCs w:val="32"/>
        </w:rPr>
        <w:t>应对措施和相应成效（如有）等。</w:t>
      </w:r>
    </w:p>
    <w:p>
      <w:pPr>
        <w:adjustRightInd/>
        <w:snapToGrid/>
        <w:ind w:firstLine="640"/>
        <w:contextualSpacing/>
        <w:rPr>
          <w:rFonts w:ascii="仿宋" w:hAnsi="仿宋" w:eastAsia="仿宋"/>
          <w:szCs w:val="32"/>
        </w:rPr>
      </w:pPr>
      <w:r>
        <w:rPr>
          <w:rFonts w:hint="eastAsia" w:ascii="仿宋" w:hAnsi="仿宋" w:eastAsia="仿宋"/>
          <w:szCs w:val="32"/>
        </w:rPr>
        <w:t>发行人应当于签订协议、获得主管部门批准（如有）、完成权属变更登记等情形发生之日起</w:t>
      </w:r>
      <w:r>
        <w:rPr>
          <w:rFonts w:ascii="仿宋" w:hAnsi="仿宋" w:eastAsia="仿宋"/>
          <w:szCs w:val="32"/>
        </w:rPr>
        <w:t>2个交易日内披露进展公告。</w:t>
      </w:r>
    </w:p>
    <w:p>
      <w:pPr>
        <w:adjustRightInd/>
        <w:snapToGrid/>
        <w:ind w:firstLine="560" w:firstLineChars="0"/>
        <w:contextualSpacing/>
        <w:rPr>
          <w:rFonts w:ascii="仿宋" w:hAnsi="仿宋" w:eastAsia="仿宋"/>
          <w:szCs w:val="32"/>
        </w:rPr>
      </w:pPr>
      <w:r>
        <w:rPr>
          <w:rFonts w:hint="eastAsia" w:ascii="仿宋" w:hAnsi="仿宋" w:eastAsia="仿宋"/>
          <w:color w:val="auto"/>
          <w:szCs w:val="32"/>
        </w:rPr>
        <w:t>发行人及其子公司发生本条第一款规定的行为，且一个自然年度内被处分财产价值累计每超过发行人上年末</w:t>
      </w:r>
      <w:r>
        <w:rPr>
          <w:rFonts w:hint="eastAsia" w:ascii="仿宋" w:hAnsi="仿宋" w:eastAsia="仿宋"/>
          <w:szCs w:val="32"/>
        </w:rPr>
        <w:t>合并报表范围</w:t>
      </w:r>
      <w:r>
        <w:rPr>
          <w:rFonts w:hint="eastAsia" w:ascii="仿宋" w:hAnsi="仿宋" w:eastAsia="仿宋"/>
          <w:color w:val="auto"/>
          <w:szCs w:val="32"/>
        </w:rPr>
        <w:t>净资产</w:t>
      </w:r>
      <w:r>
        <w:rPr>
          <w:rFonts w:ascii="仿宋" w:hAnsi="仿宋" w:eastAsia="仿宋"/>
          <w:color w:val="auto"/>
          <w:szCs w:val="32"/>
        </w:rPr>
        <w:t>30%的，发行人应当于下一季度前5个交易日内披露该年度内累计被处分财产价值总额、按财产类型分列的财产价值、相关决策情况、</w:t>
      </w:r>
      <w:r>
        <w:rPr>
          <w:rFonts w:hint="eastAsia" w:ascii="仿宋" w:hAnsi="仿宋" w:eastAsia="仿宋"/>
          <w:szCs w:val="32"/>
        </w:rPr>
        <w:t>对发行人的影响、应对措施和相应成效（如有）等</w:t>
      </w:r>
      <w:r>
        <w:rPr>
          <w:rFonts w:hint="eastAsia" w:ascii="仿宋" w:hAnsi="仿宋" w:eastAsia="仿宋"/>
          <w:color w:val="auto"/>
          <w:szCs w:val="32"/>
        </w:rPr>
        <w:t>。</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触发本指引第二十九条、第三十条披露标准，并且相关事项可能导致发行人合并报表范围发生变更的，发行人还应当披露发行人与该不再纳入合并报表范围子公司之间的关联担保、资金占用情况以及后续调整安排。</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发行人及其子公司的固定资产未达到正常使用年限而报废清理，且单项资产价值占发行人上年末合并报表范围净资产</w:t>
      </w:r>
      <w:r>
        <w:rPr>
          <w:rFonts w:ascii="仿宋" w:hAnsi="仿宋" w:eastAsia="仿宋"/>
          <w:szCs w:val="32"/>
        </w:rPr>
        <w:t>10%以上的，发行人应当于相关资产报废处理完成之日起2个交易日内披露报废资产的所有权人与使用主体、价值变动情况、报废原因、资产清理情况、相关决策情况、对发行人的影响及其应对措施（如有）等。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发行人及其合并范围内子公司的资产被查封、扣押或者冻结，且单项资产受限价值占发行人上年末合并报表范围净资产</w:t>
      </w:r>
      <w:r>
        <w:rPr>
          <w:rFonts w:ascii="仿宋" w:hAnsi="仿宋" w:eastAsia="仿宋"/>
          <w:szCs w:val="32"/>
        </w:rPr>
        <w:t>10%以上，或者虽不满足前述标准但相应资产对公司生产经营有重要影响的，发行人应当于收到有权机关法律文书或者知道子公司资产被查封、扣押或者冻结之日起2个交易日内，披露受限资产情况、受限原因、相关案件进展情况、实施机构、起止期限、受限资产的其他权利限制安排、对发行人的影响、应对措施和相应成效等。</w:t>
      </w:r>
    </w:p>
    <w:p>
      <w:pPr>
        <w:adjustRightInd/>
        <w:snapToGrid/>
        <w:ind w:firstLine="560" w:firstLineChars="0"/>
        <w:contextualSpacing/>
        <w:rPr>
          <w:rFonts w:ascii="仿宋" w:hAnsi="仿宋" w:eastAsia="仿宋"/>
          <w:color w:val="auto"/>
          <w:szCs w:val="32"/>
        </w:rPr>
      </w:pPr>
      <w:r>
        <w:rPr>
          <w:rFonts w:hint="eastAsia" w:ascii="仿宋" w:hAnsi="仿宋" w:eastAsia="仿宋"/>
          <w:color w:val="auto"/>
          <w:szCs w:val="32"/>
        </w:rPr>
        <w:t>发行人及其子公司资产被查封、扣押或者冻结，且季末资产受限价值累计</w:t>
      </w:r>
      <w:r>
        <w:rPr>
          <w:rFonts w:hint="eastAsia" w:ascii="仿宋" w:hAnsi="仿宋" w:eastAsia="仿宋"/>
          <w:szCs w:val="32"/>
        </w:rPr>
        <w:t>每新增达到</w:t>
      </w:r>
      <w:r>
        <w:rPr>
          <w:rFonts w:hint="eastAsia" w:ascii="仿宋" w:hAnsi="仿宋" w:eastAsia="仿宋"/>
          <w:color w:val="auto"/>
          <w:szCs w:val="32"/>
        </w:rPr>
        <w:t>发行人上年末</w:t>
      </w:r>
      <w:r>
        <w:rPr>
          <w:rFonts w:hint="eastAsia" w:ascii="仿宋" w:hAnsi="仿宋" w:eastAsia="仿宋"/>
          <w:szCs w:val="32"/>
        </w:rPr>
        <w:t>合并报表范围</w:t>
      </w:r>
      <w:r>
        <w:rPr>
          <w:rFonts w:hint="eastAsia" w:ascii="仿宋" w:hAnsi="仿宋" w:eastAsia="仿宋"/>
          <w:color w:val="auto"/>
          <w:szCs w:val="32"/>
        </w:rPr>
        <w:t>净资产</w:t>
      </w:r>
      <w:r>
        <w:rPr>
          <w:rFonts w:ascii="仿宋" w:hAnsi="仿宋" w:eastAsia="仿宋"/>
          <w:color w:val="auto"/>
          <w:szCs w:val="32"/>
        </w:rPr>
        <w:t>30%以上的，发行人应当于下一季度前5个交易日内披露被查封、扣押或者冻结的资产价值总额及其受限总额、按资产类型分列的资产价值及其受限金额、对发行人的影响、应对措施和相应成效。</w:t>
      </w:r>
    </w:p>
    <w:p>
      <w:pPr>
        <w:adjustRightInd/>
        <w:snapToGrid/>
        <w:ind w:firstLine="560" w:firstLineChars="0"/>
        <w:contextualSpacing/>
        <w:rPr>
          <w:rFonts w:ascii="仿宋" w:hAnsi="仿宋" w:eastAsia="仿宋"/>
          <w:szCs w:val="32"/>
        </w:rPr>
      </w:pPr>
      <w:r>
        <w:rPr>
          <w:rFonts w:hint="eastAsia" w:ascii="仿宋" w:hAnsi="仿宋" w:eastAsia="仿宋"/>
          <w:szCs w:val="32"/>
        </w:rPr>
        <w:t>发行人应当于收到有权机构解除查封、扣押或者冻结法律文书或者知道子公司资产被解除查封、扣押或者冻结之日起</w:t>
      </w:r>
      <w:r>
        <w:rPr>
          <w:rFonts w:ascii="仿宋" w:hAnsi="仿宋" w:eastAsia="仿宋"/>
          <w:szCs w:val="32"/>
        </w:rPr>
        <w:t>2个交易日内披露进展公告，并说明该受限资产是否存在其他权利受限安排。因发行人及其子公司提供其他形式增信</w:t>
      </w:r>
      <w:r>
        <w:rPr>
          <w:rFonts w:hint="eastAsia" w:ascii="仿宋" w:hAnsi="仿宋" w:eastAsia="仿宋"/>
          <w:szCs w:val="32"/>
        </w:rPr>
        <w:t>措施导致查封、扣押或者冻结被解除的，发行人还应当披露相应增信措施的具体情况。</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发行人及其子公司抵质押资产，单项资产受限价值占发行人上年末合并报表范围净资产</w:t>
      </w:r>
      <w:r>
        <w:rPr>
          <w:rFonts w:ascii="仿宋" w:hAnsi="仿宋" w:eastAsia="仿宋"/>
          <w:szCs w:val="32"/>
        </w:rPr>
        <w:t>10%以上的，发行人应当于有权决策机构审议同意或者知道子公司相关决议之日起2个交易日内披露抵质押情况、抵质押资产的基本情况及其累计权利受限情况、相关决策情况、对发行人的影响、应对措施和相应成效等。</w:t>
      </w:r>
    </w:p>
    <w:p>
      <w:pPr>
        <w:ind w:firstLine="640"/>
        <w:contextualSpacing/>
        <w:rPr>
          <w:rFonts w:ascii="仿宋" w:hAnsi="仿宋" w:eastAsia="仿宋"/>
          <w:szCs w:val="32"/>
        </w:rPr>
      </w:pPr>
      <w:r>
        <w:rPr>
          <w:rFonts w:hint="eastAsia" w:ascii="仿宋" w:hAnsi="仿宋" w:eastAsia="仿宋"/>
          <w:szCs w:val="32"/>
        </w:rPr>
        <w:t>前款所称抵质押情况，包括但不限于下列事项：</w:t>
      </w:r>
    </w:p>
    <w:p>
      <w:pPr>
        <w:ind w:firstLine="640"/>
        <w:contextualSpacing/>
        <w:rPr>
          <w:rFonts w:ascii="仿宋" w:hAnsi="仿宋" w:eastAsia="仿宋"/>
          <w:szCs w:val="32"/>
        </w:rPr>
      </w:pPr>
      <w:r>
        <w:rPr>
          <w:rFonts w:hint="eastAsia" w:ascii="仿宋" w:hAnsi="仿宋" w:eastAsia="仿宋"/>
          <w:szCs w:val="32"/>
        </w:rPr>
        <w:t>（一）债权人、债务人、抵质押人名称；</w:t>
      </w:r>
    </w:p>
    <w:p>
      <w:pPr>
        <w:ind w:firstLine="640"/>
        <w:contextualSpacing/>
        <w:rPr>
          <w:rFonts w:ascii="仿宋" w:hAnsi="仿宋" w:eastAsia="仿宋"/>
          <w:szCs w:val="32"/>
        </w:rPr>
      </w:pPr>
      <w:r>
        <w:rPr>
          <w:rFonts w:hint="eastAsia" w:ascii="仿宋" w:hAnsi="仿宋" w:eastAsia="仿宋"/>
          <w:szCs w:val="32"/>
        </w:rPr>
        <w:t>（二）担保人和被担保人基本情况；</w:t>
      </w:r>
    </w:p>
    <w:p>
      <w:pPr>
        <w:ind w:firstLine="640"/>
        <w:contextualSpacing/>
        <w:rPr>
          <w:rFonts w:ascii="仿宋" w:hAnsi="仿宋" w:eastAsia="仿宋"/>
          <w:szCs w:val="32"/>
        </w:rPr>
      </w:pPr>
      <w:r>
        <w:rPr>
          <w:rFonts w:hint="eastAsia" w:ascii="仿宋" w:hAnsi="仿宋" w:eastAsia="仿宋"/>
          <w:szCs w:val="32"/>
        </w:rPr>
        <w:t>（三）被担保债权金额、类型、起止期限；</w:t>
      </w:r>
    </w:p>
    <w:p>
      <w:pPr>
        <w:ind w:firstLine="640"/>
        <w:contextualSpacing/>
        <w:rPr>
          <w:rFonts w:ascii="仿宋" w:hAnsi="仿宋" w:eastAsia="仿宋"/>
          <w:szCs w:val="32"/>
        </w:rPr>
      </w:pPr>
      <w:r>
        <w:rPr>
          <w:rFonts w:hint="eastAsia" w:ascii="仿宋" w:hAnsi="仿宋" w:eastAsia="仿宋"/>
          <w:szCs w:val="32"/>
        </w:rPr>
        <w:t>（四）抵质押类型、金额、担保范围、担保责任承担期间；如为最高额抵质押的，应当披露其最高金额；</w:t>
      </w:r>
    </w:p>
    <w:p>
      <w:pPr>
        <w:ind w:firstLine="640"/>
        <w:contextualSpacing/>
        <w:rPr>
          <w:rFonts w:ascii="仿宋" w:hAnsi="仿宋" w:eastAsia="仿宋"/>
          <w:szCs w:val="32"/>
        </w:rPr>
      </w:pPr>
      <w:r>
        <w:rPr>
          <w:rFonts w:hint="eastAsia" w:ascii="仿宋" w:hAnsi="仿宋" w:eastAsia="仿宋"/>
          <w:szCs w:val="32"/>
        </w:rPr>
        <w:t>（五）共同担保、反担保情况（如有）；</w:t>
      </w:r>
    </w:p>
    <w:p>
      <w:pPr>
        <w:adjustRightInd/>
        <w:snapToGrid/>
        <w:ind w:firstLine="640"/>
        <w:contextualSpacing/>
        <w:rPr>
          <w:rFonts w:ascii="仿宋" w:hAnsi="仿宋" w:eastAsia="仿宋"/>
          <w:szCs w:val="32"/>
        </w:rPr>
      </w:pPr>
      <w:r>
        <w:rPr>
          <w:rFonts w:hint="eastAsia" w:ascii="仿宋" w:hAnsi="仿宋" w:eastAsia="仿宋"/>
          <w:szCs w:val="32"/>
        </w:rPr>
        <w:t>（六）抵质押协议签署、抵质押物登记或者交付情况。</w:t>
      </w:r>
    </w:p>
    <w:p>
      <w:pPr>
        <w:adjustRightInd/>
        <w:snapToGrid/>
        <w:ind w:firstLine="640"/>
        <w:contextualSpacing/>
        <w:rPr>
          <w:rFonts w:ascii="仿宋" w:hAnsi="仿宋" w:eastAsia="仿宋"/>
          <w:color w:val="auto"/>
          <w:szCs w:val="32"/>
        </w:rPr>
      </w:pPr>
      <w:r>
        <w:rPr>
          <w:rFonts w:hint="eastAsia" w:ascii="仿宋" w:hAnsi="仿宋" w:eastAsia="仿宋"/>
          <w:color w:val="auto"/>
          <w:szCs w:val="32"/>
        </w:rPr>
        <w:t>发行人及其子公司抵质押资产，且季末资产受限价值累计每新增超过发行人上年末</w:t>
      </w:r>
      <w:r>
        <w:rPr>
          <w:rFonts w:hint="eastAsia" w:ascii="仿宋" w:hAnsi="仿宋" w:eastAsia="仿宋"/>
          <w:szCs w:val="32"/>
        </w:rPr>
        <w:t>合并报表范围</w:t>
      </w:r>
      <w:r>
        <w:rPr>
          <w:rFonts w:hint="eastAsia" w:ascii="仿宋" w:hAnsi="仿宋" w:eastAsia="仿宋"/>
          <w:color w:val="auto"/>
          <w:szCs w:val="32"/>
        </w:rPr>
        <w:t>净资产</w:t>
      </w:r>
      <w:r>
        <w:rPr>
          <w:rFonts w:ascii="仿宋" w:hAnsi="仿宋" w:eastAsia="仿宋"/>
          <w:color w:val="auto"/>
          <w:szCs w:val="32"/>
        </w:rPr>
        <w:t>50%的，发行人应当于下一季度前5个交易日内披露累计抵质押资产的价值总额及其受限总额、按资产类型分列的各类资产价值及其受限金额、对发行人的影响、应对措施和相应成效等。</w:t>
      </w:r>
    </w:p>
    <w:p>
      <w:pPr>
        <w:adjustRightInd/>
        <w:snapToGrid/>
        <w:ind w:firstLine="640"/>
        <w:contextualSpacing/>
        <w:rPr>
          <w:rFonts w:ascii="仿宋" w:hAnsi="仿宋" w:eastAsia="仿宋"/>
          <w:color w:val="auto"/>
          <w:szCs w:val="32"/>
        </w:rPr>
      </w:pPr>
      <w:r>
        <w:rPr>
          <w:rFonts w:hint="eastAsia" w:ascii="仿宋" w:hAnsi="仿宋" w:eastAsia="仿宋"/>
          <w:color w:val="auto"/>
          <w:szCs w:val="32"/>
        </w:rPr>
        <w:t>融资性担保公司、经国务院金融管理部门批准成立的金融机构提供的融资性担保，房地产开发公司因自身房地产开发业务为购房业主提供的按揭担保，无需按照本条进行信息披露。</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发行人及其子公司为发行人的公司债券提供抵质押担保，发生担保物灭失、价值同比下降超过</w:t>
      </w:r>
      <w:r>
        <w:rPr>
          <w:rFonts w:ascii="仿宋" w:hAnsi="仿宋" w:eastAsia="仿宋"/>
          <w:szCs w:val="32"/>
        </w:rPr>
        <w:t>30%或者其他影响担保物价值的风险情况的，发行人应当于知道或者应当知道之日起2个交易日内披露相关风险事件起因、具体情况、拟采取或者已采取的应对措施及其相应成效、公司债券持有人享有的救济权利等。</w:t>
      </w:r>
    </w:p>
    <w:p>
      <w:pPr>
        <w:pStyle w:val="4"/>
        <w:keepNext/>
        <w:keepLines/>
        <w:adjustRightInd/>
        <w:snapToGrid/>
        <w:spacing w:before="260" w:after="260" w:line="416" w:lineRule="auto"/>
        <w:rPr>
          <w:rFonts w:ascii="楷体" w:hAnsi="楷体" w:eastAsia="楷体"/>
          <w:color w:val="auto"/>
          <w:sz w:val="32"/>
          <w:szCs w:val="20"/>
        </w:rPr>
      </w:pPr>
      <w:bookmarkStart w:id="18" w:name="_Toc69972783"/>
      <w:bookmarkStart w:id="19" w:name="_Toc122425096"/>
      <w:bookmarkStart w:id="20" w:name="_Toc122424951"/>
      <w:r>
        <w:rPr>
          <w:rFonts w:hint="eastAsia" w:ascii="楷体" w:hAnsi="楷体" w:eastAsia="楷体"/>
          <w:color w:val="auto"/>
          <w:sz w:val="32"/>
          <w:szCs w:val="20"/>
        </w:rPr>
        <w:t>第三节</w:t>
      </w:r>
      <w:r>
        <w:rPr>
          <w:rFonts w:ascii="楷体" w:hAnsi="楷体" w:eastAsia="楷体"/>
          <w:color w:val="auto"/>
          <w:sz w:val="32"/>
          <w:szCs w:val="20"/>
        </w:rPr>
        <w:t xml:space="preserve"> </w:t>
      </w:r>
      <w:r>
        <w:rPr>
          <w:rFonts w:hint="eastAsia" w:ascii="楷体" w:hAnsi="楷体" w:eastAsia="楷体"/>
          <w:color w:val="auto"/>
          <w:sz w:val="32"/>
          <w:szCs w:val="20"/>
        </w:rPr>
        <w:t>关于债务状况的重大事项</w:t>
      </w:r>
      <w:bookmarkEnd w:id="18"/>
      <w:bookmarkEnd w:id="19"/>
      <w:bookmarkEnd w:id="20"/>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发行人新增借款且单笔金额超过发行人上年末净资产</w:t>
      </w:r>
      <w:r>
        <w:rPr>
          <w:rFonts w:ascii="仿宋" w:hAnsi="仿宋" w:eastAsia="仿宋"/>
          <w:szCs w:val="32"/>
        </w:rPr>
        <w:t>20%的，发行人应当于借款协议签署之日起2个交易日内披露债权人类型、借款金额、借款用途、借款期限、增信措施（如有）、借款协议签署情况、对发行人的影响、应对措施和相应成效（如有）等。</w:t>
      </w:r>
    </w:p>
    <w:p>
      <w:pPr>
        <w:tabs>
          <w:tab w:val="left" w:pos="1500"/>
        </w:tabs>
        <w:ind w:firstLine="640"/>
        <w:rPr>
          <w:rFonts w:ascii="仿宋" w:hAnsi="仿宋" w:eastAsia="仿宋"/>
          <w:bCs/>
          <w:szCs w:val="32"/>
        </w:rPr>
      </w:pPr>
      <w:r>
        <w:rPr>
          <w:rFonts w:hint="eastAsia" w:ascii="仿宋" w:hAnsi="仿宋" w:eastAsia="仿宋"/>
          <w:szCs w:val="32"/>
        </w:rPr>
        <w:t>发行人及其子公司</w:t>
      </w:r>
      <w:r>
        <w:rPr>
          <w:rFonts w:hint="eastAsia" w:ascii="仿宋" w:hAnsi="仿宋" w:eastAsia="仿宋"/>
          <w:bCs/>
          <w:szCs w:val="32"/>
        </w:rPr>
        <w:t>新增借款，且季</w:t>
      </w:r>
      <w:r>
        <w:rPr>
          <w:rFonts w:hint="eastAsia" w:ascii="仿宋" w:hAnsi="仿宋" w:eastAsia="仿宋"/>
          <w:szCs w:val="32"/>
        </w:rPr>
        <w:t>末</w:t>
      </w:r>
      <w:r>
        <w:rPr>
          <w:rFonts w:hint="eastAsia" w:ascii="仿宋" w:hAnsi="仿宋" w:eastAsia="仿宋" w:cs="宋体"/>
          <w:bCs/>
          <w:kern w:val="0"/>
          <w:szCs w:val="32"/>
        </w:rPr>
        <w:t>累计新增借款余额每</w:t>
      </w:r>
      <w:r>
        <w:rPr>
          <w:rFonts w:hint="eastAsia" w:ascii="仿宋" w:hAnsi="仿宋" w:eastAsia="仿宋"/>
          <w:bCs/>
          <w:szCs w:val="32"/>
        </w:rPr>
        <w:t>超过发行人上年末</w:t>
      </w:r>
      <w:r>
        <w:rPr>
          <w:rFonts w:hint="eastAsia" w:ascii="仿宋" w:hAnsi="仿宋" w:eastAsia="仿宋"/>
          <w:szCs w:val="32"/>
        </w:rPr>
        <w:t>合并报表范围</w:t>
      </w:r>
      <w:r>
        <w:rPr>
          <w:rFonts w:hint="eastAsia" w:ascii="仿宋" w:hAnsi="仿宋" w:eastAsia="仿宋"/>
          <w:bCs/>
          <w:szCs w:val="32"/>
        </w:rPr>
        <w:t>净资产</w:t>
      </w:r>
      <w:r>
        <w:rPr>
          <w:rFonts w:ascii="仿宋" w:hAnsi="仿宋" w:eastAsia="仿宋"/>
          <w:bCs/>
          <w:szCs w:val="32"/>
        </w:rPr>
        <w:t>50%的，应当于下一季度前5个交易日内披露累计新增借款余额占上年末合并报表范围净资产的具体比例，各类借款余额、对发行人的影响、应对措施和相应成效（如有）等。</w:t>
      </w:r>
    </w:p>
    <w:p>
      <w:pPr>
        <w:widowControl/>
        <w:tabs>
          <w:tab w:val="left" w:pos="1500"/>
        </w:tabs>
        <w:adjustRightInd/>
        <w:snapToGrid/>
        <w:ind w:firstLine="640"/>
        <w:rPr>
          <w:rFonts w:ascii="仿宋" w:hAnsi="仿宋" w:eastAsia="仿宋"/>
          <w:bCs/>
          <w:szCs w:val="32"/>
        </w:rPr>
      </w:pPr>
      <w:r>
        <w:rPr>
          <w:rFonts w:hint="eastAsia" w:ascii="仿宋" w:hAnsi="仿宋" w:eastAsia="仿宋"/>
          <w:bCs/>
          <w:szCs w:val="32"/>
        </w:rPr>
        <w:t>本条所称新增借款包括公司信用类债券、银行贷款、非银行金融机构贷款及其他经营类负债以外的有息债务，经国务院金融管理部门批准设立的金融机构新增借款的除外。</w:t>
      </w:r>
    </w:p>
    <w:p>
      <w:pPr>
        <w:widowControl/>
        <w:tabs>
          <w:tab w:val="left" w:pos="1500"/>
        </w:tabs>
        <w:adjustRightInd/>
        <w:snapToGrid/>
        <w:ind w:firstLine="640"/>
        <w:rPr>
          <w:rFonts w:ascii="仿宋" w:hAnsi="仿宋" w:eastAsia="仿宋"/>
          <w:bCs/>
          <w:szCs w:val="32"/>
        </w:rPr>
      </w:pPr>
      <w:r>
        <w:rPr>
          <w:rFonts w:hint="eastAsia" w:ascii="仿宋" w:hAnsi="仿宋" w:eastAsia="仿宋"/>
          <w:bCs/>
          <w:szCs w:val="32"/>
        </w:rPr>
        <w:t>发行人及其子公司仅因发行公司信用类债券触发本条规定的披露要求，且发行人已经披露相应债券募集说明书、发行公告等文件的，可以免于披露相应临时公告。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发行人及其子公司单次或者一个自然年度内累计承担他人有息债务每超过发行人上年末合并报表范围净资产</w:t>
      </w:r>
      <w:r>
        <w:rPr>
          <w:rFonts w:ascii="仿宋" w:hAnsi="仿宋" w:eastAsia="仿宋"/>
          <w:szCs w:val="32"/>
        </w:rPr>
        <w:t>10%的，发行人应当于有权决策机构审议同意或者知道子公司相关决议之日起2个交易日内披露：</w:t>
      </w:r>
    </w:p>
    <w:p>
      <w:pPr>
        <w:widowControl/>
        <w:adjustRightInd/>
        <w:snapToGrid/>
        <w:ind w:firstLine="640"/>
        <w:contextualSpacing/>
        <w:rPr>
          <w:rFonts w:ascii="仿宋" w:hAnsi="仿宋" w:eastAsia="仿宋"/>
          <w:szCs w:val="32"/>
        </w:rPr>
      </w:pPr>
      <w:r>
        <w:rPr>
          <w:rFonts w:hint="eastAsia" w:ascii="仿宋" w:hAnsi="仿宋" w:eastAsia="仿宋"/>
          <w:szCs w:val="32"/>
        </w:rPr>
        <w:t>（一）他人有息债务基本情况，包括原债务人基本情况、债务金额、债务期限、履约情况、担保情况（如有）、权利救济情况（如有）等；</w:t>
      </w:r>
    </w:p>
    <w:p>
      <w:pPr>
        <w:widowControl/>
        <w:adjustRightInd/>
        <w:snapToGrid/>
        <w:ind w:firstLine="640"/>
        <w:contextualSpacing/>
        <w:rPr>
          <w:rFonts w:ascii="仿宋" w:hAnsi="仿宋" w:eastAsia="仿宋"/>
          <w:szCs w:val="32"/>
        </w:rPr>
      </w:pPr>
      <w:r>
        <w:rPr>
          <w:rFonts w:hint="eastAsia" w:ascii="仿宋" w:hAnsi="仿宋" w:eastAsia="仿宋"/>
          <w:szCs w:val="32"/>
        </w:rPr>
        <w:t>（二）债务承担情况，包括债务承担主体基本情况、承担对价、承担原因、承担形式、原债务人是否承担清偿或者担保责任、承担协议及履行情况等；</w:t>
      </w:r>
    </w:p>
    <w:p>
      <w:pPr>
        <w:widowControl/>
        <w:adjustRightInd/>
        <w:snapToGrid/>
        <w:ind w:firstLine="640"/>
        <w:contextualSpacing/>
        <w:rPr>
          <w:rFonts w:ascii="仿宋" w:hAnsi="仿宋" w:eastAsia="仿宋"/>
          <w:szCs w:val="32"/>
        </w:rPr>
      </w:pPr>
      <w:r>
        <w:rPr>
          <w:rFonts w:hint="eastAsia" w:ascii="仿宋" w:hAnsi="仿宋" w:eastAsia="仿宋"/>
          <w:szCs w:val="32"/>
        </w:rPr>
        <w:t>（三）相关决策情况；</w:t>
      </w:r>
    </w:p>
    <w:p>
      <w:pPr>
        <w:widowControl/>
        <w:adjustRightInd/>
        <w:snapToGrid/>
        <w:ind w:firstLine="640"/>
        <w:contextualSpacing/>
        <w:rPr>
          <w:rFonts w:ascii="仿宋" w:hAnsi="仿宋" w:eastAsia="仿宋"/>
          <w:szCs w:val="32"/>
        </w:rPr>
      </w:pPr>
      <w:r>
        <w:rPr>
          <w:rFonts w:hint="eastAsia" w:ascii="仿宋" w:hAnsi="仿宋" w:eastAsia="仿宋"/>
          <w:szCs w:val="32"/>
        </w:rPr>
        <w:t>（四）对发行人的影响、应对措施和相应成效。</w:t>
      </w:r>
    </w:p>
    <w:p>
      <w:pPr>
        <w:widowControl/>
        <w:adjustRightInd/>
        <w:snapToGrid/>
        <w:ind w:firstLine="640"/>
        <w:contextualSpacing/>
        <w:rPr>
          <w:rFonts w:ascii="仿宋" w:hAnsi="仿宋" w:eastAsia="仿宋"/>
          <w:szCs w:val="32"/>
        </w:rPr>
      </w:pPr>
      <w:r>
        <w:rPr>
          <w:rFonts w:hint="eastAsia" w:ascii="仿宋" w:hAnsi="仿宋" w:eastAsia="仿宋"/>
          <w:szCs w:val="32"/>
        </w:rPr>
        <w:t>发行人应当于持有人会议召开（如有）、签订承担协议、收取交易对价（如有）、完成承担等相关事项发生之日起</w:t>
      </w:r>
      <w:r>
        <w:rPr>
          <w:rFonts w:ascii="仿宋" w:hAnsi="仿宋" w:eastAsia="仿宋"/>
          <w:szCs w:val="32"/>
        </w:rPr>
        <w:t>2个交易日内披露进展公告。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发行人拟转移公司债券清偿义务的，应当于有权决策机构审议同意之日起</w:t>
      </w:r>
      <w:r>
        <w:rPr>
          <w:rFonts w:ascii="仿宋" w:hAnsi="仿宋" w:eastAsia="仿宋"/>
          <w:szCs w:val="32"/>
        </w:rPr>
        <w:t>2个交易日内披露：</w:t>
      </w:r>
    </w:p>
    <w:p>
      <w:pPr>
        <w:widowControl/>
        <w:numPr>
          <w:ilvl w:val="0"/>
          <w:numId w:val="3"/>
        </w:numPr>
        <w:adjustRightInd/>
        <w:snapToGrid/>
        <w:ind w:firstLine="560" w:firstLineChars="0"/>
        <w:contextualSpacing/>
        <w:rPr>
          <w:rFonts w:ascii="仿宋" w:hAnsi="仿宋" w:eastAsia="仿宋"/>
          <w:szCs w:val="32"/>
        </w:rPr>
      </w:pPr>
      <w:r>
        <w:rPr>
          <w:rFonts w:hint="eastAsia" w:ascii="仿宋" w:hAnsi="仿宋" w:eastAsia="仿宋"/>
          <w:szCs w:val="32"/>
        </w:rPr>
        <w:t>转移债券清偿义务基本情况，包括拟转移公司债券的基本要素、转移清偿义务的金额和对价、转移原因、承继方对原债券权利义务的承继情况、发行人或者其重要子公司是否继续承担全部或者部分的清偿义务或者担保责任、承继协议签署以及履行情况等；</w:t>
      </w:r>
    </w:p>
    <w:p>
      <w:pPr>
        <w:widowControl/>
        <w:numPr>
          <w:ilvl w:val="0"/>
          <w:numId w:val="3"/>
        </w:numPr>
        <w:adjustRightInd/>
        <w:snapToGrid/>
        <w:ind w:firstLine="640"/>
        <w:contextualSpacing/>
        <w:rPr>
          <w:rFonts w:ascii="仿宋" w:hAnsi="仿宋" w:eastAsia="仿宋"/>
          <w:szCs w:val="32"/>
        </w:rPr>
      </w:pPr>
      <w:r>
        <w:rPr>
          <w:rFonts w:hint="eastAsia" w:ascii="仿宋" w:hAnsi="仿宋" w:eastAsia="仿宋"/>
          <w:szCs w:val="32"/>
        </w:rPr>
        <w:t>承继方基本情况；</w:t>
      </w:r>
    </w:p>
    <w:p>
      <w:pPr>
        <w:widowControl/>
        <w:numPr>
          <w:ilvl w:val="0"/>
          <w:numId w:val="3"/>
        </w:numPr>
        <w:adjustRightInd/>
        <w:snapToGrid/>
        <w:ind w:firstLine="640"/>
        <w:contextualSpacing/>
        <w:rPr>
          <w:rFonts w:ascii="仿宋" w:hAnsi="仿宋" w:eastAsia="仿宋"/>
          <w:szCs w:val="32"/>
        </w:rPr>
      </w:pPr>
      <w:r>
        <w:rPr>
          <w:rFonts w:hint="eastAsia" w:ascii="仿宋" w:hAnsi="仿宋" w:eastAsia="仿宋"/>
          <w:szCs w:val="32"/>
        </w:rPr>
        <w:t>发行人和承继方各自决策情况；</w:t>
      </w:r>
    </w:p>
    <w:p>
      <w:pPr>
        <w:widowControl/>
        <w:numPr>
          <w:ilvl w:val="0"/>
          <w:numId w:val="3"/>
        </w:numPr>
        <w:adjustRightInd/>
        <w:snapToGrid/>
        <w:ind w:firstLine="640"/>
        <w:contextualSpacing/>
        <w:rPr>
          <w:rFonts w:ascii="仿宋" w:hAnsi="仿宋" w:eastAsia="仿宋"/>
          <w:szCs w:val="32"/>
        </w:rPr>
      </w:pPr>
      <w:r>
        <w:rPr>
          <w:rFonts w:hint="eastAsia" w:ascii="仿宋" w:hAnsi="仿宋" w:eastAsia="仿宋"/>
          <w:szCs w:val="32"/>
        </w:rPr>
        <w:t>对发行人的影响及其应对措施（如有）。</w:t>
      </w:r>
    </w:p>
    <w:p>
      <w:pPr>
        <w:widowControl/>
        <w:adjustRightInd/>
        <w:snapToGrid/>
        <w:ind w:firstLine="640"/>
        <w:contextualSpacing/>
        <w:rPr>
          <w:rFonts w:ascii="仿宋" w:hAnsi="仿宋" w:eastAsia="仿宋"/>
          <w:szCs w:val="32"/>
        </w:rPr>
      </w:pPr>
      <w:r>
        <w:rPr>
          <w:rFonts w:hint="eastAsia" w:ascii="仿宋" w:hAnsi="仿宋" w:eastAsia="仿宋"/>
          <w:szCs w:val="32"/>
        </w:rPr>
        <w:t>如承继方为发行人关联方的，发行人应当进一步披露关联关系、关联交易审议情况，说明相关决策程序是否符合法律法规和公司章程的规定。</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拟转移公司债券清偿义务的，应当按照规定或者约定的程序取得债券持有人的同意。发行人应当参照法律法规、本所业务规则关于债券募集说明书中发行人主体的披露要求，在持有人会议召开前详细披露公司债券承继方的情况，供债券持有人审议时了解。</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发行人及其子公司对外提供保证担保或者承担流动性支持、差额补足义务等以自身信用对外提供增信，且单笔金额超过发行人上年末合并报表范围净资产</w:t>
      </w:r>
      <w:r>
        <w:rPr>
          <w:rFonts w:ascii="仿宋" w:hAnsi="仿宋" w:eastAsia="仿宋"/>
          <w:szCs w:val="32"/>
        </w:rPr>
        <w:t>20%的，发行人应当于有权决策机构审议同意或者知道子公司相关决议之日起2个交易日内披露下列事项：</w:t>
      </w:r>
    </w:p>
    <w:p>
      <w:pPr>
        <w:adjustRightInd/>
        <w:snapToGrid/>
        <w:ind w:firstLine="640"/>
        <w:contextualSpacing/>
        <w:rPr>
          <w:rFonts w:ascii="仿宋" w:hAnsi="仿宋" w:eastAsia="仿宋"/>
          <w:szCs w:val="32"/>
        </w:rPr>
      </w:pPr>
      <w:r>
        <w:rPr>
          <w:rFonts w:hint="eastAsia" w:ascii="仿宋" w:hAnsi="仿宋" w:eastAsia="仿宋"/>
          <w:szCs w:val="32"/>
        </w:rPr>
        <w:t>（一）增信提供方和被增信方的基本情况；</w:t>
      </w:r>
    </w:p>
    <w:p>
      <w:pPr>
        <w:adjustRightInd/>
        <w:snapToGrid/>
        <w:ind w:firstLine="640"/>
        <w:contextualSpacing/>
        <w:rPr>
          <w:rFonts w:ascii="仿宋" w:hAnsi="仿宋" w:eastAsia="仿宋"/>
          <w:szCs w:val="32"/>
        </w:rPr>
      </w:pPr>
      <w:r>
        <w:rPr>
          <w:rFonts w:hint="eastAsia" w:ascii="仿宋" w:hAnsi="仿宋" w:eastAsia="仿宋"/>
          <w:szCs w:val="32"/>
        </w:rPr>
        <w:t>（二）接受增信的债权金额、类型、起止期限；</w:t>
      </w:r>
    </w:p>
    <w:p>
      <w:pPr>
        <w:adjustRightInd/>
        <w:snapToGrid/>
        <w:ind w:firstLine="640"/>
        <w:contextualSpacing/>
        <w:rPr>
          <w:rFonts w:ascii="仿宋" w:hAnsi="仿宋" w:eastAsia="仿宋"/>
          <w:szCs w:val="32"/>
        </w:rPr>
      </w:pPr>
      <w:r>
        <w:rPr>
          <w:rFonts w:hint="eastAsia" w:ascii="仿宋" w:hAnsi="仿宋" w:eastAsia="仿宋"/>
          <w:szCs w:val="32"/>
        </w:rPr>
        <w:t>（三）增信措施类型、金额、对关联方提供的增信类型以及金额、增信期限、保证期间等增信责任承担期间；</w:t>
      </w:r>
    </w:p>
    <w:p>
      <w:pPr>
        <w:adjustRightInd/>
        <w:snapToGrid/>
        <w:ind w:firstLine="640"/>
        <w:contextualSpacing/>
        <w:rPr>
          <w:rFonts w:ascii="仿宋" w:hAnsi="仿宋" w:eastAsia="仿宋"/>
          <w:szCs w:val="32"/>
        </w:rPr>
      </w:pPr>
      <w:r>
        <w:rPr>
          <w:rFonts w:hint="eastAsia" w:ascii="仿宋" w:hAnsi="仿宋" w:eastAsia="仿宋"/>
          <w:szCs w:val="32"/>
        </w:rPr>
        <w:t>（四）共同增信措施、反增信措施（如有）；</w:t>
      </w:r>
    </w:p>
    <w:p>
      <w:pPr>
        <w:adjustRightInd/>
        <w:snapToGrid/>
        <w:ind w:firstLine="640"/>
        <w:contextualSpacing/>
        <w:rPr>
          <w:rFonts w:ascii="仿宋" w:hAnsi="仿宋" w:eastAsia="仿宋"/>
          <w:szCs w:val="32"/>
        </w:rPr>
      </w:pPr>
      <w:r>
        <w:rPr>
          <w:rFonts w:hint="eastAsia" w:ascii="仿宋" w:hAnsi="仿宋" w:eastAsia="仿宋"/>
          <w:szCs w:val="32"/>
        </w:rPr>
        <w:t>（五）增信提供方内部决策情况、增信协议签署情况；</w:t>
      </w:r>
    </w:p>
    <w:p>
      <w:pPr>
        <w:adjustRightInd/>
        <w:snapToGrid/>
        <w:ind w:firstLine="640"/>
        <w:contextualSpacing/>
        <w:rPr>
          <w:rFonts w:ascii="仿宋" w:hAnsi="仿宋" w:eastAsia="仿宋"/>
          <w:szCs w:val="32"/>
        </w:rPr>
      </w:pPr>
      <w:r>
        <w:rPr>
          <w:rFonts w:hint="eastAsia" w:ascii="仿宋" w:hAnsi="仿宋" w:eastAsia="仿宋"/>
          <w:szCs w:val="32"/>
        </w:rPr>
        <w:t>（六）对发行人的影响、应对措施和相应成效（如有）。</w:t>
      </w:r>
    </w:p>
    <w:p>
      <w:pPr>
        <w:widowControl/>
        <w:adjustRightInd/>
        <w:snapToGrid/>
        <w:ind w:firstLine="640"/>
        <w:contextualSpacing/>
        <w:rPr>
          <w:rFonts w:ascii="仿宋" w:hAnsi="仿宋" w:eastAsia="仿宋"/>
          <w:szCs w:val="32"/>
        </w:rPr>
      </w:pPr>
      <w:r>
        <w:rPr>
          <w:rFonts w:hint="eastAsia" w:ascii="仿宋" w:hAnsi="仿宋" w:eastAsia="仿宋"/>
          <w:szCs w:val="32"/>
        </w:rPr>
        <w:t>发行人及其子公司当年新增前款规定的增信行为，且季末未实际承担增信责任的余额合计每新增超过发行人上年末合并报表范围净资产</w:t>
      </w:r>
      <w:r>
        <w:rPr>
          <w:rFonts w:ascii="仿宋" w:hAnsi="仿宋" w:eastAsia="仿宋"/>
          <w:szCs w:val="32"/>
        </w:rPr>
        <w:t>50%的，发行人应当于下一季度前5个交易日内，披露合计未实际承担增</w:t>
      </w:r>
      <w:r>
        <w:rPr>
          <w:rFonts w:hint="eastAsia" w:ascii="仿宋" w:hAnsi="仿宋" w:eastAsia="仿宋"/>
          <w:szCs w:val="32"/>
        </w:rPr>
        <w:t>信责任的余额及其占发行人上年末合并报表范围净资产的比例、按增信类型分列的各类或有负债余额、对发行人的影响分析及其应对措施等。</w:t>
      </w:r>
    </w:p>
    <w:p>
      <w:pPr>
        <w:widowControl/>
        <w:adjustRightInd/>
        <w:snapToGrid/>
        <w:ind w:firstLine="640"/>
        <w:contextualSpacing/>
        <w:rPr>
          <w:rFonts w:ascii="仿宋" w:hAnsi="仿宋" w:eastAsia="仿宋"/>
          <w:szCs w:val="32"/>
        </w:rPr>
      </w:pPr>
      <w:r>
        <w:rPr>
          <w:rFonts w:hint="eastAsia" w:ascii="仿宋" w:hAnsi="仿宋" w:eastAsia="仿宋"/>
          <w:szCs w:val="32"/>
        </w:rPr>
        <w:t>融资性担保公司、经国务院金融管理部门批准成立的金融机构提供的融资性担保，房地产开发公司因自身房地产开发业务为购房业主提供的按揭担保无需按照本条进行信息披露。</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发行人及其子公司为合并报表范围外主体的债务提供增信，一个自然年度内对同一增信对象实际代偿金额超过发行人上年末合并报表范围净资产</w:t>
      </w:r>
      <w:r>
        <w:rPr>
          <w:rFonts w:ascii="仿宋" w:hAnsi="仿宋" w:eastAsia="仿宋"/>
          <w:szCs w:val="32"/>
        </w:rPr>
        <w:t>10%的，发行人应当于知道或者应当知道之日起2个交易日内披露增信提供方和增信对象基本情况、代偿金额、剩余担保情况、对发行人的影响、应对措施和相应成效等。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发行人及其子公司作为被告、被申请人或者第三人发生诉讼、仲裁事项，且符合下列条件之一的，发行人应当于收到诉讼、仲裁通知之日或者知道子公司涉及诉讼、仲裁之日起</w:t>
      </w:r>
      <w:r>
        <w:rPr>
          <w:rFonts w:ascii="仿宋" w:hAnsi="仿宋" w:eastAsia="仿宋"/>
          <w:szCs w:val="32"/>
        </w:rPr>
        <w:t>2个交易日内披露案件各方基本情况、案由、受理时间、审理机构、诉讼或者仲裁请求及其理由、涉案金额或者可能产生的损益（如有）、对发行人的影响及其应对措施等：</w:t>
      </w:r>
    </w:p>
    <w:p>
      <w:pPr>
        <w:adjustRightInd/>
        <w:snapToGrid/>
        <w:ind w:firstLine="640"/>
        <w:contextualSpacing/>
        <w:rPr>
          <w:rFonts w:ascii="仿宋" w:hAnsi="仿宋" w:eastAsia="仿宋"/>
          <w:szCs w:val="32"/>
        </w:rPr>
      </w:pPr>
      <w:r>
        <w:rPr>
          <w:rFonts w:hint="eastAsia" w:ascii="仿宋" w:hAnsi="仿宋" w:eastAsia="仿宋"/>
          <w:szCs w:val="32"/>
        </w:rPr>
        <w:t>（一）涉案金额超过</w:t>
      </w:r>
      <w:r>
        <w:rPr>
          <w:rFonts w:ascii="仿宋" w:hAnsi="仿宋" w:eastAsia="仿宋"/>
          <w:szCs w:val="32"/>
        </w:rPr>
        <w:t>5000万元，且占发行人上年末合并报表范围净资产5%以上；</w:t>
      </w:r>
    </w:p>
    <w:p>
      <w:pPr>
        <w:adjustRightInd/>
        <w:snapToGrid/>
        <w:ind w:firstLine="640"/>
        <w:contextualSpacing/>
        <w:rPr>
          <w:rFonts w:ascii="仿宋" w:hAnsi="仿宋" w:eastAsia="仿宋"/>
          <w:szCs w:val="32"/>
        </w:rPr>
      </w:pPr>
      <w:r>
        <w:rPr>
          <w:rFonts w:hint="eastAsia" w:ascii="仿宋" w:hAnsi="仿宋" w:eastAsia="仿宋"/>
          <w:szCs w:val="32"/>
        </w:rPr>
        <w:t>（二）可能导致的损益超过</w:t>
      </w:r>
      <w:r>
        <w:rPr>
          <w:rFonts w:ascii="仿宋" w:hAnsi="仿宋" w:eastAsia="仿宋"/>
          <w:szCs w:val="32"/>
        </w:rPr>
        <w:t>1000万元，且占发行人上年度合并报表范围净利润10%以上；</w:t>
      </w:r>
    </w:p>
    <w:p>
      <w:pPr>
        <w:adjustRightInd/>
        <w:snapToGrid/>
        <w:ind w:firstLine="640"/>
        <w:contextualSpacing/>
        <w:rPr>
          <w:rFonts w:ascii="仿宋" w:hAnsi="仿宋" w:eastAsia="仿宋"/>
          <w:szCs w:val="32"/>
        </w:rPr>
      </w:pPr>
      <w:r>
        <w:rPr>
          <w:rFonts w:hint="eastAsia" w:ascii="仿宋" w:hAnsi="仿宋" w:eastAsia="仿宋"/>
          <w:szCs w:val="32"/>
        </w:rPr>
        <w:t>（三）虽未达到前述标准，但基于案件特殊性可能对发行人的生产经营、财务状况、偿债能力或者债券交易价格产生重大影响。</w:t>
      </w:r>
    </w:p>
    <w:p>
      <w:pPr>
        <w:adjustRightInd/>
        <w:snapToGrid/>
        <w:ind w:firstLine="640"/>
        <w:contextualSpacing/>
        <w:rPr>
          <w:rFonts w:ascii="仿宋" w:hAnsi="仿宋" w:eastAsia="仿宋"/>
          <w:szCs w:val="32"/>
        </w:rPr>
      </w:pPr>
      <w:r>
        <w:rPr>
          <w:rFonts w:hint="eastAsia" w:ascii="仿宋" w:hAnsi="仿宋" w:eastAsia="仿宋"/>
          <w:szCs w:val="32"/>
        </w:rPr>
        <w:t>发行人应当根据案件诉讼、仲裁以及执行程序的进展情况，于案件发生进展的</w:t>
      </w:r>
      <w:r>
        <w:rPr>
          <w:rFonts w:ascii="仿宋" w:hAnsi="仿宋" w:eastAsia="仿宋"/>
          <w:szCs w:val="32"/>
        </w:rPr>
        <w:t>2个交易日内披露进展公告。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发行人及其子公司未能清偿到期债务且符合下列条件之一的，发行人应当于相关协议约定的违约之日起</w:t>
      </w:r>
      <w:r>
        <w:rPr>
          <w:rFonts w:ascii="仿宋" w:hAnsi="仿宋" w:eastAsia="仿宋"/>
          <w:szCs w:val="32"/>
        </w:rPr>
        <w:t>5个交易日内披露未能清偿到期债务的公告：</w:t>
      </w:r>
    </w:p>
    <w:p>
      <w:pPr>
        <w:widowControl/>
        <w:adjustRightInd/>
        <w:snapToGrid/>
        <w:ind w:firstLine="640"/>
        <w:contextualSpacing/>
        <w:rPr>
          <w:rFonts w:ascii="仿宋" w:hAnsi="仿宋" w:eastAsia="仿宋"/>
          <w:szCs w:val="32"/>
        </w:rPr>
      </w:pPr>
      <w:r>
        <w:rPr>
          <w:rFonts w:hint="eastAsia" w:ascii="仿宋" w:hAnsi="仿宋" w:eastAsia="仿宋"/>
          <w:szCs w:val="32"/>
        </w:rPr>
        <w:t>（一）未能清偿公司信用类债券或者其他境外债券；</w:t>
      </w:r>
    </w:p>
    <w:p>
      <w:pPr>
        <w:widowControl/>
        <w:adjustRightInd/>
        <w:snapToGrid/>
        <w:ind w:firstLine="640"/>
        <w:contextualSpacing/>
        <w:rPr>
          <w:rFonts w:ascii="仿宋" w:hAnsi="仿宋" w:eastAsia="仿宋"/>
          <w:szCs w:val="32"/>
        </w:rPr>
      </w:pPr>
      <w:r>
        <w:rPr>
          <w:rFonts w:hint="eastAsia" w:ascii="仿宋" w:hAnsi="仿宋" w:eastAsia="仿宋"/>
          <w:szCs w:val="32"/>
        </w:rPr>
        <w:t>（二）未能清偿其他债务，且单次违约金额达到</w:t>
      </w:r>
      <w:r>
        <w:rPr>
          <w:rFonts w:ascii="仿宋" w:hAnsi="仿宋" w:eastAsia="仿宋"/>
          <w:szCs w:val="32"/>
        </w:rPr>
        <w:t>1000万元或者占发行人上年末合并报表范围净资产5%以上；</w:t>
      </w:r>
    </w:p>
    <w:p>
      <w:pPr>
        <w:widowControl/>
        <w:adjustRightInd/>
        <w:snapToGrid/>
        <w:ind w:firstLine="640"/>
        <w:contextualSpacing/>
        <w:rPr>
          <w:rFonts w:ascii="仿宋" w:hAnsi="仿宋" w:eastAsia="仿宋"/>
          <w:szCs w:val="32"/>
        </w:rPr>
      </w:pPr>
      <w:r>
        <w:rPr>
          <w:rFonts w:hint="eastAsia" w:ascii="仿宋" w:hAnsi="仿宋" w:eastAsia="仿宋"/>
          <w:szCs w:val="32"/>
        </w:rPr>
        <w:t>（三）未能清偿其他债务，且一个自然年度内累计违约未偿金额达到</w:t>
      </w:r>
      <w:r>
        <w:rPr>
          <w:rFonts w:ascii="仿宋" w:hAnsi="仿宋" w:eastAsia="仿宋"/>
          <w:szCs w:val="32"/>
        </w:rPr>
        <w:t>5000万元或者占发行人上年末合并报表范围净资产10%以上；</w:t>
      </w:r>
    </w:p>
    <w:p>
      <w:pPr>
        <w:widowControl/>
        <w:adjustRightInd/>
        <w:snapToGrid/>
        <w:ind w:firstLine="640"/>
        <w:contextualSpacing/>
        <w:rPr>
          <w:rFonts w:ascii="仿宋" w:hAnsi="仿宋" w:eastAsia="仿宋"/>
          <w:szCs w:val="32"/>
        </w:rPr>
      </w:pPr>
      <w:r>
        <w:rPr>
          <w:rFonts w:hint="eastAsia" w:ascii="仿宋" w:hAnsi="仿宋" w:eastAsia="仿宋"/>
          <w:szCs w:val="32"/>
        </w:rPr>
        <w:t>（四）违约债务不满足前述标准，但违约后果将直接或者间接导致发行人的公司信用类债券面临提前偿付，且需提前偿付的金额达到发行人上年末合并报表范围净资产</w:t>
      </w:r>
      <w:r>
        <w:rPr>
          <w:rFonts w:ascii="仿宋" w:hAnsi="仿宋" w:eastAsia="仿宋"/>
          <w:szCs w:val="32"/>
        </w:rPr>
        <w:t>10%。</w:t>
      </w:r>
    </w:p>
    <w:p>
      <w:pPr>
        <w:widowControl/>
        <w:adjustRightInd/>
        <w:snapToGrid/>
        <w:ind w:firstLine="640"/>
        <w:contextualSpacing/>
        <w:rPr>
          <w:rFonts w:ascii="仿宋" w:hAnsi="仿宋" w:eastAsia="仿宋"/>
          <w:szCs w:val="32"/>
        </w:rPr>
      </w:pPr>
      <w:r>
        <w:rPr>
          <w:rFonts w:hint="eastAsia" w:ascii="仿宋" w:hAnsi="仿宋" w:eastAsia="仿宋"/>
          <w:szCs w:val="32"/>
        </w:rPr>
        <w:t>发行人应当于形成处置方案、资金筹措取得重大进展、完成处置等事项发生之日起</w:t>
      </w:r>
      <w:r>
        <w:rPr>
          <w:rFonts w:ascii="仿宋" w:hAnsi="仿宋" w:eastAsia="仿宋"/>
          <w:szCs w:val="32"/>
        </w:rPr>
        <w:t>2个交易日内披露进展公告。如公司债券违约处置超过一个季度未有重大进展的，发行人应</w:t>
      </w:r>
      <w:r>
        <w:rPr>
          <w:rFonts w:hint="eastAsia" w:ascii="仿宋" w:hAnsi="仿宋" w:eastAsia="仿宋"/>
          <w:szCs w:val="32"/>
        </w:rPr>
        <w:t>当至少每季度披露一次进展公告，说明已采取或</w:t>
      </w:r>
      <w:r>
        <w:rPr>
          <w:rFonts w:hint="eastAsia" w:ascii="仿宋" w:hAnsi="仿宋" w:eastAsia="仿宋"/>
          <w:bCs/>
          <w:szCs w:val="32"/>
        </w:rPr>
        <w:t>者</w:t>
      </w:r>
      <w:r>
        <w:rPr>
          <w:rFonts w:hint="eastAsia" w:ascii="仿宋" w:hAnsi="仿宋" w:eastAsia="仿宋"/>
          <w:szCs w:val="32"/>
        </w:rPr>
        <w:t>拟采取的应对措施及其相应成效、后续处置安排等。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发行人及其子公司发生本指引第四十三条第一款规定的未能清偿到期债务的重大事项的，发行人应当披露下列事项：</w:t>
      </w:r>
    </w:p>
    <w:p>
      <w:pPr>
        <w:widowControl/>
        <w:adjustRightInd/>
        <w:snapToGrid/>
        <w:ind w:firstLine="640"/>
        <w:contextualSpacing/>
        <w:rPr>
          <w:rFonts w:ascii="仿宋" w:hAnsi="仿宋" w:eastAsia="仿宋"/>
          <w:szCs w:val="32"/>
        </w:rPr>
      </w:pPr>
      <w:r>
        <w:rPr>
          <w:rFonts w:hint="eastAsia" w:ascii="仿宋" w:hAnsi="仿宋" w:eastAsia="仿宋"/>
          <w:szCs w:val="32"/>
        </w:rPr>
        <w:t>（一）债务人和违约债务基本情况；</w:t>
      </w:r>
    </w:p>
    <w:p>
      <w:pPr>
        <w:widowControl/>
        <w:adjustRightInd/>
        <w:snapToGrid/>
        <w:ind w:firstLine="640"/>
        <w:contextualSpacing/>
        <w:rPr>
          <w:rFonts w:ascii="仿宋" w:hAnsi="仿宋" w:eastAsia="仿宋"/>
          <w:szCs w:val="32"/>
        </w:rPr>
      </w:pPr>
      <w:r>
        <w:rPr>
          <w:rFonts w:hint="eastAsia" w:ascii="仿宋" w:hAnsi="仿宋" w:eastAsia="仿宋"/>
          <w:szCs w:val="32"/>
        </w:rPr>
        <w:t>（二）违约情况，包括违约原因、违约时间、违约金额、违约债务的处置安排和目前进展；</w:t>
      </w:r>
    </w:p>
    <w:p>
      <w:pPr>
        <w:widowControl/>
        <w:adjustRightInd/>
        <w:snapToGrid/>
        <w:ind w:firstLine="640"/>
        <w:contextualSpacing/>
        <w:rPr>
          <w:rFonts w:ascii="仿宋" w:hAnsi="仿宋" w:eastAsia="仿宋"/>
          <w:szCs w:val="32"/>
        </w:rPr>
      </w:pPr>
      <w:r>
        <w:rPr>
          <w:rFonts w:hint="eastAsia" w:ascii="仿宋" w:hAnsi="仿宋" w:eastAsia="仿宋"/>
          <w:szCs w:val="32"/>
        </w:rPr>
        <w:t>（三）公司目前有息负债总额、债务类型、期限结构、逾期债务的累计总额；</w:t>
      </w:r>
    </w:p>
    <w:p>
      <w:pPr>
        <w:widowControl/>
        <w:adjustRightInd/>
        <w:snapToGrid/>
        <w:ind w:firstLine="640"/>
        <w:contextualSpacing/>
        <w:rPr>
          <w:rFonts w:ascii="仿宋" w:hAnsi="仿宋" w:eastAsia="仿宋"/>
          <w:szCs w:val="32"/>
        </w:rPr>
      </w:pPr>
      <w:r>
        <w:rPr>
          <w:rFonts w:hint="eastAsia" w:ascii="仿宋" w:hAnsi="仿宋" w:eastAsia="仿宋"/>
          <w:szCs w:val="32"/>
        </w:rPr>
        <w:t>（四）违约事件对发行人生产经营、财务状况、外部融资的影响；</w:t>
      </w:r>
    </w:p>
    <w:p>
      <w:pPr>
        <w:widowControl/>
        <w:adjustRightInd/>
        <w:snapToGrid/>
        <w:ind w:firstLine="640"/>
        <w:contextualSpacing/>
        <w:rPr>
          <w:rFonts w:ascii="仿宋" w:hAnsi="仿宋" w:eastAsia="仿宋"/>
          <w:szCs w:val="32"/>
        </w:rPr>
      </w:pPr>
      <w:r>
        <w:rPr>
          <w:rFonts w:hint="eastAsia" w:ascii="仿宋" w:hAnsi="仿宋" w:eastAsia="仿宋"/>
          <w:szCs w:val="32"/>
        </w:rPr>
        <w:t>（五）增信主体代偿情况或者后续安排（如有）；</w:t>
      </w:r>
    </w:p>
    <w:p>
      <w:pPr>
        <w:widowControl/>
        <w:adjustRightInd/>
        <w:snapToGrid/>
        <w:ind w:firstLine="640"/>
        <w:contextualSpacing/>
        <w:rPr>
          <w:rFonts w:ascii="仿宋" w:hAnsi="仿宋" w:eastAsia="仿宋"/>
          <w:szCs w:val="32"/>
        </w:rPr>
      </w:pPr>
      <w:r>
        <w:rPr>
          <w:rFonts w:hint="eastAsia" w:ascii="仿宋" w:hAnsi="仿宋" w:eastAsia="仿宋"/>
          <w:szCs w:val="32"/>
        </w:rPr>
        <w:t>（六）触发公司信用类债券的交叉违约、提前清偿条款的情况；</w:t>
      </w:r>
    </w:p>
    <w:p>
      <w:pPr>
        <w:widowControl/>
        <w:adjustRightInd/>
        <w:snapToGrid/>
        <w:ind w:firstLine="640"/>
        <w:contextualSpacing/>
        <w:rPr>
          <w:rFonts w:ascii="仿宋" w:hAnsi="仿宋" w:eastAsia="仿宋"/>
          <w:szCs w:val="32"/>
        </w:rPr>
      </w:pPr>
      <w:r>
        <w:rPr>
          <w:rFonts w:hint="eastAsia" w:ascii="仿宋" w:hAnsi="仿宋" w:eastAsia="仿宋"/>
          <w:szCs w:val="32"/>
        </w:rPr>
        <w:t>（七）已采取或</w:t>
      </w:r>
      <w:r>
        <w:rPr>
          <w:rFonts w:hint="eastAsia" w:ascii="仿宋" w:hAnsi="仿宋" w:eastAsia="仿宋"/>
          <w:bCs/>
          <w:szCs w:val="32"/>
        </w:rPr>
        <w:t>者</w:t>
      </w:r>
      <w:r>
        <w:rPr>
          <w:rFonts w:hint="eastAsia" w:ascii="仿宋" w:hAnsi="仿宋" w:eastAsia="仿宋"/>
          <w:szCs w:val="32"/>
        </w:rPr>
        <w:t>拟采取的应对措施及其相应成效，公司债券违约的，发行人应当披露持有人权益保护的具体安排及其进展。</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发行人及其重要子公司对符合下列条件之一的有息债务实施债务重组的，发行人应当于债务重组协议生效之日起</w:t>
      </w:r>
      <w:r>
        <w:rPr>
          <w:rFonts w:ascii="仿宋" w:hAnsi="仿宋" w:eastAsia="仿宋"/>
          <w:szCs w:val="32"/>
        </w:rPr>
        <w:t>5个交易日内披露临时报告，结合债务人资产、负债、现金流、再融资等情况说明债务重组的发生原因及其目标、重组债务基本情况、重组安排、内部决策情况、协议签署和履约进展情况、金融机构债权人委员会（以下简称债</w:t>
      </w:r>
      <w:r>
        <w:rPr>
          <w:rFonts w:hint="eastAsia" w:ascii="仿宋" w:hAnsi="仿宋" w:eastAsia="仿宋"/>
          <w:szCs w:val="32"/>
        </w:rPr>
        <w:t>权人委员会）成立及其履职情况（如有）、对发行人偿债能力的影响分析等</w:t>
      </w:r>
      <w:r>
        <w:rPr>
          <w:rFonts w:ascii="仿宋" w:hAnsi="仿宋" w:eastAsia="仿宋"/>
          <w:szCs w:val="32"/>
        </w:rPr>
        <w:t>:</w:t>
      </w:r>
    </w:p>
    <w:p>
      <w:pPr>
        <w:adjustRightInd/>
        <w:snapToGrid/>
        <w:ind w:firstLine="640"/>
        <w:contextualSpacing/>
        <w:rPr>
          <w:rFonts w:ascii="仿宋" w:hAnsi="仿宋" w:eastAsia="仿宋"/>
          <w:color w:val="auto"/>
          <w:szCs w:val="32"/>
        </w:rPr>
      </w:pPr>
      <w:r>
        <w:rPr>
          <w:rFonts w:hint="eastAsia" w:ascii="仿宋" w:hAnsi="仿宋" w:eastAsia="仿宋"/>
          <w:color w:val="auto"/>
          <w:szCs w:val="32"/>
        </w:rPr>
        <w:t>（一）发行人发行的公司债券或者作为特定原始权益人的企业资产支持证券；</w:t>
      </w:r>
    </w:p>
    <w:p>
      <w:pPr>
        <w:adjustRightInd/>
        <w:snapToGrid/>
        <w:ind w:firstLine="646" w:firstLineChars="202"/>
        <w:contextualSpacing/>
        <w:rPr>
          <w:rFonts w:ascii="仿宋" w:hAnsi="仿宋" w:eastAsia="仿宋"/>
          <w:color w:val="auto"/>
          <w:szCs w:val="32"/>
        </w:rPr>
      </w:pPr>
      <w:r>
        <w:rPr>
          <w:rFonts w:hint="eastAsia" w:ascii="仿宋" w:hAnsi="仿宋" w:eastAsia="仿宋"/>
          <w:color w:val="auto"/>
          <w:szCs w:val="32"/>
        </w:rPr>
        <w:t>（二）发行人或者其重要子公司发行或者作为特定原始权益人的其他公开市场融资产品，并且最近</w:t>
      </w:r>
      <w:r>
        <w:rPr>
          <w:rFonts w:ascii="仿宋" w:hAnsi="仿宋" w:eastAsia="仿宋"/>
          <w:color w:val="auto"/>
          <w:szCs w:val="32"/>
        </w:rPr>
        <w:t>12个月内已重组债务的重组前本金单独或者累计超过发行人上年末合并报表范围公开市场债务的30%；</w:t>
      </w:r>
    </w:p>
    <w:p>
      <w:pPr>
        <w:adjustRightInd/>
        <w:snapToGrid/>
        <w:ind w:firstLine="646" w:firstLineChars="202"/>
        <w:contextualSpacing/>
        <w:rPr>
          <w:rFonts w:ascii="仿宋" w:hAnsi="仿宋" w:eastAsia="仿宋"/>
          <w:color w:val="auto"/>
          <w:szCs w:val="32"/>
        </w:rPr>
      </w:pPr>
      <w:r>
        <w:rPr>
          <w:rFonts w:hint="eastAsia" w:ascii="仿宋" w:hAnsi="仿宋" w:eastAsia="仿宋"/>
          <w:color w:val="auto"/>
          <w:szCs w:val="32"/>
        </w:rPr>
        <w:t>（三）对发行人偿债能力或者债券持有人权益保护具有重要影响的其他债务。</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发行人及其重要子公司的债权人成立债权人委员会的，发行人应当于知道或者应当知道债权人委员会成立之日起</w:t>
      </w:r>
      <w:r>
        <w:rPr>
          <w:rFonts w:ascii="仿宋" w:hAnsi="仿宋" w:eastAsia="仿宋"/>
          <w:szCs w:val="32"/>
        </w:rPr>
        <w:t>2个交易日内披露临时报告，说明债权人委员会的成立背景、公司目前流动性情况、债权人委员会关于公司融资的后续安排，并及时披露债权人委员会实施的重要举措及其对公司融资稳定性的影响。</w:t>
      </w:r>
    </w:p>
    <w:p>
      <w:pPr>
        <w:pStyle w:val="4"/>
        <w:keepNext/>
        <w:keepLines/>
        <w:adjustRightInd/>
        <w:snapToGrid/>
        <w:spacing w:before="260" w:after="260" w:line="416" w:lineRule="auto"/>
        <w:rPr>
          <w:rFonts w:ascii="楷体" w:hAnsi="楷体" w:eastAsia="楷体"/>
          <w:color w:val="auto"/>
          <w:sz w:val="32"/>
          <w:szCs w:val="20"/>
        </w:rPr>
      </w:pPr>
      <w:bookmarkStart w:id="21" w:name="_Toc122425097"/>
      <w:bookmarkStart w:id="22" w:name="_Toc122424952"/>
      <w:bookmarkStart w:id="23" w:name="_Toc69972784"/>
      <w:r>
        <w:rPr>
          <w:rFonts w:hint="eastAsia" w:ascii="楷体" w:hAnsi="楷体" w:eastAsia="楷体"/>
          <w:color w:val="auto"/>
          <w:sz w:val="32"/>
          <w:szCs w:val="20"/>
        </w:rPr>
        <w:t>第四节</w:t>
      </w:r>
      <w:r>
        <w:rPr>
          <w:rFonts w:ascii="楷体" w:hAnsi="楷体" w:eastAsia="楷体"/>
          <w:color w:val="auto"/>
          <w:sz w:val="32"/>
          <w:szCs w:val="20"/>
        </w:rPr>
        <w:t xml:space="preserve"> </w:t>
      </w:r>
      <w:r>
        <w:rPr>
          <w:rFonts w:hint="eastAsia" w:ascii="楷体" w:hAnsi="楷体" w:eastAsia="楷体"/>
          <w:color w:val="auto"/>
          <w:sz w:val="32"/>
          <w:szCs w:val="20"/>
        </w:rPr>
        <w:t>关于公司治理及资信状况的重大事项</w:t>
      </w:r>
      <w:bookmarkEnd w:id="21"/>
      <w:bookmarkEnd w:id="22"/>
      <w:bookmarkEnd w:id="23"/>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发行人及其重要子公司的股权、经营权、表决权被委托管理，符合下列情形之一的，发行人应当于有权决策机构审议同意或者知道有关事项之日起</w:t>
      </w:r>
      <w:r>
        <w:rPr>
          <w:rFonts w:ascii="仿宋" w:hAnsi="仿宋" w:eastAsia="仿宋"/>
          <w:szCs w:val="32"/>
        </w:rPr>
        <w:t>2个交易日内披露临时报告，并</w:t>
      </w:r>
      <w:r>
        <w:rPr>
          <w:rFonts w:hint="eastAsia" w:ascii="仿宋" w:hAnsi="仿宋" w:eastAsia="仿宋"/>
          <w:szCs w:val="32"/>
        </w:rPr>
        <w:t>于委托管理协议签订、生效、解除、终止等事项发生之日起</w:t>
      </w:r>
      <w:r>
        <w:rPr>
          <w:rFonts w:ascii="仿宋" w:hAnsi="仿宋" w:eastAsia="仿宋"/>
          <w:szCs w:val="32"/>
        </w:rPr>
        <w:t>2个交易日内披露进展公告：</w:t>
      </w:r>
    </w:p>
    <w:p>
      <w:pPr>
        <w:adjustRightInd/>
        <w:snapToGrid/>
        <w:ind w:firstLine="646" w:firstLineChars="202"/>
        <w:contextualSpacing/>
        <w:rPr>
          <w:rFonts w:ascii="仿宋" w:hAnsi="仿宋" w:eastAsia="仿宋"/>
          <w:szCs w:val="32"/>
        </w:rPr>
      </w:pPr>
      <w:r>
        <w:rPr>
          <w:rFonts w:hint="eastAsia" w:ascii="仿宋" w:hAnsi="仿宋" w:eastAsia="仿宋"/>
          <w:szCs w:val="32"/>
        </w:rPr>
        <w:t>（一）发行人或者重要子公司的经营权被委托管理；</w:t>
      </w:r>
    </w:p>
    <w:p>
      <w:pPr>
        <w:adjustRightInd/>
        <w:snapToGrid/>
        <w:ind w:firstLine="646" w:firstLineChars="202"/>
        <w:contextualSpacing/>
        <w:rPr>
          <w:rFonts w:ascii="仿宋" w:hAnsi="仿宋" w:eastAsia="仿宋"/>
          <w:szCs w:val="32"/>
        </w:rPr>
      </w:pPr>
      <w:r>
        <w:rPr>
          <w:rFonts w:hint="eastAsia" w:ascii="仿宋" w:hAnsi="仿宋" w:eastAsia="仿宋"/>
          <w:szCs w:val="32"/>
        </w:rPr>
        <w:t>（二）可以对发行人实施控制、共同控制或者施加重大影响的股东将其持有的发行人股权或者表决权的</w:t>
      </w:r>
      <w:r>
        <w:rPr>
          <w:rFonts w:ascii="仿宋" w:hAnsi="仿宋" w:eastAsia="仿宋"/>
          <w:szCs w:val="32"/>
        </w:rPr>
        <w:t>50%以上委托他人管理；</w:t>
      </w:r>
    </w:p>
    <w:p>
      <w:pPr>
        <w:adjustRightInd/>
        <w:snapToGrid/>
        <w:ind w:firstLine="646" w:firstLineChars="202"/>
        <w:contextualSpacing/>
        <w:rPr>
          <w:rFonts w:ascii="仿宋" w:hAnsi="仿宋" w:eastAsia="仿宋"/>
          <w:szCs w:val="32"/>
        </w:rPr>
      </w:pPr>
      <w:r>
        <w:rPr>
          <w:rFonts w:hint="eastAsia" w:ascii="仿宋" w:hAnsi="仿宋" w:eastAsia="仿宋"/>
          <w:szCs w:val="32"/>
        </w:rPr>
        <w:t>（三）可以对发行人重要子公司实施控制、共同控制或者施加重大影响的主体将其持有的该子公司股权、表决权全部委托他人管理，但发行人子公司之间的委托管理除外。</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发行人及其重要子公司发生本指引第四十七条规定的股权、经营权、表决权被委托管理的重大事项的，发行人应当披露下列事项：</w:t>
      </w:r>
    </w:p>
    <w:p>
      <w:pPr>
        <w:adjustRightInd/>
        <w:snapToGrid/>
        <w:ind w:firstLine="646" w:firstLineChars="202"/>
        <w:contextualSpacing/>
        <w:rPr>
          <w:rFonts w:ascii="仿宋" w:hAnsi="仿宋" w:eastAsia="仿宋"/>
          <w:szCs w:val="32"/>
        </w:rPr>
      </w:pPr>
      <w:r>
        <w:rPr>
          <w:rFonts w:hint="eastAsia" w:ascii="仿宋" w:hAnsi="仿宋" w:eastAsia="仿宋"/>
          <w:szCs w:val="32"/>
        </w:rPr>
        <w:t>（一）相关背景；</w:t>
      </w:r>
    </w:p>
    <w:p>
      <w:pPr>
        <w:adjustRightInd/>
        <w:snapToGrid/>
        <w:ind w:firstLine="646" w:firstLineChars="202"/>
        <w:contextualSpacing/>
        <w:rPr>
          <w:rFonts w:ascii="仿宋" w:hAnsi="仿宋" w:eastAsia="仿宋"/>
          <w:szCs w:val="32"/>
        </w:rPr>
      </w:pPr>
      <w:r>
        <w:rPr>
          <w:rFonts w:hint="eastAsia" w:ascii="仿宋" w:hAnsi="仿宋" w:eastAsia="仿宋"/>
          <w:szCs w:val="32"/>
        </w:rPr>
        <w:t>（二）委托方基本情况、决策情况；</w:t>
      </w:r>
    </w:p>
    <w:p>
      <w:pPr>
        <w:adjustRightInd/>
        <w:snapToGrid/>
        <w:ind w:firstLine="646" w:firstLineChars="202"/>
        <w:contextualSpacing/>
        <w:rPr>
          <w:rFonts w:ascii="仿宋" w:hAnsi="仿宋" w:eastAsia="仿宋"/>
          <w:szCs w:val="32"/>
        </w:rPr>
      </w:pPr>
      <w:r>
        <w:rPr>
          <w:rFonts w:hint="eastAsia" w:ascii="仿宋" w:hAnsi="仿宋" w:eastAsia="仿宋"/>
          <w:szCs w:val="32"/>
        </w:rPr>
        <w:t>（三）受托方基本情况、决策情况；</w:t>
      </w:r>
    </w:p>
    <w:p>
      <w:pPr>
        <w:adjustRightInd/>
        <w:snapToGrid/>
        <w:ind w:firstLine="646" w:firstLineChars="202"/>
        <w:contextualSpacing/>
        <w:rPr>
          <w:rFonts w:ascii="仿宋" w:hAnsi="仿宋" w:eastAsia="仿宋"/>
          <w:szCs w:val="32"/>
        </w:rPr>
      </w:pPr>
      <w:r>
        <w:rPr>
          <w:rFonts w:hint="eastAsia" w:ascii="仿宋" w:hAnsi="仿宋" w:eastAsia="仿宋"/>
          <w:szCs w:val="32"/>
        </w:rPr>
        <w:t>（四）委托管理基本情况，包括委托管理标的公司的基本情况、权利事项、对价、委托管理的生效、解除、终止条件或者期限、协议签署及其进展情况等；</w:t>
      </w:r>
    </w:p>
    <w:p>
      <w:pPr>
        <w:adjustRightInd/>
        <w:snapToGrid/>
        <w:ind w:firstLine="646" w:firstLineChars="202"/>
        <w:contextualSpacing/>
        <w:rPr>
          <w:rFonts w:ascii="仿宋" w:hAnsi="仿宋" w:eastAsia="仿宋"/>
          <w:szCs w:val="32"/>
        </w:rPr>
      </w:pPr>
      <w:r>
        <w:rPr>
          <w:rFonts w:hint="eastAsia" w:ascii="仿宋" w:hAnsi="仿宋" w:eastAsia="仿宋"/>
          <w:szCs w:val="32"/>
        </w:rPr>
        <w:t>（五）结合委托管理的权利事项、公司治理和收益分配等安排，分析对发行人生产经营及独立性的影响；</w:t>
      </w:r>
    </w:p>
    <w:p>
      <w:pPr>
        <w:adjustRightInd/>
        <w:snapToGrid/>
        <w:ind w:firstLine="646" w:firstLineChars="202"/>
        <w:contextualSpacing/>
        <w:rPr>
          <w:rFonts w:ascii="仿宋" w:hAnsi="仿宋" w:eastAsia="仿宋"/>
          <w:szCs w:val="32"/>
        </w:rPr>
      </w:pPr>
      <w:r>
        <w:rPr>
          <w:rFonts w:hint="eastAsia" w:ascii="仿宋" w:hAnsi="仿宋" w:eastAsia="仿宋"/>
          <w:szCs w:val="32"/>
        </w:rPr>
        <w:t>（六）发行人与委托管理标的公司之间的关联担保、资金占用情况以及后续调整安排；</w:t>
      </w:r>
    </w:p>
    <w:p>
      <w:pPr>
        <w:adjustRightInd/>
        <w:snapToGrid/>
        <w:ind w:firstLine="640"/>
        <w:contextualSpacing/>
        <w:rPr>
          <w:rFonts w:ascii="仿宋" w:hAnsi="仿宋" w:eastAsia="仿宋"/>
          <w:szCs w:val="32"/>
        </w:rPr>
      </w:pPr>
      <w:r>
        <w:rPr>
          <w:rFonts w:hint="eastAsia" w:ascii="仿宋" w:hAnsi="仿宋" w:eastAsia="仿宋"/>
          <w:szCs w:val="32"/>
        </w:rPr>
        <w:t>（七）对发行人的影响、应对措施和相应成效（如有）。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发行人及其重要子公司被有权机关决定托管或者接管的，发行人应当于收到有权机关通知或者知道重要子公司收到有权机关通知之日起</w:t>
      </w:r>
      <w:r>
        <w:rPr>
          <w:rFonts w:ascii="仿宋" w:hAnsi="仿宋" w:eastAsia="仿宋"/>
          <w:szCs w:val="32"/>
        </w:rPr>
        <w:t>2个交易日内披露：</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（一）被托管、接管的基本情况，包括决定托管或者接管的有权机关、托管方或者接管方的基本情况、托管或者接管原因、期限、具体安排等；</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（二）</w:t>
      </w:r>
      <w:r>
        <w:rPr>
          <w:rFonts w:hint="eastAsia" w:ascii="仿宋" w:hAnsi="仿宋" w:eastAsia="仿宋"/>
          <w:color w:val="auto"/>
          <w:szCs w:val="32"/>
        </w:rPr>
        <w:t>标的</w:t>
      </w:r>
      <w:r>
        <w:rPr>
          <w:rFonts w:hint="eastAsia" w:ascii="仿宋" w:hAnsi="仿宋" w:eastAsia="仿宋"/>
          <w:szCs w:val="32"/>
        </w:rPr>
        <w:t>公司的基本情况；</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（三）后续信息披露安排；</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（四）托管或者接管对发行人的影响、发行人的应对措施（如有）。</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发行人应当于托管或者接管事项发生重大进展后</w:t>
      </w:r>
      <w:r>
        <w:rPr>
          <w:rFonts w:ascii="仿宋" w:hAnsi="仿宋" w:eastAsia="仿宋"/>
          <w:szCs w:val="32"/>
        </w:rPr>
        <w:t>2个交易日内披露进展公告。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发行人股权结构发生下列重大变化之一，控股股东或者实际控制人未发生变更的，发行人应当于变化完成之日起</w:t>
      </w:r>
      <w:r>
        <w:rPr>
          <w:rFonts w:ascii="仿宋" w:hAnsi="仿宋" w:eastAsia="仿宋"/>
          <w:szCs w:val="32"/>
        </w:rPr>
        <w:t>2个交易日内披露变化背景、相关决策情况、变化前后的公司股权结构和持股比例、新增股东情况（如有）、对发行人生产经营和独立性的影响等：</w:t>
      </w:r>
    </w:p>
    <w:p>
      <w:pPr>
        <w:adjustRightInd/>
        <w:snapToGrid/>
        <w:ind w:firstLine="646" w:firstLineChars="202"/>
        <w:contextualSpacing/>
        <w:rPr>
          <w:rFonts w:ascii="仿宋" w:hAnsi="仿宋" w:eastAsia="仿宋"/>
          <w:szCs w:val="32"/>
        </w:rPr>
      </w:pPr>
      <w:r>
        <w:rPr>
          <w:rFonts w:hint="eastAsia" w:ascii="仿宋" w:hAnsi="仿宋" w:eastAsia="仿宋"/>
          <w:szCs w:val="32"/>
        </w:rPr>
        <w:t>（一）发行人新增或者减少可以对公司实施共同控制或者施加重大影响的股东；</w:t>
      </w:r>
    </w:p>
    <w:p>
      <w:pPr>
        <w:adjustRightInd/>
        <w:snapToGrid/>
        <w:ind w:firstLine="646" w:firstLineChars="202"/>
        <w:contextualSpacing/>
        <w:rPr>
          <w:rFonts w:ascii="仿宋" w:hAnsi="仿宋" w:eastAsia="仿宋"/>
          <w:szCs w:val="32"/>
        </w:rPr>
      </w:pPr>
      <w:r>
        <w:rPr>
          <w:rFonts w:hint="eastAsia" w:ascii="仿宋" w:hAnsi="仿宋" w:eastAsia="仿宋"/>
          <w:szCs w:val="32"/>
        </w:rPr>
        <w:t>（二）发行人控股股东的持股比例由超过</w:t>
      </w:r>
      <w:r>
        <w:rPr>
          <w:rFonts w:ascii="仿宋" w:hAnsi="仿宋" w:eastAsia="仿宋"/>
          <w:szCs w:val="32"/>
        </w:rPr>
        <w:t>50%下降至50%以下；</w:t>
      </w:r>
    </w:p>
    <w:p>
      <w:pPr>
        <w:adjustRightInd/>
        <w:snapToGrid/>
        <w:ind w:firstLine="646" w:firstLineChars="202"/>
        <w:contextualSpacing/>
        <w:rPr>
          <w:rFonts w:ascii="仿宋" w:hAnsi="仿宋" w:eastAsia="仿宋"/>
          <w:szCs w:val="32"/>
        </w:rPr>
      </w:pPr>
      <w:r>
        <w:rPr>
          <w:rFonts w:hint="eastAsia" w:ascii="仿宋" w:hAnsi="仿宋" w:eastAsia="仿宋"/>
          <w:szCs w:val="32"/>
        </w:rPr>
        <w:t>（三）其他对公司生产经营和独立性有重大影响的股权结构变化事项。</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发行人的控股股东、实际控制人发生变更的，发行人应当于变更完成之日起</w:t>
      </w:r>
      <w:r>
        <w:rPr>
          <w:rFonts w:ascii="仿宋" w:hAnsi="仿宋" w:eastAsia="仿宋"/>
          <w:szCs w:val="32"/>
        </w:rPr>
        <w:t>2个交易日内披露变更原因、相关决策情况、变更后的控股股东、实际控制人基本情况、变更前后的发行人股权结构图、发行人独立性情况、对发行</w:t>
      </w:r>
      <w:r>
        <w:rPr>
          <w:rFonts w:hint="eastAsia" w:ascii="仿宋" w:hAnsi="仿宋" w:eastAsia="仿宋"/>
          <w:szCs w:val="32"/>
        </w:rPr>
        <w:t>人的影响分析等。</w:t>
      </w:r>
    </w:p>
    <w:p>
      <w:pPr>
        <w:adjustRightInd/>
        <w:snapToGrid/>
        <w:ind w:firstLine="640"/>
        <w:contextualSpacing/>
        <w:rPr>
          <w:rFonts w:ascii="仿宋" w:hAnsi="仿宋" w:eastAsia="仿宋"/>
          <w:szCs w:val="32"/>
        </w:rPr>
      </w:pPr>
      <w:r>
        <w:rPr>
          <w:rFonts w:hint="eastAsia" w:ascii="仿宋" w:hAnsi="仿宋" w:eastAsia="仿宋"/>
          <w:szCs w:val="32"/>
        </w:rPr>
        <w:t>因交易行为导致的变更，还应当简要披露交易背景、交易方案、交易实施进展和变更生效时间等。</w:t>
      </w:r>
    </w:p>
    <w:p>
      <w:pPr>
        <w:adjustRightInd/>
        <w:snapToGrid/>
        <w:ind w:firstLine="640"/>
        <w:contextualSpacing/>
        <w:rPr>
          <w:rFonts w:ascii="仿宋" w:hAnsi="仿宋" w:eastAsia="仿宋"/>
          <w:szCs w:val="32"/>
        </w:rPr>
      </w:pPr>
      <w:r>
        <w:rPr>
          <w:rFonts w:hint="eastAsia" w:ascii="仿宋" w:hAnsi="仿宋" w:eastAsia="仿宋"/>
          <w:szCs w:val="32"/>
        </w:rPr>
        <w:t>变更前的控股股东、实际控制人为公司债券提供增信或者作出相关承诺的，发行人应当进一步披露相关增信措施或</w:t>
      </w:r>
      <w:r>
        <w:rPr>
          <w:rFonts w:hint="eastAsia" w:ascii="仿宋" w:hAnsi="仿宋" w:eastAsia="仿宋"/>
          <w:bCs/>
          <w:szCs w:val="32"/>
        </w:rPr>
        <w:t>者</w:t>
      </w:r>
      <w:r>
        <w:rPr>
          <w:rFonts w:hint="eastAsia" w:ascii="仿宋" w:hAnsi="仿宋" w:eastAsia="仿宋"/>
          <w:szCs w:val="32"/>
        </w:rPr>
        <w:t>承诺事项的履行义务主体是否发生变更、已采取或</w:t>
      </w:r>
      <w:r>
        <w:rPr>
          <w:rFonts w:hint="eastAsia" w:ascii="仿宋" w:hAnsi="仿宋" w:eastAsia="仿宋"/>
          <w:bCs/>
          <w:szCs w:val="32"/>
        </w:rPr>
        <w:t>者</w:t>
      </w:r>
      <w:r>
        <w:rPr>
          <w:rFonts w:hint="eastAsia" w:ascii="仿宋" w:hAnsi="仿宋" w:eastAsia="仿宋"/>
          <w:szCs w:val="32"/>
        </w:rPr>
        <w:t>拟采取的债券持有人权益保护措施等。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因出售转让股权、对外委托子公司股权、子公司股东非同比例增资、子公司股权在二级市场被收购等原因导致丧失对重要子公司的实际控制权的，发行人应当于有权决策机构审议同意或者知道相关重大事项之日起</w:t>
      </w:r>
      <w:r>
        <w:rPr>
          <w:rFonts w:ascii="仿宋" w:hAnsi="仿宋" w:eastAsia="仿宋"/>
          <w:szCs w:val="32"/>
        </w:rPr>
        <w:t>2个交易日内披露重要子公司的基本情况、丧失控制权原因、与该子公司关联担保、资金占用情况以及后续调整安排、相关决策情况、产权或者工商变更登记情况、对发行人的影响及其应对措施等，并持续披露事项进展。</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发行人及其重要子公司一个自然年度内拟减少注册资本超过其原注册资本</w:t>
      </w:r>
      <w:r>
        <w:rPr>
          <w:rFonts w:ascii="仿宋" w:hAnsi="仿宋" w:eastAsia="仿宋"/>
          <w:szCs w:val="32"/>
        </w:rPr>
        <w:t>5%的，发行人应当于有权机构审议同意或者知道子公司决定之日起2个交易日内，披露拟减资主体、减资原因、决策程序及其履行情况、实施方案及其实施情况、债券持有人会议召开情况（如有）、对发行人的影响及其应对措施等。</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发行人应当于通知债权人、完成工商变更登记等事项发生之日起</w:t>
      </w:r>
      <w:r>
        <w:rPr>
          <w:rFonts w:ascii="仿宋" w:hAnsi="仿宋" w:eastAsia="仿宋"/>
          <w:szCs w:val="32"/>
        </w:rPr>
        <w:t>2个交易日内披露进展公告。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发行人及其重要子公司拟发生合并或者分立的，发行人应当于有权机构审议同意或者知道子公司决定之日起</w:t>
      </w:r>
      <w:r>
        <w:rPr>
          <w:rFonts w:ascii="仿宋" w:hAnsi="仿宋" w:eastAsia="仿宋"/>
          <w:szCs w:val="32"/>
        </w:rPr>
        <w:t>2个交易日内，披露相关背景、决策程序及其履行情况、实施方案及其实施情况、合并或者分立前后相关主体的基本情况、公司债券相关权利义务的承继情况、对发行人的影响及其应对措施等。</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发行人应当于签订协议、完成工商或者产权登记等事项发生后的</w:t>
      </w:r>
      <w:r>
        <w:rPr>
          <w:rFonts w:ascii="仿宋" w:hAnsi="仿宋" w:eastAsia="仿宋"/>
          <w:szCs w:val="32"/>
        </w:rPr>
        <w:t>2个交易日内披露进展公告。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发行人及其重要子公司出现法律法规规定的解散事由的，发行人应当于有权机构审议同意或者知道相关事项之日起</w:t>
      </w:r>
      <w:r>
        <w:rPr>
          <w:rFonts w:ascii="仿宋" w:hAnsi="仿宋" w:eastAsia="仿宋"/>
          <w:szCs w:val="32"/>
        </w:rPr>
        <w:t>2个交易日内披露被解散主体基本情况、解散原因、依据和决策程序、解散实施方案及其实施情况、清算组组成及其履职情况、相关主体清算情况、对公司债券持有人权益保护的安排及其成效等。</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发行人应当于成立清算组、完成清算、完成工商或者产权登记等事项发生之日起</w:t>
      </w:r>
      <w:r>
        <w:rPr>
          <w:rFonts w:ascii="仿宋" w:hAnsi="仿宋" w:eastAsia="仿宋"/>
          <w:szCs w:val="32"/>
        </w:rPr>
        <w:t>2个交易日内披露进展公告。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发行人重要子公司（被）申请破产的，发行人应当于知道或者应当知道子公司（被）申请破产之日起</w:t>
      </w:r>
      <w:r>
        <w:rPr>
          <w:rFonts w:ascii="仿宋" w:hAnsi="仿宋" w:eastAsia="仿宋"/>
          <w:szCs w:val="32"/>
        </w:rPr>
        <w:t>2个交易日内披露下列事项：</w:t>
      </w:r>
    </w:p>
    <w:p>
      <w:pPr>
        <w:adjustRightInd/>
        <w:snapToGrid/>
        <w:ind w:firstLine="640"/>
        <w:contextualSpacing/>
        <w:rPr>
          <w:rFonts w:ascii="仿宋" w:hAnsi="仿宋" w:eastAsia="仿宋"/>
          <w:szCs w:val="32"/>
        </w:rPr>
      </w:pPr>
      <w:r>
        <w:rPr>
          <w:rFonts w:hint="eastAsia" w:ascii="仿宋" w:hAnsi="仿宋" w:eastAsia="仿宋"/>
          <w:szCs w:val="32"/>
        </w:rPr>
        <w:t>（一）重要子公司基本情况。</w:t>
      </w:r>
    </w:p>
    <w:p>
      <w:pPr>
        <w:widowControl/>
        <w:ind w:firstLine="640"/>
        <w:contextualSpacing/>
        <w:rPr>
          <w:rFonts w:ascii="仿宋" w:hAnsi="仿宋" w:eastAsia="仿宋"/>
          <w:szCs w:val="32"/>
        </w:rPr>
      </w:pPr>
      <w:r>
        <w:rPr>
          <w:rFonts w:hint="eastAsia" w:ascii="仿宋" w:hAnsi="仿宋" w:eastAsia="仿宋"/>
          <w:szCs w:val="32"/>
        </w:rPr>
        <w:t>（二）破产案件申请情况，包括申请主体、申请时间、申请原因、申请的破产程序等。重要子公司自行申请破产的，还应当披露相关决策情况。</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（三）</w:t>
      </w:r>
      <w:r>
        <w:rPr>
          <w:rFonts w:hint="eastAsia" w:ascii="仿宋" w:hAnsi="仿宋" w:eastAsia="仿宋"/>
          <w:color w:val="auto"/>
          <w:szCs w:val="32"/>
        </w:rPr>
        <w:t>破产</w:t>
      </w:r>
      <w:r>
        <w:rPr>
          <w:rFonts w:hint="eastAsia" w:ascii="仿宋" w:hAnsi="仿宋" w:eastAsia="仿宋"/>
          <w:szCs w:val="32"/>
        </w:rPr>
        <w:t>案件受理情况，包括受理法院、受理时间、受理裁定的主要内容等。</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（四）破产案件进展情况，包括指定破产管理人、债权申报、招募重整投资人（如有）、债权人会议审议、法院裁定情况等。</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（五）重整计划、和解协议或者破产财产变价分配方案制定以及执行情况。</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（六）发行人与子公司之间的债权债务情况以及发行人对子公司提供的担保情况。</w:t>
      </w:r>
    </w:p>
    <w:p>
      <w:pPr>
        <w:widowControl/>
        <w:adjustRightInd/>
        <w:snapToGrid/>
        <w:ind w:firstLine="560" w:firstLineChars="0"/>
        <w:contextualSpacing/>
        <w:rPr>
          <w:rFonts w:ascii="仿宋" w:hAnsi="仿宋" w:eastAsia="仿宋"/>
          <w:szCs w:val="32"/>
        </w:rPr>
      </w:pPr>
      <w:r>
        <w:rPr>
          <w:rFonts w:hint="eastAsia" w:ascii="仿宋" w:hAnsi="仿宋" w:eastAsia="仿宋"/>
          <w:szCs w:val="32"/>
        </w:rPr>
        <w:t>（七）对发行人的影响及其应对措施。</w:t>
      </w:r>
    </w:p>
    <w:p>
      <w:pPr>
        <w:widowControl/>
        <w:adjustRightInd/>
        <w:snapToGrid/>
        <w:ind w:firstLine="640"/>
        <w:contextualSpacing/>
        <w:rPr>
          <w:rFonts w:ascii="仿宋" w:hAnsi="仿宋" w:eastAsia="仿宋"/>
          <w:szCs w:val="32"/>
        </w:rPr>
      </w:pPr>
      <w:r>
        <w:rPr>
          <w:rFonts w:hint="eastAsia" w:ascii="仿宋" w:hAnsi="仿宋" w:eastAsia="仿宋"/>
          <w:szCs w:val="32"/>
        </w:rPr>
        <w:t>发行人应当于重要子公司破产事项发生重大进展之日起</w:t>
      </w:r>
      <w:r>
        <w:rPr>
          <w:rFonts w:ascii="仿宋" w:hAnsi="仿宋" w:eastAsia="仿宋"/>
          <w:szCs w:val="32"/>
        </w:rPr>
        <w:t>2个交易日内披露进展公告。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发行人及其重要子公司涉嫌违法违规被有权机关立案调查的，发行人应当于收到相关责任查处程序启动文书或者知道子公司收到相关文书之日起</w:t>
      </w:r>
      <w:r>
        <w:rPr>
          <w:rFonts w:ascii="仿宋" w:hAnsi="仿宋" w:eastAsia="仿宋"/>
          <w:szCs w:val="32"/>
        </w:rPr>
        <w:t>2</w:t>
      </w:r>
      <w:r>
        <w:rPr>
          <w:rFonts w:hint="eastAsia" w:ascii="仿宋" w:hAnsi="仿宋" w:eastAsia="仿宋"/>
          <w:szCs w:val="32"/>
        </w:rPr>
        <w:t>个交易日内披露立案调查的实施机关、涉嫌违法违规主体和涉嫌违规行为的基本情况、对发行人偿债能力的影响及其应对措施等。</w:t>
      </w:r>
    </w:p>
    <w:p>
      <w:pPr>
        <w:numPr>
          <w:ilvl w:val="255"/>
          <w:numId w:val="0"/>
        </w:numPr>
        <w:adjustRightInd/>
        <w:snapToGrid/>
        <w:ind w:firstLine="640" w:firstLineChars="200"/>
        <w:contextualSpacing/>
        <w:rPr>
          <w:rFonts w:ascii="仿宋" w:hAnsi="仿宋" w:eastAsia="仿宋"/>
          <w:szCs w:val="32"/>
        </w:rPr>
      </w:pPr>
      <w:r>
        <w:rPr>
          <w:rFonts w:hint="eastAsia" w:ascii="仿宋" w:hAnsi="仿宋" w:eastAsia="仿宋"/>
          <w:szCs w:val="32"/>
        </w:rPr>
        <w:t>发行人应当于立案调查取得进展后的</w:t>
      </w:r>
      <w:r>
        <w:rPr>
          <w:rFonts w:ascii="仿宋" w:hAnsi="仿宋" w:eastAsia="仿宋"/>
          <w:szCs w:val="32"/>
        </w:rPr>
        <w:t>2</w:t>
      </w:r>
      <w:r>
        <w:rPr>
          <w:rFonts w:hint="eastAsia" w:ascii="仿宋" w:hAnsi="仿宋" w:eastAsia="仿宋"/>
          <w:szCs w:val="32"/>
        </w:rPr>
        <w:t>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发行人或者其重要子公司受到刑事处罚、重大行政处罚或者行政监管措施、被市场自律组织作出公司信用类债券业务相关处分的，发行人应当于收到相关责任查处决定文书或者知道子公司收到相关文书的</w:t>
      </w:r>
      <w:r>
        <w:rPr>
          <w:rFonts w:ascii="仿宋" w:hAnsi="仿宋" w:eastAsia="仿宋"/>
          <w:szCs w:val="32"/>
        </w:rPr>
        <w:t>2</w:t>
      </w:r>
      <w:r>
        <w:rPr>
          <w:rFonts w:hint="eastAsia" w:ascii="仿宋" w:hAnsi="仿宋" w:eastAsia="仿宋"/>
          <w:szCs w:val="32"/>
        </w:rPr>
        <w:t>个交易日内，披露违规主体基本情况、违规行为认定情况、处分措施及作出时间、整改情况及对发行人偿债能力的影响分析等。</w:t>
      </w:r>
    </w:p>
    <w:p>
      <w:pPr>
        <w:widowControl/>
        <w:autoSpaceDE w:val="0"/>
        <w:autoSpaceDN w:val="0"/>
        <w:adjustRightInd/>
        <w:snapToGrid/>
        <w:ind w:firstLine="640"/>
        <w:rPr>
          <w:rFonts w:ascii="仿宋" w:hAnsi="仿宋" w:eastAsia="仿宋" w:cs="宋体"/>
          <w:bCs/>
          <w:color w:val="auto"/>
          <w:kern w:val="0"/>
          <w:szCs w:val="32"/>
        </w:rPr>
      </w:pPr>
      <w:r>
        <w:rPr>
          <w:rFonts w:hint="eastAsia" w:ascii="仿宋" w:hAnsi="仿宋" w:eastAsia="仿宋" w:cs="宋体"/>
          <w:bCs/>
          <w:color w:val="auto"/>
          <w:kern w:val="0"/>
          <w:szCs w:val="32"/>
        </w:rPr>
        <w:t>前款所称重大行政处罚、行政监管措施，包括：</w:t>
      </w:r>
    </w:p>
    <w:p>
      <w:pPr>
        <w:widowControl/>
        <w:autoSpaceDE w:val="0"/>
        <w:autoSpaceDN w:val="0"/>
        <w:adjustRightInd/>
        <w:snapToGrid/>
        <w:ind w:firstLine="640"/>
        <w:rPr>
          <w:rFonts w:ascii="仿宋" w:hAnsi="仿宋" w:eastAsia="仿宋" w:cs="宋体"/>
          <w:bCs/>
          <w:color w:val="auto"/>
          <w:kern w:val="0"/>
          <w:szCs w:val="32"/>
        </w:rPr>
      </w:pPr>
      <w:r>
        <w:rPr>
          <w:rFonts w:hint="eastAsia" w:ascii="仿宋" w:hAnsi="仿宋" w:eastAsia="仿宋" w:cs="宋体"/>
          <w:bCs/>
          <w:color w:val="auto"/>
          <w:kern w:val="0"/>
          <w:szCs w:val="32"/>
        </w:rPr>
        <w:t>（一）中国证监会及其派出机构实施的行政处罚或者与公司信用类债券相关的行政监管措施；</w:t>
      </w:r>
    </w:p>
    <w:p>
      <w:pPr>
        <w:widowControl/>
        <w:autoSpaceDE w:val="0"/>
        <w:autoSpaceDN w:val="0"/>
        <w:adjustRightInd/>
        <w:snapToGrid/>
        <w:ind w:firstLine="640"/>
        <w:rPr>
          <w:rFonts w:ascii="仿宋" w:hAnsi="仿宋" w:eastAsia="仿宋" w:cs="宋体"/>
          <w:bCs/>
          <w:color w:val="auto"/>
          <w:kern w:val="0"/>
          <w:szCs w:val="32"/>
        </w:rPr>
      </w:pPr>
      <w:r>
        <w:rPr>
          <w:rFonts w:hint="eastAsia" w:ascii="仿宋" w:hAnsi="仿宋" w:eastAsia="仿宋" w:cs="宋体"/>
          <w:bCs/>
          <w:color w:val="auto"/>
          <w:kern w:val="0"/>
          <w:szCs w:val="32"/>
        </w:rPr>
        <w:t>（二）其他行政机关实施的与公司信用类债券相关的行政处罚或者行政监管措施；</w:t>
      </w:r>
    </w:p>
    <w:p>
      <w:pPr>
        <w:widowControl/>
        <w:autoSpaceDE w:val="0"/>
        <w:autoSpaceDN w:val="0"/>
        <w:adjustRightInd/>
        <w:snapToGrid/>
        <w:ind w:firstLine="640"/>
        <w:rPr>
          <w:rFonts w:ascii="仿宋" w:hAnsi="仿宋" w:eastAsia="仿宋" w:cs="宋体"/>
          <w:bCs/>
          <w:color w:val="auto"/>
          <w:kern w:val="0"/>
          <w:szCs w:val="32"/>
        </w:rPr>
      </w:pPr>
      <w:r>
        <w:rPr>
          <w:rFonts w:hint="eastAsia" w:ascii="仿宋" w:hAnsi="仿宋" w:eastAsia="仿宋" w:cs="宋体"/>
          <w:bCs/>
          <w:color w:val="auto"/>
          <w:kern w:val="0"/>
          <w:szCs w:val="32"/>
        </w:rPr>
        <w:t>（三）其他行政机关实施的暂扣许可证件、降低资质等级、吊销许可证件、限制开展生产经营活动、责令停产停业、责令关闭、限制从业等行政处罚；</w:t>
      </w:r>
    </w:p>
    <w:p>
      <w:pPr>
        <w:widowControl/>
        <w:autoSpaceDE w:val="0"/>
        <w:autoSpaceDN w:val="0"/>
        <w:adjustRightInd/>
        <w:snapToGrid/>
        <w:ind w:firstLine="640"/>
        <w:rPr>
          <w:rFonts w:ascii="仿宋" w:hAnsi="仿宋" w:eastAsia="仿宋" w:cs="宋体"/>
          <w:bCs/>
          <w:color w:val="auto"/>
          <w:kern w:val="0"/>
          <w:szCs w:val="32"/>
        </w:rPr>
      </w:pPr>
      <w:r>
        <w:rPr>
          <w:rFonts w:hint="eastAsia" w:ascii="仿宋" w:hAnsi="仿宋" w:eastAsia="仿宋" w:cs="宋体"/>
          <w:bCs/>
          <w:color w:val="auto"/>
          <w:kern w:val="0"/>
          <w:szCs w:val="32"/>
        </w:rPr>
        <w:t>（四）其他严重影响发行人偿债能力的行政处罚或者行政监管措施。</w:t>
      </w:r>
    </w:p>
    <w:p>
      <w:pPr>
        <w:widowControl/>
        <w:autoSpaceDE w:val="0"/>
        <w:autoSpaceDN w:val="0"/>
        <w:adjustRightInd/>
        <w:snapToGrid/>
        <w:ind w:firstLine="640"/>
        <w:rPr>
          <w:rFonts w:ascii="仿宋" w:hAnsi="仿宋" w:eastAsia="仿宋" w:cs="宋体"/>
          <w:bCs/>
          <w:color w:val="auto"/>
          <w:kern w:val="0"/>
          <w:szCs w:val="32"/>
        </w:rPr>
      </w:pPr>
      <w:r>
        <w:rPr>
          <w:rFonts w:hint="eastAsia" w:ascii="仿宋" w:hAnsi="仿宋" w:eastAsia="仿宋" w:cs="宋体"/>
          <w:bCs/>
          <w:color w:val="auto"/>
          <w:kern w:val="0"/>
          <w:szCs w:val="32"/>
        </w:rPr>
        <w:t>本条第一款所称市场自律组织作出的相关处分，是指交易所作出的纪律处分，中国银行间市场交易商协会作出的严重警告及以上的自律管理措施，以及其他自律组织作出的严重影响发行人偿债能力的处分。</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发行人法定代表人、实际控制人、控股股东、董事、监事、高级管理人员等涉嫌违法违规被纪检监察机关、司法机关或者其他有权机关调查、采取强制措施的，发行人应当于知道或者应当知道相关事项之日起</w:t>
      </w:r>
      <w:r>
        <w:rPr>
          <w:rFonts w:ascii="仿宋" w:hAnsi="仿宋" w:eastAsia="仿宋"/>
          <w:szCs w:val="32"/>
        </w:rPr>
        <w:t>2</w:t>
      </w:r>
      <w:r>
        <w:rPr>
          <w:rFonts w:hint="eastAsia" w:ascii="仿宋" w:hAnsi="仿宋" w:eastAsia="仿宋"/>
          <w:szCs w:val="32"/>
        </w:rPr>
        <w:t>个交易日内披露实施调查或者采取强制措施的机关名称、收到相关法律文书的时间、涉事主体基本情况、涉嫌违法违规行为、违法违规行为是否与发行人的生产经营活动相关、继任人员基本情况、对发行人的影响及其应对措施等。未能及时安排继任人员的，应当在临时报告中披露相关职务的过渡期安排和后续选聘安排。</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及其重要子公司，发行人法定代表人、实际控制人、控股股东、董事、监事、高级管理人员等存在严重失信行为的，发行人应当于知道或者应当知道相关主体被列为失信被执行人或者被实施其他失信惩戒之日起</w:t>
      </w:r>
      <w:r>
        <w:rPr>
          <w:rFonts w:ascii="仿宋" w:hAnsi="仿宋" w:eastAsia="仿宋"/>
          <w:szCs w:val="32"/>
        </w:rPr>
        <w:t>2</w:t>
      </w:r>
      <w:r>
        <w:rPr>
          <w:rFonts w:hint="eastAsia" w:ascii="仿宋" w:hAnsi="仿宋" w:eastAsia="仿宋"/>
          <w:szCs w:val="32"/>
        </w:rPr>
        <w:t>个交易日内披露失信行为的主体、失信具体事项、被实施的失信惩戒措施、失信惩戒实施机构、实施时间，并说明前述主体失信行为对发行人的影响及其应对措施等。</w:t>
      </w:r>
    </w:p>
    <w:p>
      <w:pPr>
        <w:adjustRightInd/>
        <w:snapToGrid/>
        <w:ind w:firstLine="646" w:firstLineChars="202"/>
        <w:contextualSpacing/>
        <w:rPr>
          <w:rFonts w:ascii="仿宋" w:hAnsi="仿宋" w:eastAsia="仿宋"/>
          <w:szCs w:val="32"/>
        </w:rPr>
      </w:pPr>
      <w:r>
        <w:rPr>
          <w:rFonts w:hint="eastAsia" w:ascii="仿宋" w:hAnsi="仿宋" w:eastAsia="仿宋"/>
          <w:color w:val="auto"/>
          <w:szCs w:val="32"/>
        </w:rPr>
        <w:t>前款所称</w:t>
      </w:r>
      <w:r>
        <w:rPr>
          <w:rFonts w:hint="eastAsia" w:ascii="仿宋" w:hAnsi="仿宋" w:eastAsia="仿宋"/>
          <w:bCs/>
          <w:color w:val="auto"/>
          <w:szCs w:val="32"/>
        </w:rPr>
        <w:t>严重失信行为，包括《国务院关于建立完善守信联合激励和失信联合惩戒制度加快推进社会诚信建设的指导意见》等法律法规规定的失信行为，和被司法机关列为失信被执行人的情形。</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发行人法定代表人、董事长、总经理因患病、失去联系、发生意外事故或者其他原因导致无法履行职责时，发行人应当于知道或者应当知道相关人员无法履行职责之日起</w:t>
      </w:r>
      <w:r>
        <w:rPr>
          <w:rFonts w:ascii="仿宋" w:hAnsi="仿宋" w:eastAsia="仿宋"/>
          <w:szCs w:val="32"/>
        </w:rPr>
        <w:t>2</w:t>
      </w:r>
      <w:r>
        <w:rPr>
          <w:rFonts w:hint="eastAsia" w:ascii="仿宋" w:hAnsi="仿宋" w:eastAsia="仿宋"/>
          <w:szCs w:val="32"/>
        </w:rPr>
        <w:t>个交易日内披露相关人员无法履行职责的原因、预计持续时间、继任人员基本情况、对发行人的影响及其应对措施等。未能及时安排继任人员的，应当在临时报告中披露相关职务的过渡期安排和后续选聘安排。</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一个自然年度内发行人董事长、总经理、三分之一以上董事、三分之二以上监事发生变动的，发行人应当于有权决策机构审议同意或者相关人员辞任申请被批准之日起</w:t>
      </w:r>
      <w:r>
        <w:rPr>
          <w:rFonts w:ascii="仿宋" w:hAnsi="仿宋" w:eastAsia="仿宋"/>
          <w:szCs w:val="32"/>
        </w:rPr>
        <w:t>2</w:t>
      </w:r>
      <w:r>
        <w:rPr>
          <w:rFonts w:hint="eastAsia" w:ascii="仿宋" w:hAnsi="仿宋" w:eastAsia="仿宋"/>
          <w:szCs w:val="32"/>
        </w:rPr>
        <w:t>个交易日内披露原任职人员的基本情况、人员变动的原因、相关决策程序、继任人员基本情况、人员变动对发行人的影响及其应对措施等。未能及时安排继任人员的，应当在临时报告中披露相关职务的过渡期安排和后续选聘安排。</w:t>
      </w:r>
    </w:p>
    <w:p>
      <w:pPr>
        <w:adjustRightInd/>
        <w:snapToGrid/>
        <w:ind w:firstLine="640"/>
        <w:contextualSpacing/>
        <w:rPr>
          <w:rFonts w:ascii="仿宋" w:hAnsi="仿宋" w:eastAsia="仿宋"/>
          <w:szCs w:val="32"/>
        </w:rPr>
      </w:pPr>
      <w:r>
        <w:rPr>
          <w:rFonts w:hint="eastAsia" w:ascii="仿宋" w:hAnsi="仿宋" w:eastAsia="仿宋" w:cs="宋体"/>
          <w:bCs/>
          <w:color w:val="auto"/>
          <w:kern w:val="0"/>
          <w:szCs w:val="32"/>
        </w:rPr>
        <w:t>前款所称三分之一、三分之二，以每年年初发行人董事、监事人数作为计算基数。</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债券存续期内，发行人变更信息披露事务负责人的，应当于有权决策机构审议同意之日起</w:t>
      </w:r>
      <w:r>
        <w:rPr>
          <w:rFonts w:ascii="仿宋" w:hAnsi="仿宋" w:eastAsia="仿宋"/>
          <w:szCs w:val="32"/>
        </w:rPr>
        <w:t>2</w:t>
      </w:r>
      <w:r>
        <w:rPr>
          <w:rFonts w:hint="eastAsia" w:ascii="仿宋" w:hAnsi="仿宋" w:eastAsia="仿宋"/>
          <w:szCs w:val="32"/>
        </w:rPr>
        <w:t>个交易日内披露原信息披露事务负责人任职情况、变更原因、相关决策情况、新任信息披露事务负责人的基本情况和联系方式等。</w:t>
      </w:r>
    </w:p>
    <w:p>
      <w:pPr>
        <w:pStyle w:val="4"/>
        <w:keepNext/>
        <w:keepLines/>
        <w:adjustRightInd/>
        <w:snapToGrid/>
        <w:spacing w:before="260" w:after="260" w:line="416" w:lineRule="auto"/>
        <w:rPr>
          <w:rFonts w:ascii="楷体" w:hAnsi="楷体" w:eastAsia="楷体"/>
          <w:color w:val="auto"/>
          <w:sz w:val="32"/>
          <w:szCs w:val="20"/>
        </w:rPr>
      </w:pPr>
      <w:bookmarkStart w:id="24" w:name="_Toc69972786"/>
      <w:bookmarkStart w:id="25" w:name="_Toc122424953"/>
      <w:bookmarkStart w:id="26" w:name="_Toc122425098"/>
      <w:r>
        <w:rPr>
          <w:rFonts w:hint="eastAsia" w:ascii="楷体" w:hAnsi="楷体" w:eastAsia="楷体"/>
          <w:color w:val="auto"/>
          <w:sz w:val="32"/>
          <w:szCs w:val="20"/>
        </w:rPr>
        <w:t>第五节</w:t>
      </w:r>
      <w:r>
        <w:rPr>
          <w:rFonts w:ascii="楷体" w:hAnsi="楷体" w:eastAsia="楷体"/>
          <w:color w:val="auto"/>
          <w:sz w:val="32"/>
          <w:szCs w:val="20"/>
        </w:rPr>
        <w:t xml:space="preserve"> </w:t>
      </w:r>
      <w:r>
        <w:rPr>
          <w:rFonts w:hint="eastAsia" w:ascii="楷体" w:hAnsi="楷体" w:eastAsia="楷体"/>
          <w:color w:val="auto"/>
          <w:sz w:val="32"/>
          <w:szCs w:val="20"/>
        </w:rPr>
        <w:t>其他重大事项</w:t>
      </w:r>
      <w:bookmarkEnd w:id="24"/>
      <w:bookmarkEnd w:id="25"/>
      <w:bookmarkEnd w:id="26"/>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发行人一个自然年度内累计分配现金股利超过上年末净资产</w:t>
      </w:r>
      <w:r>
        <w:rPr>
          <w:rFonts w:ascii="仿宋" w:hAnsi="仿宋" w:eastAsia="仿宋"/>
          <w:szCs w:val="32"/>
        </w:rPr>
        <w:t>10%</w:t>
      </w:r>
      <w:r>
        <w:rPr>
          <w:rFonts w:hint="eastAsia" w:ascii="仿宋" w:hAnsi="仿宋" w:eastAsia="仿宋"/>
          <w:szCs w:val="32"/>
        </w:rPr>
        <w:t>的，应当于有权决策机构审议通过之日起</w:t>
      </w:r>
      <w:r>
        <w:rPr>
          <w:rFonts w:ascii="仿宋" w:hAnsi="仿宋" w:eastAsia="仿宋"/>
          <w:szCs w:val="32"/>
        </w:rPr>
        <w:t>2</w:t>
      </w:r>
      <w:r>
        <w:rPr>
          <w:rFonts w:hint="eastAsia" w:ascii="仿宋" w:hAnsi="仿宋" w:eastAsia="仿宋"/>
          <w:szCs w:val="32"/>
        </w:rPr>
        <w:t>个交易日内披露分配股利的依据、股利分配方案以及决策程序，说明股利分配对发行人公司资产、股本情况和偿债能力的影响，并于股利分配完成后</w:t>
      </w:r>
      <w:r>
        <w:rPr>
          <w:rFonts w:ascii="仿宋" w:hAnsi="仿宋" w:eastAsia="仿宋"/>
          <w:szCs w:val="32"/>
        </w:rPr>
        <w:t>2</w:t>
      </w:r>
      <w:r>
        <w:rPr>
          <w:rFonts w:hint="eastAsia" w:ascii="仿宋" w:hAnsi="仿宋" w:eastAsia="仿宋"/>
          <w:szCs w:val="32"/>
        </w:rPr>
        <w:t>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发行人名称或者注册地址变更的，应当于完成工商变更登记之日起</w:t>
      </w:r>
      <w:r>
        <w:rPr>
          <w:rFonts w:ascii="仿宋" w:hAnsi="仿宋" w:eastAsia="仿宋"/>
          <w:szCs w:val="32"/>
        </w:rPr>
        <w:t>2</w:t>
      </w:r>
      <w:r>
        <w:rPr>
          <w:rFonts w:hint="eastAsia" w:ascii="仿宋" w:hAnsi="仿宋" w:eastAsia="仿宋"/>
          <w:szCs w:val="32"/>
        </w:rPr>
        <w:t>个交易日内披露变更原因、变更前后的公司名称或者注册地址、工商登记完成情况以及公司债券名称变更情况等。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发行人聘请的会计师事务所或者公司债券的受托管理人、资信评级机构发生变更的，发行人应当于有权决策机构审议同意之日起</w:t>
      </w:r>
      <w:r>
        <w:rPr>
          <w:rFonts w:ascii="仿宋" w:hAnsi="仿宋" w:eastAsia="仿宋"/>
          <w:szCs w:val="32"/>
        </w:rPr>
        <w:t>2</w:t>
      </w:r>
      <w:r>
        <w:rPr>
          <w:rFonts w:hint="eastAsia" w:ascii="仿宋" w:hAnsi="仿宋" w:eastAsia="仿宋"/>
          <w:szCs w:val="32"/>
        </w:rPr>
        <w:t>个交易日内披露下列事项：</w:t>
      </w:r>
    </w:p>
    <w:p>
      <w:pPr>
        <w:widowControl/>
        <w:adjustRightInd/>
        <w:snapToGrid/>
        <w:ind w:firstLine="640"/>
        <w:contextualSpacing/>
        <w:rPr>
          <w:rFonts w:ascii="仿宋" w:hAnsi="仿宋" w:eastAsia="仿宋"/>
          <w:color w:val="auto"/>
          <w:szCs w:val="32"/>
        </w:rPr>
      </w:pPr>
      <w:r>
        <w:rPr>
          <w:rFonts w:hint="eastAsia" w:ascii="仿宋" w:hAnsi="仿宋" w:eastAsia="仿宋"/>
          <w:szCs w:val="32"/>
        </w:rPr>
        <w:t>（一）</w:t>
      </w:r>
      <w:r>
        <w:rPr>
          <w:rFonts w:hint="eastAsia" w:ascii="仿宋" w:hAnsi="仿宋" w:eastAsia="仿宋"/>
          <w:color w:val="auto"/>
          <w:szCs w:val="32"/>
        </w:rPr>
        <w:t>变更前中介机构名称及其履职情况；</w:t>
      </w:r>
    </w:p>
    <w:p>
      <w:pPr>
        <w:widowControl/>
        <w:adjustRightInd/>
        <w:snapToGrid/>
        <w:ind w:firstLine="640"/>
        <w:contextualSpacing/>
        <w:rPr>
          <w:rFonts w:ascii="仿宋" w:hAnsi="仿宋" w:eastAsia="仿宋"/>
          <w:color w:val="auto"/>
          <w:szCs w:val="32"/>
        </w:rPr>
      </w:pPr>
      <w:r>
        <w:rPr>
          <w:rFonts w:hint="eastAsia" w:ascii="仿宋" w:hAnsi="仿宋" w:eastAsia="仿宋"/>
          <w:color w:val="auto"/>
          <w:szCs w:val="32"/>
        </w:rPr>
        <w:t>（二）变更原因和决策程序；</w:t>
      </w:r>
    </w:p>
    <w:p>
      <w:pPr>
        <w:widowControl/>
        <w:adjustRightInd/>
        <w:snapToGrid/>
        <w:ind w:firstLine="640"/>
        <w:contextualSpacing/>
        <w:rPr>
          <w:rFonts w:ascii="仿宋" w:hAnsi="仿宋" w:eastAsia="仿宋"/>
          <w:color w:val="auto"/>
          <w:szCs w:val="32"/>
        </w:rPr>
      </w:pPr>
      <w:r>
        <w:rPr>
          <w:rFonts w:hint="eastAsia" w:ascii="仿宋" w:hAnsi="仿宋" w:eastAsia="仿宋"/>
          <w:color w:val="auto"/>
          <w:szCs w:val="32"/>
        </w:rPr>
        <w:t>（三）新任中介机构基本情况或</w:t>
      </w:r>
      <w:r>
        <w:rPr>
          <w:rFonts w:hint="eastAsia" w:ascii="仿宋" w:hAnsi="仿宋" w:eastAsia="仿宋"/>
          <w:bCs/>
          <w:szCs w:val="32"/>
        </w:rPr>
        <w:t>者</w:t>
      </w:r>
      <w:r>
        <w:rPr>
          <w:rFonts w:hint="eastAsia" w:ascii="仿宋" w:hAnsi="仿宋" w:eastAsia="仿宋"/>
          <w:color w:val="auto"/>
          <w:szCs w:val="32"/>
        </w:rPr>
        <w:t>拟聘任中介机构的安排；</w:t>
      </w:r>
    </w:p>
    <w:p>
      <w:pPr>
        <w:widowControl/>
        <w:adjustRightInd/>
        <w:snapToGrid/>
        <w:ind w:firstLine="640"/>
        <w:contextualSpacing/>
        <w:rPr>
          <w:rFonts w:ascii="仿宋" w:hAnsi="仿宋" w:eastAsia="仿宋"/>
          <w:color w:val="auto"/>
          <w:szCs w:val="32"/>
        </w:rPr>
      </w:pPr>
      <w:r>
        <w:rPr>
          <w:rFonts w:hint="eastAsia" w:ascii="仿宋" w:hAnsi="仿宋" w:eastAsia="仿宋"/>
          <w:color w:val="auto"/>
          <w:szCs w:val="32"/>
        </w:rPr>
        <w:t>（四）新任中介机构资信和诚信情况；</w:t>
      </w:r>
    </w:p>
    <w:p>
      <w:pPr>
        <w:widowControl/>
        <w:adjustRightInd/>
        <w:snapToGrid/>
        <w:ind w:firstLine="640"/>
        <w:contextualSpacing/>
        <w:rPr>
          <w:rFonts w:ascii="仿宋" w:hAnsi="仿宋" w:eastAsia="仿宋"/>
          <w:color w:val="auto"/>
          <w:szCs w:val="32"/>
        </w:rPr>
      </w:pPr>
      <w:r>
        <w:rPr>
          <w:rFonts w:hint="eastAsia" w:ascii="仿宋" w:hAnsi="仿宋" w:eastAsia="仿宋"/>
          <w:color w:val="auto"/>
          <w:szCs w:val="32"/>
        </w:rPr>
        <w:t>（五）协议签署情况以及约定的主要职责（如有）；</w:t>
      </w:r>
    </w:p>
    <w:p>
      <w:pPr>
        <w:widowControl/>
        <w:adjustRightInd/>
        <w:snapToGrid/>
        <w:ind w:firstLine="640"/>
        <w:contextualSpacing/>
        <w:rPr>
          <w:rFonts w:ascii="仿宋" w:hAnsi="仿宋" w:eastAsia="仿宋"/>
          <w:szCs w:val="32"/>
        </w:rPr>
      </w:pPr>
      <w:r>
        <w:rPr>
          <w:rFonts w:hint="eastAsia" w:ascii="仿宋" w:hAnsi="仿宋" w:eastAsia="仿宋"/>
          <w:color w:val="auto"/>
          <w:szCs w:val="32"/>
        </w:rPr>
        <w:t>（六）</w:t>
      </w:r>
      <w:r>
        <w:rPr>
          <w:rFonts w:hint="eastAsia" w:ascii="仿宋" w:hAnsi="仿宋" w:eastAsia="仿宋"/>
          <w:szCs w:val="32"/>
        </w:rPr>
        <w:t>前中介机构停止履职时间，新任中介机构开始履职时间；</w:t>
      </w:r>
    </w:p>
    <w:p>
      <w:pPr>
        <w:widowControl/>
        <w:adjustRightInd/>
        <w:snapToGrid/>
        <w:ind w:firstLine="640"/>
        <w:contextualSpacing/>
        <w:rPr>
          <w:rFonts w:ascii="仿宋" w:hAnsi="仿宋" w:eastAsia="仿宋"/>
          <w:color w:val="auto"/>
          <w:szCs w:val="32"/>
        </w:rPr>
      </w:pPr>
      <w:r>
        <w:rPr>
          <w:rFonts w:hint="eastAsia" w:ascii="仿宋" w:hAnsi="仿宋" w:eastAsia="仿宋"/>
          <w:color w:val="auto"/>
          <w:szCs w:val="32"/>
        </w:rPr>
        <w:t>（七）工作移交安排和办理情况；</w:t>
      </w:r>
    </w:p>
    <w:p>
      <w:pPr>
        <w:widowControl/>
        <w:adjustRightInd/>
        <w:snapToGrid/>
        <w:ind w:firstLine="640"/>
        <w:contextualSpacing/>
        <w:rPr>
          <w:rFonts w:ascii="仿宋" w:hAnsi="仿宋" w:eastAsia="仿宋"/>
          <w:color w:val="auto"/>
          <w:szCs w:val="32"/>
        </w:rPr>
      </w:pPr>
      <w:r>
        <w:rPr>
          <w:rFonts w:hint="eastAsia" w:ascii="仿宋" w:hAnsi="仿宋" w:eastAsia="仿宋"/>
          <w:color w:val="auto"/>
          <w:szCs w:val="32"/>
        </w:rPr>
        <w:t>（八）变更受托管理人的，还应当披露受托管理协议主要内容；</w:t>
      </w:r>
    </w:p>
    <w:p>
      <w:pPr>
        <w:widowControl/>
        <w:adjustRightInd/>
        <w:snapToGrid/>
        <w:ind w:firstLine="640"/>
        <w:contextualSpacing/>
        <w:rPr>
          <w:rFonts w:ascii="仿宋" w:hAnsi="仿宋" w:eastAsia="仿宋"/>
          <w:szCs w:val="32"/>
        </w:rPr>
      </w:pPr>
      <w:r>
        <w:rPr>
          <w:rFonts w:hint="eastAsia" w:ascii="仿宋" w:hAnsi="仿宋" w:eastAsia="仿宋"/>
          <w:color w:val="auto"/>
          <w:szCs w:val="32"/>
        </w:rPr>
        <w:t>（九）</w:t>
      </w:r>
      <w:r>
        <w:rPr>
          <w:rFonts w:hint="eastAsia" w:ascii="仿宋" w:hAnsi="仿宋" w:eastAsia="仿宋"/>
          <w:szCs w:val="32"/>
        </w:rPr>
        <w:t>变更资信评级机构的，还应当披露持续跟踪评级安排。</w:t>
      </w:r>
    </w:p>
    <w:p>
      <w:pPr>
        <w:adjustRightInd/>
        <w:snapToGrid/>
        <w:ind w:firstLine="640"/>
        <w:contextualSpacing/>
        <w:rPr>
          <w:rFonts w:ascii="仿宋" w:hAnsi="仿宋" w:eastAsia="仿宋"/>
          <w:szCs w:val="32"/>
        </w:rPr>
      </w:pPr>
      <w:r>
        <w:rPr>
          <w:rFonts w:hint="eastAsia" w:ascii="仿宋" w:hAnsi="仿宋" w:eastAsia="仿宋"/>
          <w:szCs w:val="32"/>
        </w:rPr>
        <w:t>发行人应当于签订协议、完成工作移交办理等事项发生进展的</w:t>
      </w:r>
      <w:r>
        <w:rPr>
          <w:rFonts w:ascii="仿宋" w:hAnsi="仿宋" w:eastAsia="仿宋"/>
          <w:szCs w:val="32"/>
        </w:rPr>
        <w:t>2</w:t>
      </w:r>
      <w:r>
        <w:rPr>
          <w:rFonts w:hint="eastAsia" w:ascii="仿宋" w:hAnsi="仿宋" w:eastAsia="仿宋"/>
          <w:szCs w:val="32"/>
        </w:rPr>
        <w:t>个交易日内披露重大事项进展。</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发行人境内外主体信用评级或者其发行的公司信用类债券信用评级调整或者终止的，发行人应当于知道或者应当知道评级调整或者终止之日起</w:t>
      </w:r>
      <w:r>
        <w:rPr>
          <w:rFonts w:ascii="仿宋" w:hAnsi="仿宋" w:eastAsia="仿宋"/>
          <w:szCs w:val="32"/>
        </w:rPr>
        <w:t>2</w:t>
      </w:r>
      <w:r>
        <w:rPr>
          <w:rFonts w:hint="eastAsia" w:ascii="仿宋" w:hAnsi="仿宋" w:eastAsia="仿宋"/>
          <w:szCs w:val="32"/>
        </w:rPr>
        <w:t>个交易日内披露资信评级机构名称、评级调整或者终止对象、调整或者终止前后的评级结论、评级调整或者终止原因。如评级结论为负向调整的，发行人应当结合评级关注事项、公司实际情况、投资者权益保护条款约定情况等分析对发行人偿债能力和投资者权益保护的影响，并说明已采取或者拟采取的应对措施及其相应成效。</w:t>
      </w:r>
    </w:p>
    <w:p>
      <w:pPr>
        <w:widowControl/>
        <w:adjustRightInd/>
        <w:snapToGrid/>
        <w:ind w:firstLine="560" w:firstLineChars="0"/>
        <w:contextualSpacing/>
        <w:rPr>
          <w:rFonts w:ascii="仿宋" w:hAnsi="仿宋" w:eastAsia="仿宋"/>
          <w:szCs w:val="32"/>
        </w:rPr>
      </w:pPr>
      <w:r>
        <w:rPr>
          <w:rFonts w:hint="eastAsia" w:ascii="仿宋" w:hAnsi="仿宋" w:eastAsia="仿宋" w:cs="宋体"/>
          <w:bCs/>
          <w:kern w:val="0"/>
          <w:szCs w:val="32"/>
        </w:rPr>
        <w:t>前款所称的终止评级不包括因债券到期兑付而导致的终止评级。</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公司债券增信措施发生变更的，包括新增、变更或者解除增信措施，发行人应当于有权决策机构审议同意之日起</w:t>
      </w:r>
      <w:r>
        <w:rPr>
          <w:rFonts w:ascii="仿宋" w:hAnsi="仿宋" w:eastAsia="仿宋"/>
          <w:szCs w:val="32"/>
        </w:rPr>
        <w:t>2</w:t>
      </w:r>
      <w:r>
        <w:rPr>
          <w:rFonts w:hint="eastAsia" w:ascii="仿宋" w:hAnsi="仿宋" w:eastAsia="仿宋"/>
          <w:szCs w:val="32"/>
        </w:rPr>
        <w:t>个交易日内披露下列事项：</w:t>
      </w:r>
    </w:p>
    <w:p>
      <w:pPr>
        <w:widowControl/>
        <w:ind w:firstLine="640"/>
        <w:contextualSpacing/>
        <w:rPr>
          <w:rFonts w:ascii="仿宋" w:hAnsi="仿宋" w:eastAsia="仿宋"/>
          <w:szCs w:val="32"/>
        </w:rPr>
      </w:pPr>
      <w:r>
        <w:rPr>
          <w:rFonts w:hint="eastAsia" w:ascii="仿宋" w:hAnsi="仿宋" w:eastAsia="仿宋"/>
          <w:szCs w:val="32"/>
        </w:rPr>
        <w:t>（一）公司债券基本情况、原有增信措施内容及其执行情况（如有）；</w:t>
      </w:r>
    </w:p>
    <w:p>
      <w:pPr>
        <w:widowControl/>
        <w:ind w:firstLine="640"/>
        <w:contextualSpacing/>
        <w:rPr>
          <w:rFonts w:ascii="仿宋" w:hAnsi="仿宋" w:eastAsia="仿宋"/>
          <w:szCs w:val="32"/>
        </w:rPr>
      </w:pPr>
      <w:r>
        <w:rPr>
          <w:rFonts w:hint="eastAsia" w:ascii="仿宋" w:hAnsi="仿宋" w:eastAsia="仿宋"/>
          <w:szCs w:val="32"/>
        </w:rPr>
        <w:t>（二）增信措施变更原因及其变更程序履行情况；</w:t>
      </w:r>
    </w:p>
    <w:p>
      <w:pPr>
        <w:ind w:firstLine="640"/>
        <w:contextualSpacing/>
        <w:rPr>
          <w:rFonts w:ascii="仿宋" w:hAnsi="仿宋" w:eastAsia="仿宋"/>
          <w:szCs w:val="32"/>
        </w:rPr>
      </w:pPr>
      <w:r>
        <w:rPr>
          <w:rFonts w:hint="eastAsia" w:ascii="仿宋" w:hAnsi="仿宋" w:eastAsia="仿宋"/>
          <w:szCs w:val="32"/>
        </w:rPr>
        <w:t>（三）变更后的增信措施基本情况，包括增信主体、增信类型、金额、责任承担范围、责任承担的前提条件、增信期间以及责任承担期间等；</w:t>
      </w:r>
    </w:p>
    <w:p>
      <w:pPr>
        <w:ind w:firstLine="640"/>
        <w:contextualSpacing/>
        <w:rPr>
          <w:rFonts w:ascii="仿宋" w:hAnsi="仿宋" w:eastAsia="仿宋"/>
          <w:szCs w:val="32"/>
        </w:rPr>
      </w:pPr>
      <w:r>
        <w:rPr>
          <w:rFonts w:hint="eastAsia" w:ascii="仿宋" w:hAnsi="仿宋" w:eastAsia="仿宋"/>
          <w:szCs w:val="32"/>
        </w:rPr>
        <w:t>（四）变更后的增信措施为物的担保的，披露变更后的担保物的基本情况，登记、保管和相关法律手续的办理情况，以及被担保公司债券在担保物中的担保顺位情况等；</w:t>
      </w:r>
    </w:p>
    <w:p>
      <w:pPr>
        <w:ind w:firstLine="640"/>
        <w:contextualSpacing/>
        <w:rPr>
          <w:rFonts w:ascii="仿宋" w:hAnsi="仿宋" w:eastAsia="仿宋"/>
          <w:szCs w:val="32"/>
        </w:rPr>
      </w:pPr>
      <w:r>
        <w:rPr>
          <w:rFonts w:hint="eastAsia" w:ascii="仿宋" w:hAnsi="仿宋" w:eastAsia="仿宋"/>
          <w:szCs w:val="32"/>
        </w:rPr>
        <w:t>（五）变更后的增信措施为主体增信的，应当披露增信主体基本情况、对外提供增信余额（如有），增信主体为融资性担保公司的，仅需披露最近一年又一期末债券担保责任余额；</w:t>
      </w:r>
    </w:p>
    <w:p>
      <w:pPr>
        <w:ind w:firstLine="640"/>
        <w:contextualSpacing/>
        <w:rPr>
          <w:rFonts w:ascii="仿宋" w:hAnsi="仿宋" w:eastAsia="仿宋"/>
          <w:szCs w:val="32"/>
        </w:rPr>
      </w:pPr>
      <w:r>
        <w:rPr>
          <w:rFonts w:hint="eastAsia" w:ascii="仿宋" w:hAnsi="仿宋" w:eastAsia="仿宋"/>
          <w:szCs w:val="32"/>
        </w:rPr>
        <w:t>（六）共同增信或者反增信情况（如有）；</w:t>
      </w:r>
    </w:p>
    <w:p>
      <w:pPr>
        <w:widowControl/>
        <w:adjustRightInd/>
        <w:snapToGrid/>
        <w:ind w:firstLine="640"/>
        <w:contextualSpacing/>
        <w:rPr>
          <w:rFonts w:ascii="仿宋" w:hAnsi="仿宋" w:eastAsia="仿宋"/>
          <w:szCs w:val="32"/>
        </w:rPr>
      </w:pPr>
      <w:r>
        <w:rPr>
          <w:rFonts w:hint="eastAsia" w:ascii="仿宋" w:hAnsi="仿宋" w:eastAsia="仿宋"/>
          <w:szCs w:val="32"/>
        </w:rPr>
        <w:t>（七）增信措施变更对债券偿付的影响及已采取或</w:t>
      </w:r>
      <w:r>
        <w:rPr>
          <w:rFonts w:hint="eastAsia" w:ascii="仿宋" w:hAnsi="仿宋" w:eastAsia="仿宋"/>
          <w:bCs/>
          <w:szCs w:val="32"/>
        </w:rPr>
        <w:t>者</w:t>
      </w:r>
      <w:r>
        <w:rPr>
          <w:rFonts w:hint="eastAsia" w:ascii="仿宋" w:hAnsi="仿宋" w:eastAsia="仿宋"/>
          <w:szCs w:val="32"/>
        </w:rPr>
        <w:t>拟采取的持有人权益保护措施（如有）。</w:t>
      </w:r>
    </w:p>
    <w:p>
      <w:pPr>
        <w:widowControl/>
        <w:adjustRightInd/>
        <w:snapToGrid/>
        <w:ind w:firstLine="640"/>
        <w:contextualSpacing/>
        <w:rPr>
          <w:rFonts w:ascii="仿宋" w:hAnsi="仿宋" w:eastAsia="仿宋"/>
          <w:szCs w:val="32"/>
        </w:rPr>
      </w:pPr>
      <w:r>
        <w:rPr>
          <w:rFonts w:hint="eastAsia" w:ascii="仿宋" w:hAnsi="仿宋" w:eastAsia="仿宋"/>
          <w:color w:val="auto"/>
          <w:szCs w:val="32"/>
        </w:rPr>
        <w:t>发行人应当于协议签署、召开持有人会议（如有）、增信措施变更生效等事项发生的</w:t>
      </w:r>
      <w:r>
        <w:rPr>
          <w:rFonts w:ascii="仿宋" w:hAnsi="仿宋" w:eastAsia="仿宋"/>
          <w:color w:val="auto"/>
          <w:szCs w:val="32"/>
        </w:rPr>
        <w:t>2</w:t>
      </w:r>
      <w:r>
        <w:rPr>
          <w:rFonts w:hint="eastAsia" w:ascii="仿宋" w:hAnsi="仿宋" w:eastAsia="仿宋"/>
          <w:color w:val="auto"/>
          <w:szCs w:val="32"/>
        </w:rPr>
        <w:t>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市场上出现关于发行人或者其控股股东、实际控制人、重要子公司、同一控制下重要关联方的重大不利报道或者负面市场传闻的，发行人应当及时核查报道或者传闻的真实性，评估对发行人生产经营、财务管理、外部融资和偿债能力的具体影响，并于知道或者应当知道相关传闻或者报道之日起</w:t>
      </w:r>
      <w:r>
        <w:rPr>
          <w:rFonts w:ascii="仿宋" w:hAnsi="仿宋" w:eastAsia="仿宋"/>
          <w:szCs w:val="32"/>
        </w:rPr>
        <w:t>2</w:t>
      </w:r>
      <w:r>
        <w:rPr>
          <w:rFonts w:hint="eastAsia" w:ascii="仿宋" w:hAnsi="仿宋" w:eastAsia="仿宋"/>
          <w:szCs w:val="32"/>
        </w:rPr>
        <w:t>个交易日内披露报道或者传闻内容、发行人核实情况或者截至目前的核实进展、报道或者传闻对发行人的影响及其应对措施（如有）、是否存在应披露未披露事项等，并根据核实进展情况持续进行信息披露。</w:t>
      </w:r>
    </w:p>
    <w:p>
      <w:pPr>
        <w:adjustRightInd/>
        <w:snapToGrid/>
        <w:ind w:firstLine="640"/>
        <w:contextualSpacing/>
        <w:rPr>
          <w:rFonts w:ascii="仿宋" w:hAnsi="仿宋" w:eastAsia="仿宋"/>
          <w:szCs w:val="32"/>
        </w:rPr>
      </w:pPr>
      <w:r>
        <w:rPr>
          <w:rFonts w:hint="eastAsia" w:ascii="仿宋" w:hAnsi="仿宋" w:eastAsia="仿宋"/>
          <w:szCs w:val="32"/>
        </w:rPr>
        <w:t>本所可以要求发行人核实相关报道或者传闻内容并予以澄清或者说明。</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公司债券首次出现价格异常大幅下跌，或者连续多日成交价格明显低于合理价值的，发行人应当自查近期生产经营、财务管理、外部融资、偿债能力以及持有人权益保护等方面是否发生重大不利变化，及时披露自查公告，说明自查结果以及是否存在应披露未披露事项，但</w:t>
      </w:r>
      <w:r>
        <w:rPr>
          <w:rFonts w:ascii="仿宋" w:hAnsi="仿宋" w:eastAsia="仿宋"/>
          <w:szCs w:val="32"/>
        </w:rPr>
        <w:t>3</w:t>
      </w:r>
      <w:r>
        <w:rPr>
          <w:rFonts w:hint="eastAsia" w:ascii="仿宋" w:hAnsi="仿宋" w:eastAsia="仿宋"/>
          <w:szCs w:val="32"/>
        </w:rPr>
        <w:t>个月内已披露过自查公告且前次披露事项未发生变化的除外。</w:t>
      </w:r>
    </w:p>
    <w:p>
      <w:pPr>
        <w:adjustRightInd/>
        <w:snapToGrid/>
        <w:ind w:firstLine="640"/>
        <w:contextualSpacing/>
        <w:rPr>
          <w:rFonts w:ascii="仿宋" w:hAnsi="仿宋" w:eastAsia="仿宋"/>
          <w:szCs w:val="32"/>
        </w:rPr>
      </w:pPr>
      <w:r>
        <w:rPr>
          <w:rFonts w:hint="eastAsia" w:ascii="仿宋" w:hAnsi="仿宋" w:eastAsia="仿宋"/>
          <w:szCs w:val="32"/>
        </w:rPr>
        <w:t>本所可以要求发行人自查交易价格异常情况并披露自查公告。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发行人应当按照《企业环境信息依法披露管理办法》的规定披露临时环境信息。相关事项属于可能影响发行人偿债能力、债券价格或者投资者权益的重大事项的，发行人应当在本所同步披露。</w:t>
      </w:r>
    </w:p>
    <w:p>
      <w:pPr>
        <w:pStyle w:val="2"/>
        <w:keepNext/>
        <w:keepLines/>
        <w:adjustRightInd/>
        <w:snapToGrid/>
        <w:spacing w:before="240" w:after="240" w:line="240" w:lineRule="auto"/>
        <w:rPr>
          <w:rFonts w:ascii="黑体" w:hAnsi="黑体"/>
          <w:color w:val="auto"/>
          <w:kern w:val="44"/>
          <w:szCs w:val="32"/>
        </w:rPr>
      </w:pPr>
      <w:bookmarkStart w:id="27" w:name="_Toc69972787"/>
      <w:bookmarkStart w:id="28" w:name="_Toc122425099"/>
      <w:bookmarkStart w:id="29" w:name="_Toc122424954"/>
      <w:r>
        <w:rPr>
          <w:rFonts w:hint="eastAsia" w:ascii="黑体" w:hAnsi="黑体"/>
          <w:color w:val="auto"/>
          <w:kern w:val="44"/>
          <w:szCs w:val="32"/>
        </w:rPr>
        <w:t>第四章</w:t>
      </w:r>
      <w:r>
        <w:rPr>
          <w:rFonts w:ascii="黑体" w:hAnsi="黑体"/>
          <w:color w:val="auto"/>
          <w:kern w:val="44"/>
          <w:szCs w:val="32"/>
        </w:rPr>
        <w:t xml:space="preserve"> </w:t>
      </w:r>
      <w:r>
        <w:rPr>
          <w:rFonts w:hint="eastAsia" w:ascii="黑体" w:hAnsi="黑体"/>
          <w:color w:val="auto"/>
          <w:kern w:val="44"/>
          <w:szCs w:val="32"/>
        </w:rPr>
        <w:t>公司债券相关事项披露</w:t>
      </w:r>
      <w:bookmarkEnd w:id="27"/>
      <w:r>
        <w:rPr>
          <w:rFonts w:hint="eastAsia" w:ascii="黑体" w:hAnsi="黑体"/>
          <w:color w:val="auto"/>
          <w:kern w:val="44"/>
          <w:szCs w:val="32"/>
        </w:rPr>
        <w:t>要求</w:t>
      </w:r>
      <w:bookmarkEnd w:id="28"/>
      <w:bookmarkEnd w:id="29"/>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债券存续期内，发行人拟变更债券募集资金用途的，应当按照规定和约定履行必要的变更程序，变更后的用途应当符合相关规定、约定或承诺。发行人应当于变更程序完成之日起</w:t>
      </w:r>
      <w:r>
        <w:rPr>
          <w:rFonts w:ascii="仿宋" w:hAnsi="仿宋" w:eastAsia="仿宋"/>
          <w:szCs w:val="32"/>
        </w:rPr>
        <w:t>2</w:t>
      </w:r>
      <w:r>
        <w:rPr>
          <w:rFonts w:hint="eastAsia" w:ascii="仿宋" w:hAnsi="仿宋" w:eastAsia="仿宋"/>
          <w:szCs w:val="32"/>
        </w:rPr>
        <w:t>个交易日内披露变更后的募集资金用途、已履行的变更程序、变更后募集资金用途的合法合规情况。</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募集资金用于固定资产投资项目或者股权投资、债权投资等其他特定项目，且债券存续期内项目发生重大变化的，发行人应当按照规定或者约定履行程序。发行人应当于重大变化发生之日起</w:t>
      </w:r>
      <w:r>
        <w:rPr>
          <w:rFonts w:ascii="仿宋" w:hAnsi="仿宋" w:eastAsia="仿宋"/>
          <w:szCs w:val="32"/>
        </w:rPr>
        <w:t>2</w:t>
      </w:r>
      <w:r>
        <w:rPr>
          <w:rFonts w:hint="eastAsia" w:ascii="仿宋" w:hAnsi="仿宋" w:eastAsia="仿宋"/>
          <w:szCs w:val="32"/>
        </w:rPr>
        <w:t>个交易日内披露</w:t>
      </w:r>
      <w:r>
        <w:rPr>
          <w:rFonts w:ascii="仿宋" w:hAnsi="仿宋" w:eastAsia="仿宋"/>
          <w:szCs w:val="32"/>
        </w:rPr>
        <w:t>事件的起因、目前的状态</w:t>
      </w:r>
      <w:r>
        <w:rPr>
          <w:rFonts w:hint="eastAsia" w:ascii="仿宋" w:hAnsi="仿宋" w:eastAsia="仿宋"/>
          <w:szCs w:val="32"/>
        </w:rPr>
        <w:t>、</w:t>
      </w:r>
      <w:r>
        <w:rPr>
          <w:rFonts w:ascii="仿宋" w:hAnsi="仿宋" w:eastAsia="仿宋"/>
          <w:szCs w:val="32"/>
        </w:rPr>
        <w:t>可能产生的</w:t>
      </w:r>
      <w:r>
        <w:rPr>
          <w:rFonts w:hint="eastAsia" w:ascii="仿宋" w:hAnsi="仿宋" w:eastAsia="仿宋"/>
          <w:szCs w:val="32"/>
        </w:rPr>
        <w:t>影响、应对措施以及相应成效；如需履行核准备案等相关程序的，发行人还应当于程序完成之日起</w:t>
      </w:r>
      <w:r>
        <w:rPr>
          <w:rFonts w:ascii="仿宋" w:hAnsi="仿宋" w:eastAsia="仿宋"/>
          <w:szCs w:val="32"/>
        </w:rPr>
        <w:t>2</w:t>
      </w:r>
      <w:r>
        <w:rPr>
          <w:rFonts w:hint="eastAsia" w:ascii="仿宋" w:hAnsi="仿宋" w:eastAsia="仿宋"/>
          <w:szCs w:val="32"/>
        </w:rPr>
        <w:t>个交易日内披露前述内容以及程序履行情况。</w:t>
      </w:r>
    </w:p>
    <w:p>
      <w:pPr>
        <w:ind w:firstLine="640"/>
        <w:rPr>
          <w:rFonts w:ascii="仿宋" w:hAnsi="仿宋" w:eastAsia="仿宋"/>
          <w:szCs w:val="32"/>
        </w:rPr>
      </w:pPr>
      <w:r>
        <w:rPr>
          <w:rFonts w:hint="eastAsia" w:ascii="仿宋" w:hAnsi="仿宋" w:eastAsia="仿宋"/>
          <w:szCs w:val="32"/>
        </w:rPr>
        <w:t>前款所称重大变化指符合下列任意条件的变化，募集说明书对重大变化有更高约定的，从其约定：</w:t>
      </w:r>
    </w:p>
    <w:p>
      <w:pPr>
        <w:ind w:firstLine="640"/>
        <w:rPr>
          <w:rFonts w:ascii="仿宋" w:hAnsi="仿宋" w:eastAsia="仿宋"/>
          <w:szCs w:val="32"/>
        </w:rPr>
      </w:pPr>
      <w:r>
        <w:rPr>
          <w:rFonts w:hint="eastAsia" w:ascii="仿宋" w:hAnsi="仿宋" w:eastAsia="仿宋"/>
          <w:szCs w:val="32"/>
        </w:rPr>
        <w:t>（一）项目涉及的市场环境发生重大变化；</w:t>
      </w:r>
    </w:p>
    <w:p>
      <w:pPr>
        <w:ind w:firstLine="640"/>
        <w:rPr>
          <w:rFonts w:ascii="仿宋" w:hAnsi="仿宋" w:eastAsia="仿宋"/>
          <w:szCs w:val="32"/>
        </w:rPr>
      </w:pPr>
      <w:r>
        <w:rPr>
          <w:rFonts w:hint="eastAsia" w:ascii="仿宋" w:hAnsi="仿宋" w:eastAsia="仿宋"/>
          <w:szCs w:val="32"/>
        </w:rPr>
        <w:t>（二）项目开工时间或完工时间延期满</w:t>
      </w:r>
      <w:r>
        <w:rPr>
          <w:rFonts w:ascii="仿宋" w:hAnsi="仿宋" w:eastAsia="仿宋"/>
          <w:szCs w:val="32"/>
        </w:rPr>
        <w:t>1</w:t>
      </w:r>
      <w:r>
        <w:rPr>
          <w:rFonts w:hint="eastAsia" w:ascii="仿宋" w:hAnsi="仿宋" w:eastAsia="仿宋"/>
          <w:szCs w:val="32"/>
        </w:rPr>
        <w:t>年，或者项目建设暂停满</w:t>
      </w:r>
      <w:r>
        <w:rPr>
          <w:rFonts w:ascii="仿宋" w:hAnsi="仿宋" w:eastAsia="仿宋"/>
          <w:szCs w:val="32"/>
        </w:rPr>
        <w:t>1</w:t>
      </w:r>
      <w:r>
        <w:rPr>
          <w:rFonts w:hint="eastAsia" w:ascii="仿宋" w:hAnsi="仿宋" w:eastAsia="仿宋"/>
          <w:szCs w:val="32"/>
        </w:rPr>
        <w:t>年；</w:t>
      </w:r>
    </w:p>
    <w:p>
      <w:pPr>
        <w:ind w:firstLine="640"/>
        <w:rPr>
          <w:rFonts w:ascii="仿宋" w:hAnsi="仿宋" w:eastAsia="仿宋"/>
          <w:szCs w:val="32"/>
        </w:rPr>
      </w:pPr>
      <w:r>
        <w:rPr>
          <w:rFonts w:hint="eastAsia" w:ascii="仿宋" w:hAnsi="仿宋" w:eastAsia="仿宋"/>
          <w:szCs w:val="32"/>
        </w:rPr>
        <w:t>（三）超过最近一次募集资金投资计划的完成期限且募集资金投入金额未达到相关计划金额</w:t>
      </w:r>
      <w:r>
        <w:rPr>
          <w:rFonts w:ascii="仿宋" w:hAnsi="仿宋" w:eastAsia="仿宋"/>
          <w:szCs w:val="32"/>
        </w:rPr>
        <w:t>50%；</w:t>
      </w:r>
    </w:p>
    <w:p>
      <w:pPr>
        <w:ind w:firstLine="640"/>
        <w:rPr>
          <w:rFonts w:ascii="仿宋" w:hAnsi="仿宋" w:eastAsia="仿宋"/>
          <w:szCs w:val="32"/>
        </w:rPr>
      </w:pPr>
      <w:r>
        <w:rPr>
          <w:rFonts w:hint="eastAsia" w:ascii="仿宋" w:hAnsi="仿宋" w:eastAsia="仿宋"/>
          <w:szCs w:val="32"/>
        </w:rPr>
        <w:t>（四）项目实施主体发生变更；</w:t>
      </w:r>
    </w:p>
    <w:p>
      <w:pPr>
        <w:ind w:firstLine="640"/>
        <w:rPr>
          <w:rFonts w:ascii="仿宋" w:hAnsi="仿宋" w:eastAsia="仿宋"/>
          <w:szCs w:val="32"/>
        </w:rPr>
      </w:pPr>
      <w:r>
        <w:rPr>
          <w:rFonts w:hint="eastAsia" w:ascii="仿宋" w:hAnsi="仿宋" w:eastAsia="仿宋"/>
          <w:szCs w:val="32"/>
        </w:rPr>
        <w:t>（五）项目发生不合法、不合规情形且严重影响建设、运营、投资的；</w:t>
      </w:r>
    </w:p>
    <w:p>
      <w:pPr>
        <w:ind w:firstLine="640"/>
        <w:rPr>
          <w:rFonts w:ascii="仿宋" w:hAnsi="仿宋" w:eastAsia="仿宋"/>
          <w:szCs w:val="32"/>
        </w:rPr>
      </w:pPr>
      <w:r>
        <w:rPr>
          <w:rFonts w:hint="eastAsia" w:ascii="仿宋" w:hAnsi="仿宋" w:eastAsia="仿宋"/>
          <w:szCs w:val="32"/>
        </w:rPr>
        <w:t>（六）项目主要建设或者投资内容发生变化；</w:t>
      </w:r>
    </w:p>
    <w:p>
      <w:pPr>
        <w:ind w:firstLine="640"/>
        <w:rPr>
          <w:rFonts w:ascii="仿宋" w:hAnsi="仿宋" w:eastAsia="仿宋"/>
          <w:szCs w:val="32"/>
        </w:rPr>
      </w:pPr>
      <w:r>
        <w:rPr>
          <w:rFonts w:hint="eastAsia" w:ascii="仿宋" w:hAnsi="仿宋" w:eastAsia="仿宋"/>
          <w:szCs w:val="32"/>
        </w:rPr>
        <w:t>（七）其他对项目预期运营收益实现或者债券持有人权益有重大影响的变化。</w:t>
      </w:r>
    </w:p>
    <w:p>
      <w:pPr>
        <w:ind w:firstLine="640" w:firstLineChars="0"/>
        <w:rPr>
          <w:rFonts w:ascii="仿宋" w:hAnsi="仿宋" w:eastAsia="仿宋"/>
          <w:szCs w:val="32"/>
        </w:rPr>
      </w:pPr>
      <w:r>
        <w:rPr>
          <w:rFonts w:ascii="仿宋" w:hAnsi="仿宋" w:eastAsia="仿宋"/>
          <w:szCs w:val="32"/>
        </w:rPr>
        <w:t>发行人披露重大</w:t>
      </w:r>
      <w:r>
        <w:rPr>
          <w:rFonts w:hint="eastAsia" w:ascii="仿宋" w:hAnsi="仿宋" w:eastAsia="仿宋"/>
          <w:szCs w:val="32"/>
        </w:rPr>
        <w:t>变化</w:t>
      </w:r>
      <w:r>
        <w:rPr>
          <w:rFonts w:ascii="仿宋" w:hAnsi="仿宋" w:eastAsia="仿宋"/>
          <w:szCs w:val="32"/>
        </w:rPr>
        <w:t>后，已</w:t>
      </w:r>
      <w:r>
        <w:rPr>
          <w:rFonts w:hint="eastAsia" w:ascii="仿宋" w:hAnsi="仿宋" w:eastAsia="仿宋"/>
          <w:szCs w:val="32"/>
        </w:rPr>
        <w:t>经</w:t>
      </w:r>
      <w:r>
        <w:rPr>
          <w:rFonts w:ascii="仿宋" w:hAnsi="仿宋" w:eastAsia="仿宋"/>
          <w:szCs w:val="32"/>
        </w:rPr>
        <w:t>披露的重大</w:t>
      </w:r>
      <w:r>
        <w:rPr>
          <w:rFonts w:hint="eastAsia" w:ascii="仿宋" w:hAnsi="仿宋" w:eastAsia="仿宋"/>
          <w:szCs w:val="32"/>
        </w:rPr>
        <w:t>变化</w:t>
      </w:r>
      <w:r>
        <w:rPr>
          <w:rFonts w:ascii="仿宋" w:hAnsi="仿宋" w:eastAsia="仿宋"/>
          <w:szCs w:val="32"/>
        </w:rPr>
        <w:t>出现可能对</w:t>
      </w:r>
      <w:r>
        <w:rPr>
          <w:rFonts w:hint="eastAsia" w:ascii="仿宋" w:hAnsi="仿宋" w:eastAsia="仿宋"/>
          <w:szCs w:val="32"/>
        </w:rPr>
        <w:t>债券持有人</w:t>
      </w:r>
      <w:r>
        <w:rPr>
          <w:rFonts w:ascii="仿宋" w:hAnsi="仿宋" w:eastAsia="仿宋"/>
          <w:szCs w:val="32"/>
        </w:rPr>
        <w:t>产生较大影响的进展的，应当</w:t>
      </w:r>
      <w:r>
        <w:rPr>
          <w:rFonts w:hint="eastAsia" w:ascii="仿宋" w:hAnsi="仿宋" w:eastAsia="仿宋"/>
          <w:szCs w:val="32"/>
        </w:rPr>
        <w:t>于发生进展之日起</w:t>
      </w:r>
      <w:r>
        <w:rPr>
          <w:rFonts w:ascii="仿宋" w:hAnsi="仿宋" w:eastAsia="仿宋"/>
          <w:szCs w:val="32"/>
        </w:rPr>
        <w:t>2个交易日内披露后续进展情况及其影响。</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发行人应当在约定的公司债券本息兑付日前，披露本金或者利息兑付安排等有关事宜。</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债券附发行人调整票面利率条款的，发行人应当按照约定的日期披露票面利率调整公告；调整票面利率条款与回售业务相关的，发行人应于回售申报起始日前至少披露三次票面利率调整相关公告</w:t>
      </w:r>
      <w:r>
        <w:rPr>
          <w:rFonts w:hint="eastAsia" w:ascii="仿宋" w:hAnsi="仿宋" w:eastAsia="仿宋"/>
          <w:szCs w:val="32"/>
        </w:rPr>
        <w:t>。</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债券附投资者回售条款的，发行人应当在回售申报起始日前披露回售程序、回售申报期、</w:t>
      </w:r>
      <w:r>
        <w:rPr>
          <w:rFonts w:hint="eastAsia" w:ascii="仿宋" w:hAnsi="仿宋" w:eastAsia="仿宋"/>
          <w:szCs w:val="32"/>
        </w:rPr>
        <w:t>回售撤销期（如有）、</w:t>
      </w:r>
      <w:r>
        <w:rPr>
          <w:rFonts w:ascii="仿宋" w:hAnsi="仿宋" w:eastAsia="仿宋"/>
          <w:szCs w:val="32"/>
        </w:rPr>
        <w:t>回售价格、回售资金到账日</w:t>
      </w:r>
      <w:r>
        <w:rPr>
          <w:rFonts w:hint="eastAsia" w:ascii="仿宋" w:hAnsi="仿宋" w:eastAsia="仿宋"/>
          <w:szCs w:val="32"/>
        </w:rPr>
        <w:t>和</w:t>
      </w:r>
      <w:r>
        <w:rPr>
          <w:rFonts w:ascii="仿宋" w:hAnsi="仿宋" w:eastAsia="仿宋"/>
          <w:szCs w:val="32"/>
        </w:rPr>
        <w:t>转售安排等内容，并在回售申报结束日前至少披露三次。回售、转售（如有）完成后，发行人应当及时披露债券回售、转售</w:t>
      </w:r>
      <w:r>
        <w:rPr>
          <w:rFonts w:hint="eastAsia" w:ascii="仿宋" w:hAnsi="仿宋" w:eastAsia="仿宋"/>
          <w:szCs w:val="32"/>
        </w:rPr>
        <w:t>（如有）</w:t>
      </w:r>
      <w:r>
        <w:rPr>
          <w:rFonts w:ascii="仿宋" w:hAnsi="仿宋" w:eastAsia="仿宋"/>
          <w:szCs w:val="32"/>
        </w:rPr>
        <w:t>情况及其影响</w:t>
      </w:r>
      <w:r>
        <w:rPr>
          <w:rFonts w:hint="eastAsia" w:ascii="仿宋" w:hAnsi="仿宋" w:eastAsia="仿宋"/>
          <w:szCs w:val="32"/>
        </w:rPr>
        <w:t>。</w:t>
      </w:r>
    </w:p>
    <w:p>
      <w:pPr>
        <w:adjustRightInd/>
        <w:snapToGrid/>
        <w:ind w:firstLine="640"/>
        <w:contextualSpacing/>
        <w:rPr>
          <w:rFonts w:ascii="仿宋" w:hAnsi="仿宋" w:eastAsia="仿宋"/>
          <w:szCs w:val="32"/>
        </w:rPr>
      </w:pPr>
      <w:r>
        <w:rPr>
          <w:rFonts w:hint="eastAsia" w:ascii="仿宋" w:hAnsi="仿宋" w:eastAsia="仿宋"/>
          <w:szCs w:val="32"/>
        </w:rPr>
        <w:t>发行人应当在回售资金到账日前及时披露债券回售结果公告，说明回售申报金额、回售资金发放和债券注销安排等，并按规定注销相应债券。</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发行人拟转售债券的，应当于回售实施提示性公告中披露拟转售安排，在回售结果公告中披露转售数量、转售期间，并承诺转售符合相关规定、约定以及承诺的要求。发行人应当于转售期间届满后的</w:t>
      </w:r>
      <w:r>
        <w:rPr>
          <w:rFonts w:ascii="仿宋" w:hAnsi="仿宋" w:eastAsia="仿宋"/>
          <w:szCs w:val="32"/>
        </w:rPr>
        <w:t>2</w:t>
      </w:r>
      <w:r>
        <w:rPr>
          <w:rFonts w:hint="eastAsia" w:ascii="仿宋" w:hAnsi="仿宋" w:eastAsia="仿宋"/>
          <w:szCs w:val="32"/>
        </w:rPr>
        <w:t>个交易日内披露转售结果公告，并注销未转售部分的债券。</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发行人拟申请延长转售期间的，应当于转售期限届满前</w:t>
      </w:r>
      <w:r>
        <w:rPr>
          <w:rFonts w:ascii="仿宋" w:hAnsi="仿宋" w:eastAsia="仿宋"/>
          <w:szCs w:val="32"/>
        </w:rPr>
        <w:t>5</w:t>
      </w:r>
      <w:r>
        <w:rPr>
          <w:rFonts w:hint="eastAsia" w:ascii="仿宋" w:hAnsi="仿宋" w:eastAsia="仿宋"/>
          <w:szCs w:val="32"/>
        </w:rPr>
        <w:t>个交易日向本所提交申请，说明转售进展、申请延长转售期的必要性和可行性、拟申请延长的期间。确定延长转售期的，发行人应当及时披露延长转售期公告，说明相关安排。</w:t>
      </w:r>
    </w:p>
    <w:p>
      <w:pPr>
        <w:adjustRightInd/>
        <w:snapToGrid/>
        <w:ind w:firstLine="640"/>
        <w:contextualSpacing/>
        <w:rPr>
          <w:rFonts w:ascii="仿宋" w:hAnsi="仿宋" w:eastAsia="仿宋"/>
          <w:color w:val="auto"/>
          <w:szCs w:val="32"/>
        </w:rPr>
      </w:pPr>
      <w:r>
        <w:rPr>
          <w:rFonts w:hint="eastAsia" w:ascii="仿宋" w:hAnsi="仿宋" w:eastAsia="仿宋"/>
          <w:color w:val="auto"/>
          <w:szCs w:val="32"/>
        </w:rPr>
        <w:t>延长的转售期间内，发行人应当至少每</w:t>
      </w:r>
      <w:r>
        <w:rPr>
          <w:rFonts w:ascii="仿宋" w:hAnsi="仿宋" w:eastAsia="仿宋"/>
          <w:color w:val="auto"/>
          <w:szCs w:val="32"/>
        </w:rPr>
        <w:t>5</w:t>
      </w:r>
      <w:r>
        <w:rPr>
          <w:rFonts w:hint="eastAsia" w:ascii="仿宋" w:hAnsi="仿宋" w:eastAsia="仿宋"/>
          <w:color w:val="auto"/>
          <w:szCs w:val="32"/>
        </w:rPr>
        <w:t>个交易日披露一次进展公告，说明目前转售进展、发行人为推进转售工作所采取的措施及其成效、预计转售完成时间。</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债券附赎回条款的，发行人应当在满足债券赎回条件时，披露是否行使赎回权。行使赎回权的，应当披露赎回程序、赎回价格、赎回资金到账日等内容，并在赎回权行权日前至少披露三次</w:t>
      </w:r>
      <w:r>
        <w:rPr>
          <w:rFonts w:hint="eastAsia" w:ascii="仿宋" w:hAnsi="仿宋" w:eastAsia="仿宋"/>
          <w:szCs w:val="32"/>
        </w:rPr>
        <w:t>。赎回完成后，发行人应当及时披露债券赎回情况及其影响。</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债券停牌或者复牌的，发行人或者受托管理人应当于公司债券停牌或者复牌前提交停牌或者复牌申请，并披露停牌或者复牌公告，说明停牌或者复牌具体时间、原因、依据以及后续进展公告的披露安排。</w:t>
      </w:r>
    </w:p>
    <w:p>
      <w:pPr>
        <w:widowControl/>
        <w:adjustRightInd/>
        <w:snapToGrid/>
        <w:ind w:firstLine="640"/>
        <w:contextualSpacing/>
        <w:rPr>
          <w:rFonts w:ascii="仿宋" w:hAnsi="仿宋" w:eastAsia="仿宋"/>
          <w:szCs w:val="32"/>
        </w:rPr>
      </w:pPr>
      <w:r>
        <w:rPr>
          <w:rFonts w:hint="eastAsia" w:ascii="仿宋" w:hAnsi="仿宋" w:eastAsia="仿宋"/>
          <w:szCs w:val="32"/>
        </w:rPr>
        <w:t>停牌期间，发行人应当至少每月披露一次未能复牌的原因、相关事件的进展情况以及对发行人的影响等。</w:t>
      </w:r>
      <w:r>
        <w:rPr>
          <w:rFonts w:ascii="仿宋" w:hAnsi="仿宋" w:eastAsia="仿宋"/>
          <w:szCs w:val="32"/>
        </w:rPr>
        <w:t xml:space="preserve"> </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发行人作为召集人召集债券持有人会议的，应当按照业务规则规定和持有人会议规则约定，及时披露持有人会议的通知、变更、取消等公告，并最晚于债券持有人会议表决截止日次一交易日披露会议决议公告。</w:t>
      </w:r>
    </w:p>
    <w:p>
      <w:pPr>
        <w:adjustRightInd/>
        <w:snapToGrid/>
        <w:ind w:firstLine="640"/>
        <w:contextualSpacing/>
        <w:rPr>
          <w:rFonts w:ascii="仿宋" w:hAnsi="仿宋" w:eastAsia="仿宋"/>
          <w:szCs w:val="32"/>
        </w:rPr>
      </w:pPr>
      <w:r>
        <w:rPr>
          <w:rFonts w:hint="eastAsia" w:ascii="仿宋" w:hAnsi="仿宋" w:eastAsia="仿宋"/>
          <w:szCs w:val="32"/>
        </w:rPr>
        <w:t>持有人会议生效决议需要发行人履行义务或者推进、落实的，发行人应当按照规定、约定或者有关承诺切实履行相应义务，推进、落实生效决议事项，并及时披露决议落实的进展情况。</w:t>
      </w:r>
    </w:p>
    <w:p>
      <w:pPr>
        <w:pStyle w:val="2"/>
        <w:keepNext/>
        <w:keepLines/>
        <w:adjustRightInd/>
        <w:snapToGrid/>
        <w:spacing w:before="240" w:after="240" w:line="240" w:lineRule="auto"/>
        <w:rPr>
          <w:rFonts w:ascii="黑体" w:hAnsi="黑体"/>
          <w:color w:val="auto"/>
          <w:kern w:val="44"/>
          <w:szCs w:val="32"/>
        </w:rPr>
      </w:pPr>
      <w:bookmarkStart w:id="30" w:name="_Toc122425100"/>
      <w:bookmarkStart w:id="31" w:name="_Toc122424955"/>
      <w:bookmarkStart w:id="32" w:name="_Toc69972788"/>
      <w:r>
        <w:rPr>
          <w:rFonts w:hint="eastAsia" w:ascii="黑体" w:hAnsi="黑体"/>
          <w:color w:val="auto"/>
          <w:kern w:val="44"/>
          <w:szCs w:val="32"/>
        </w:rPr>
        <w:t>第五章</w:t>
      </w:r>
      <w:r>
        <w:rPr>
          <w:rFonts w:ascii="黑体" w:hAnsi="黑体"/>
          <w:color w:val="auto"/>
          <w:kern w:val="44"/>
          <w:szCs w:val="32"/>
        </w:rPr>
        <w:t xml:space="preserve"> </w:t>
      </w:r>
      <w:r>
        <w:rPr>
          <w:rFonts w:hint="eastAsia" w:ascii="黑体" w:hAnsi="黑体"/>
          <w:color w:val="auto"/>
          <w:kern w:val="44"/>
          <w:szCs w:val="32"/>
        </w:rPr>
        <w:t>增信主体重大事项披露要求</w:t>
      </w:r>
      <w:bookmarkEnd w:id="30"/>
      <w:bookmarkEnd w:id="31"/>
      <w:bookmarkEnd w:id="32"/>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增信主体因担保代偿相关纠纷被起诉或者被申请仲裁，且单笔涉案金额占增信主体上年末净资产</w:t>
      </w:r>
      <w:r>
        <w:rPr>
          <w:rFonts w:ascii="仿宋" w:hAnsi="仿宋" w:eastAsia="仿宋"/>
          <w:szCs w:val="32"/>
        </w:rPr>
        <w:t>10%</w:t>
      </w:r>
      <w:r>
        <w:rPr>
          <w:rFonts w:hint="eastAsia" w:ascii="仿宋" w:hAnsi="仿宋" w:eastAsia="仿宋"/>
          <w:szCs w:val="32"/>
        </w:rPr>
        <w:t>以上的，增信主体应当于收到诉讼、仲裁通知之日起</w:t>
      </w:r>
      <w:r>
        <w:rPr>
          <w:rFonts w:ascii="仿宋" w:hAnsi="仿宋" w:eastAsia="仿宋"/>
          <w:szCs w:val="32"/>
        </w:rPr>
        <w:t>2</w:t>
      </w:r>
      <w:r>
        <w:rPr>
          <w:rFonts w:hint="eastAsia" w:ascii="仿宋" w:hAnsi="仿宋" w:eastAsia="仿宋"/>
          <w:szCs w:val="32"/>
        </w:rPr>
        <w:t>个交易日内披露收到诉讼、仲裁通知的时间、案件各方基本情况、案由、审理机构、诉讼或者仲裁请求及其理由、涉案金额或者可能产生的损益（如有）、案件进展情况、对增信主体代偿能力的影响分析等。</w:t>
      </w:r>
    </w:p>
    <w:p>
      <w:pPr>
        <w:adjustRightInd/>
        <w:snapToGrid/>
        <w:ind w:firstLine="646" w:firstLineChars="202"/>
        <w:contextualSpacing/>
        <w:rPr>
          <w:rFonts w:ascii="仿宋" w:hAnsi="仿宋" w:eastAsia="仿宋"/>
          <w:color w:val="auto"/>
          <w:szCs w:val="32"/>
        </w:rPr>
      </w:pPr>
      <w:r>
        <w:rPr>
          <w:rFonts w:hint="eastAsia" w:ascii="仿宋" w:hAnsi="仿宋" w:eastAsia="仿宋"/>
          <w:color w:val="auto"/>
          <w:szCs w:val="32"/>
        </w:rPr>
        <w:t>增信主体应当根据案件诉讼、仲裁以及执行程序的进展情况，于案件进展发生之日起</w:t>
      </w:r>
      <w:r>
        <w:rPr>
          <w:rFonts w:ascii="仿宋" w:hAnsi="仿宋" w:eastAsia="仿宋"/>
          <w:color w:val="auto"/>
          <w:szCs w:val="32"/>
        </w:rPr>
        <w:t>2</w:t>
      </w:r>
      <w:r>
        <w:rPr>
          <w:rFonts w:hint="eastAsia" w:ascii="仿宋" w:hAnsi="仿宋" w:eastAsia="仿宋"/>
          <w:color w:val="auto"/>
          <w:szCs w:val="32"/>
        </w:rPr>
        <w:t>个交易日内披露进展公告。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增信主体未能按约定履行增信代偿义务，单次金额达到</w:t>
      </w:r>
      <w:r>
        <w:rPr>
          <w:rFonts w:ascii="仿宋" w:hAnsi="仿宋" w:eastAsia="仿宋"/>
          <w:szCs w:val="32"/>
        </w:rPr>
        <w:t>5000</w:t>
      </w:r>
      <w:r>
        <w:rPr>
          <w:rFonts w:hint="eastAsia" w:ascii="仿宋" w:hAnsi="仿宋" w:eastAsia="仿宋"/>
          <w:szCs w:val="32"/>
        </w:rPr>
        <w:t>万元且占上年末净资产</w:t>
      </w:r>
      <w:r>
        <w:rPr>
          <w:rFonts w:ascii="仿宋" w:hAnsi="仿宋" w:eastAsia="仿宋"/>
          <w:szCs w:val="32"/>
        </w:rPr>
        <w:t>10%</w:t>
      </w:r>
      <w:r>
        <w:rPr>
          <w:rFonts w:hint="eastAsia" w:ascii="仿宋" w:hAnsi="仿宋" w:eastAsia="仿宋"/>
          <w:szCs w:val="32"/>
        </w:rPr>
        <w:t>以上，或者一个自然年度内累计违约未偿余额达到</w:t>
      </w:r>
      <w:r>
        <w:rPr>
          <w:rFonts w:ascii="仿宋" w:hAnsi="仿宋" w:eastAsia="仿宋"/>
          <w:szCs w:val="32"/>
        </w:rPr>
        <w:t>1</w:t>
      </w:r>
      <w:r>
        <w:rPr>
          <w:rFonts w:hint="eastAsia" w:ascii="仿宋" w:hAnsi="仿宋" w:eastAsia="仿宋"/>
          <w:szCs w:val="32"/>
        </w:rPr>
        <w:t>亿元且占上年末净资产</w:t>
      </w:r>
      <w:r>
        <w:rPr>
          <w:rFonts w:ascii="仿宋" w:hAnsi="仿宋" w:eastAsia="仿宋"/>
          <w:szCs w:val="32"/>
        </w:rPr>
        <w:t>30%</w:t>
      </w:r>
      <w:r>
        <w:rPr>
          <w:rFonts w:hint="eastAsia" w:ascii="仿宋" w:hAnsi="仿宋" w:eastAsia="仿宋"/>
          <w:szCs w:val="32"/>
        </w:rPr>
        <w:t>以上的，增信主体应当于该情形发生之日起</w:t>
      </w:r>
      <w:r>
        <w:rPr>
          <w:rFonts w:ascii="仿宋" w:hAnsi="仿宋" w:eastAsia="仿宋"/>
          <w:szCs w:val="32"/>
        </w:rPr>
        <w:t>2</w:t>
      </w:r>
      <w:r>
        <w:rPr>
          <w:rFonts w:hint="eastAsia" w:ascii="仿宋" w:hAnsi="仿宋" w:eastAsia="仿宋"/>
          <w:szCs w:val="32"/>
        </w:rPr>
        <w:t>个交易日内，披露主债务的基本情况、增信协议的具体约定、未按时足额履行增信代偿义务的原因、增信主体财务状况和资信状况、后续履约安排等。</w:t>
      </w:r>
    </w:p>
    <w:p>
      <w:pPr>
        <w:adjustRightInd/>
        <w:snapToGrid/>
        <w:ind w:firstLine="646" w:firstLineChars="202"/>
        <w:contextualSpacing/>
        <w:rPr>
          <w:rFonts w:ascii="仿宋" w:hAnsi="仿宋" w:eastAsia="仿宋"/>
          <w:szCs w:val="32"/>
        </w:rPr>
      </w:pPr>
      <w:r>
        <w:rPr>
          <w:rFonts w:hint="eastAsia" w:ascii="仿宋" w:hAnsi="仿宋" w:eastAsia="仿宋"/>
          <w:szCs w:val="32"/>
        </w:rPr>
        <w:t>主债务为公司信用类债券且已发生违约的，增信主体应当在发行人公告违约后</w:t>
      </w:r>
      <w:r>
        <w:rPr>
          <w:rFonts w:ascii="仿宋" w:hAnsi="仿宋" w:eastAsia="仿宋"/>
          <w:szCs w:val="32"/>
        </w:rPr>
        <w:t>2</w:t>
      </w:r>
      <w:r>
        <w:rPr>
          <w:rFonts w:hint="eastAsia" w:ascii="仿宋" w:hAnsi="仿宋" w:eastAsia="仿宋"/>
          <w:szCs w:val="32"/>
        </w:rPr>
        <w:t>个交易日内按照前款规定披露临时报告。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公司债券的担保物灭失或者价值同比下降超过</w:t>
      </w:r>
      <w:r>
        <w:rPr>
          <w:rFonts w:ascii="仿宋" w:hAnsi="仿宋" w:eastAsia="仿宋"/>
          <w:szCs w:val="32"/>
        </w:rPr>
        <w:t>30%</w:t>
      </w:r>
      <w:r>
        <w:rPr>
          <w:rFonts w:hint="eastAsia" w:ascii="仿宋" w:hAnsi="仿宋" w:eastAsia="仿宋"/>
          <w:szCs w:val="32"/>
        </w:rPr>
        <w:t>，或者存在相应灭失或者价值下降风险的，增信主体应当于相应情形发生之日起</w:t>
      </w:r>
      <w:r>
        <w:rPr>
          <w:rFonts w:ascii="仿宋" w:hAnsi="仿宋" w:eastAsia="仿宋"/>
          <w:szCs w:val="32"/>
        </w:rPr>
        <w:t>2</w:t>
      </w:r>
      <w:r>
        <w:rPr>
          <w:rFonts w:hint="eastAsia" w:ascii="仿宋" w:hAnsi="仿宋" w:eastAsia="仿宋"/>
          <w:szCs w:val="32"/>
        </w:rPr>
        <w:t>个交易日内披露临时报告，说明事项起因、已采取或者拟采取的应对措施及其相应成效、公司债券持有人享有的救济权利等。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增信主体未能按约定清偿有息债务，单次金额达到</w:t>
      </w:r>
      <w:r>
        <w:rPr>
          <w:rFonts w:ascii="仿宋" w:hAnsi="仿宋" w:eastAsia="仿宋"/>
          <w:szCs w:val="32"/>
        </w:rPr>
        <w:t>5000</w:t>
      </w:r>
      <w:r>
        <w:rPr>
          <w:rFonts w:hint="eastAsia" w:ascii="仿宋" w:hAnsi="仿宋" w:eastAsia="仿宋"/>
          <w:szCs w:val="32"/>
        </w:rPr>
        <w:t>万元且占上年末净资产</w:t>
      </w:r>
      <w:r>
        <w:rPr>
          <w:rFonts w:ascii="仿宋" w:hAnsi="仿宋" w:eastAsia="仿宋"/>
          <w:szCs w:val="32"/>
        </w:rPr>
        <w:t>10%</w:t>
      </w:r>
      <w:r>
        <w:rPr>
          <w:rFonts w:hint="eastAsia" w:ascii="仿宋" w:hAnsi="仿宋" w:eastAsia="仿宋"/>
          <w:szCs w:val="32"/>
        </w:rPr>
        <w:t>以上，或者一个自然年度内累计违约未偿余额达到</w:t>
      </w:r>
      <w:r>
        <w:rPr>
          <w:rFonts w:ascii="仿宋" w:hAnsi="仿宋" w:eastAsia="仿宋"/>
          <w:szCs w:val="32"/>
        </w:rPr>
        <w:t>1</w:t>
      </w:r>
      <w:r>
        <w:rPr>
          <w:rFonts w:hint="eastAsia" w:ascii="仿宋" w:hAnsi="仿宋" w:eastAsia="仿宋"/>
          <w:szCs w:val="32"/>
        </w:rPr>
        <w:t>亿元且占上年末净资产</w:t>
      </w:r>
      <w:r>
        <w:rPr>
          <w:rFonts w:ascii="仿宋" w:hAnsi="仿宋" w:eastAsia="仿宋"/>
          <w:szCs w:val="32"/>
        </w:rPr>
        <w:t>30%</w:t>
      </w:r>
      <w:r>
        <w:rPr>
          <w:rFonts w:hint="eastAsia" w:ascii="仿宋" w:hAnsi="仿宋" w:eastAsia="仿宋"/>
          <w:szCs w:val="32"/>
        </w:rPr>
        <w:t>以上的，增信主体应当于情形发生之日起</w:t>
      </w:r>
      <w:r>
        <w:rPr>
          <w:rFonts w:ascii="仿宋" w:hAnsi="仿宋" w:eastAsia="仿宋"/>
          <w:szCs w:val="32"/>
        </w:rPr>
        <w:t>5</w:t>
      </w:r>
      <w:r>
        <w:rPr>
          <w:rFonts w:hint="eastAsia" w:ascii="仿宋" w:hAnsi="仿宋" w:eastAsia="仿宋"/>
          <w:szCs w:val="32"/>
        </w:rPr>
        <w:t>个交易日内，按照本指引第四十四条的规定进行披露。</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融资性担保公司以外的其他增信主体履行增信代偿义务，且在一个自然年度内单笔或者累计代偿金额超过增信主体上年末净资产</w:t>
      </w:r>
      <w:r>
        <w:rPr>
          <w:rFonts w:ascii="仿宋" w:hAnsi="仿宋" w:eastAsia="仿宋"/>
          <w:szCs w:val="32"/>
        </w:rPr>
        <w:t>100%</w:t>
      </w:r>
      <w:r>
        <w:rPr>
          <w:rFonts w:hint="eastAsia" w:ascii="仿宋" w:hAnsi="仿宋" w:eastAsia="仿宋"/>
          <w:szCs w:val="32"/>
        </w:rPr>
        <w:t>的，增信主体应当于情形发生的</w:t>
      </w:r>
      <w:r>
        <w:rPr>
          <w:rFonts w:ascii="仿宋" w:hAnsi="仿宋" w:eastAsia="仿宋"/>
          <w:szCs w:val="32"/>
        </w:rPr>
        <w:t>2</w:t>
      </w:r>
      <w:r>
        <w:rPr>
          <w:rFonts w:hint="eastAsia" w:ascii="仿宋" w:hAnsi="仿宋" w:eastAsia="仿宋"/>
          <w:szCs w:val="32"/>
        </w:rPr>
        <w:t>个交易日内披露临时报告，说明其财务状况、代偿能力、风险控制机制及其实施情况。</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增信主体发生其他可能影响自身代偿能力的重大事项，包括但不限于发生减资、合并、分立、受到责令停产停业、限制从业、出现法律法规规定的解散事由、进入破产程序等，增信主体应当于有权决策机构审议同意或者收到有权部门相关法律文书之日起</w:t>
      </w:r>
      <w:r>
        <w:rPr>
          <w:rFonts w:ascii="仿宋" w:hAnsi="仿宋" w:eastAsia="仿宋"/>
          <w:szCs w:val="32"/>
        </w:rPr>
        <w:t>2</w:t>
      </w:r>
      <w:r>
        <w:rPr>
          <w:rFonts w:hint="eastAsia" w:ascii="仿宋" w:hAnsi="仿宋" w:eastAsia="仿宋"/>
          <w:szCs w:val="32"/>
        </w:rPr>
        <w:t>个交易日内，披露相关重大事项的基本情况、对增信主体代偿能力的影响、已采取或者拟采取的应对措施及其相应成效。</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增信主体名称变更的，应当于完成工商变更登记</w:t>
      </w:r>
      <w:r>
        <w:rPr>
          <w:rFonts w:ascii="仿宋" w:hAnsi="仿宋" w:eastAsia="仿宋"/>
          <w:szCs w:val="32"/>
        </w:rPr>
        <w:t>2</w:t>
      </w:r>
      <w:r>
        <w:rPr>
          <w:rFonts w:hint="eastAsia" w:ascii="仿宋" w:hAnsi="仿宋" w:eastAsia="仿宋"/>
          <w:szCs w:val="32"/>
        </w:rPr>
        <w:t>个交易日内披露变更前后的公司名称以及工商登记完成情况。</w:t>
      </w:r>
    </w:p>
    <w:p>
      <w:pPr>
        <w:pStyle w:val="2"/>
        <w:keepNext/>
        <w:keepLines/>
        <w:adjustRightInd/>
        <w:snapToGrid/>
        <w:spacing w:before="240" w:after="240" w:line="240" w:lineRule="auto"/>
        <w:rPr>
          <w:rFonts w:ascii="黑体" w:hAnsi="黑体"/>
          <w:color w:val="auto"/>
          <w:kern w:val="44"/>
          <w:szCs w:val="32"/>
        </w:rPr>
      </w:pPr>
      <w:bookmarkStart w:id="33" w:name="_Toc104133451"/>
      <w:bookmarkStart w:id="34" w:name="_Toc69554713"/>
      <w:bookmarkStart w:id="35" w:name="_Toc122424956"/>
      <w:bookmarkStart w:id="36" w:name="_Toc122425101"/>
      <w:r>
        <w:rPr>
          <w:rFonts w:hint="eastAsia" w:ascii="黑体" w:hAnsi="黑体"/>
          <w:color w:val="auto"/>
          <w:kern w:val="44"/>
          <w:szCs w:val="32"/>
        </w:rPr>
        <w:t>第六章</w:t>
      </w:r>
      <w:r>
        <w:rPr>
          <w:rFonts w:ascii="黑体" w:hAnsi="黑体"/>
          <w:color w:val="auto"/>
          <w:kern w:val="44"/>
          <w:szCs w:val="32"/>
        </w:rPr>
        <w:t xml:space="preserve"> </w:t>
      </w:r>
      <w:r>
        <w:rPr>
          <w:rFonts w:hint="eastAsia" w:ascii="黑体" w:hAnsi="黑体"/>
          <w:color w:val="auto"/>
          <w:kern w:val="44"/>
          <w:szCs w:val="32"/>
        </w:rPr>
        <w:t>专业机构履责事项披露</w:t>
      </w:r>
      <w:bookmarkEnd w:id="33"/>
      <w:bookmarkEnd w:id="34"/>
      <w:r>
        <w:rPr>
          <w:rFonts w:hint="eastAsia" w:ascii="黑体" w:hAnsi="黑体"/>
          <w:color w:val="auto"/>
          <w:kern w:val="44"/>
          <w:szCs w:val="32"/>
        </w:rPr>
        <w:t>要求</w:t>
      </w:r>
      <w:bookmarkEnd w:id="35"/>
      <w:bookmarkEnd w:id="36"/>
    </w:p>
    <w:p>
      <w:pPr>
        <w:numPr>
          <w:ilvl w:val="0"/>
          <w:numId w:val="2"/>
        </w:numPr>
        <w:adjustRightInd/>
        <w:snapToGrid/>
        <w:ind w:left="0" w:firstLine="640"/>
        <w:contextualSpacing/>
        <w:rPr>
          <w:rFonts w:ascii="仿宋" w:hAnsi="仿宋" w:eastAsia="仿宋"/>
          <w:szCs w:val="32"/>
        </w:rPr>
      </w:pPr>
      <w:bookmarkStart w:id="37" w:name="_TOC_250009"/>
      <w:bookmarkEnd w:id="37"/>
      <w:r>
        <w:rPr>
          <w:rFonts w:hint="eastAsia" w:ascii="仿宋" w:hAnsi="仿宋" w:eastAsia="仿宋"/>
          <w:szCs w:val="32"/>
        </w:rPr>
        <w:t>专业机构及其相关人员应当按照相关规定和约定，勤勉尽责，审慎发表专业意见或者出具专业报告，并保证内容的真实、准确、完整。</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债券上市挂牌期间，发行人委托资信评级机构进行信用跟踪评级的，资信评级机构应当按照规定和约定持续跟踪受评对象信用状况的变化情况，进行定期和不定期跟踪信用评级。跟踪评级报告应当及时提交发行人，并由资信评级机构按规定及时向市场披露。评级报告原则上于非交易时间在本所网站披露。</w:t>
      </w:r>
    </w:p>
    <w:p>
      <w:pPr>
        <w:numPr>
          <w:ilvl w:val="0"/>
          <w:numId w:val="2"/>
        </w:numPr>
        <w:adjustRightInd/>
        <w:snapToGrid/>
        <w:ind w:left="0" w:firstLine="640"/>
        <w:contextualSpacing/>
        <w:rPr>
          <w:rFonts w:ascii="仿宋" w:hAnsi="仿宋" w:eastAsia="仿宋"/>
          <w:szCs w:val="32"/>
        </w:rPr>
      </w:pPr>
      <w:r>
        <w:rPr>
          <w:rFonts w:ascii="仿宋" w:hAnsi="仿宋" w:eastAsia="仿宋"/>
          <w:szCs w:val="32"/>
        </w:rPr>
        <w:t>跟踪评级期间，发生可能影响受评对象偿债能力的重大事项时，</w:t>
      </w:r>
      <w:r>
        <w:rPr>
          <w:rFonts w:hint="eastAsia" w:ascii="仿宋" w:hAnsi="仿宋" w:eastAsia="仿宋"/>
          <w:szCs w:val="32"/>
        </w:rPr>
        <w:t>资信</w:t>
      </w:r>
      <w:r>
        <w:rPr>
          <w:rFonts w:ascii="仿宋" w:hAnsi="仿宋" w:eastAsia="仿宋"/>
          <w:szCs w:val="32"/>
        </w:rPr>
        <w:t>评级机构应当及时启动不定期跟踪评级程序，</w:t>
      </w:r>
      <w:r>
        <w:rPr>
          <w:rFonts w:hint="eastAsia" w:ascii="仿宋" w:hAnsi="仿宋" w:eastAsia="仿宋"/>
          <w:szCs w:val="32"/>
        </w:rPr>
        <w:t>提交并披露</w:t>
      </w:r>
      <w:r>
        <w:rPr>
          <w:rFonts w:ascii="仿宋" w:hAnsi="仿宋" w:eastAsia="仿宋"/>
          <w:szCs w:val="32"/>
        </w:rPr>
        <w:t>不定期跟踪评级报告。</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受托管理人应当按照规定和约定履行信息披露义务，督导并协助发行人、增信主体、破产管理人等合规履行信息披露义务。</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受托管理人应当在发行人定期报告披露之日起</w:t>
      </w:r>
      <w:r>
        <w:rPr>
          <w:rFonts w:ascii="仿宋" w:hAnsi="仿宋" w:eastAsia="仿宋"/>
          <w:szCs w:val="32"/>
        </w:rPr>
        <w:t>2</w:t>
      </w:r>
      <w:r>
        <w:rPr>
          <w:rFonts w:hint="eastAsia" w:ascii="仿宋" w:hAnsi="仿宋" w:eastAsia="仿宋"/>
          <w:szCs w:val="32"/>
        </w:rPr>
        <w:t>个交易日内核查发行人董事、监事、高级管理人员对定期报告的书面确认情况。存在下列情况之一的，受托管理人应当立即向本所报告，并及时披露临时受托管理事务报告：</w:t>
      </w:r>
    </w:p>
    <w:p>
      <w:pPr>
        <w:ind w:firstLine="640"/>
        <w:contextualSpacing/>
        <w:rPr>
          <w:rFonts w:ascii="仿宋" w:hAnsi="仿宋" w:eastAsia="仿宋"/>
          <w:kern w:val="0"/>
          <w:szCs w:val="32"/>
          <w:lang w:bidi="en-US"/>
        </w:rPr>
      </w:pPr>
      <w:r>
        <w:rPr>
          <w:rFonts w:hint="eastAsia" w:ascii="仿宋" w:hAnsi="仿宋" w:eastAsia="仿宋"/>
          <w:kern w:val="0"/>
          <w:szCs w:val="32"/>
          <w:lang w:bidi="en-US"/>
        </w:rPr>
        <w:t>（一）发行人董事、监事、高级管理人员未对定期报告签署书面确认意见；</w:t>
      </w:r>
    </w:p>
    <w:p>
      <w:pPr>
        <w:ind w:firstLine="640"/>
        <w:contextualSpacing/>
        <w:rPr>
          <w:rFonts w:ascii="仿宋" w:hAnsi="仿宋" w:eastAsia="仿宋"/>
          <w:kern w:val="0"/>
          <w:szCs w:val="32"/>
          <w:lang w:bidi="en-US"/>
        </w:rPr>
      </w:pPr>
      <w:r>
        <w:rPr>
          <w:rFonts w:hint="eastAsia" w:ascii="仿宋" w:hAnsi="仿宋" w:eastAsia="仿宋"/>
          <w:kern w:val="0"/>
          <w:szCs w:val="32"/>
          <w:lang w:bidi="en-US"/>
        </w:rPr>
        <w:t>（二）签署书面确认意见的董事、监事、高级管理人员与发行人定期报告中披露的人员不一致；</w:t>
      </w:r>
    </w:p>
    <w:p>
      <w:pPr>
        <w:ind w:firstLine="640"/>
        <w:contextualSpacing/>
        <w:rPr>
          <w:rFonts w:ascii="仿宋" w:hAnsi="仿宋" w:eastAsia="仿宋"/>
          <w:kern w:val="0"/>
          <w:szCs w:val="32"/>
          <w:lang w:bidi="en-US"/>
        </w:rPr>
      </w:pPr>
      <w:r>
        <w:rPr>
          <w:rFonts w:hint="eastAsia" w:ascii="仿宋" w:hAnsi="仿宋" w:eastAsia="仿宋"/>
          <w:kern w:val="0"/>
          <w:szCs w:val="32"/>
          <w:lang w:bidi="en-US"/>
        </w:rPr>
        <w:t>（三）发行人董事、监事、高级管理人员无法保证定期报告内容的真实性、准确性、完整性或者有异议；</w:t>
      </w:r>
    </w:p>
    <w:p>
      <w:pPr>
        <w:ind w:firstLine="640"/>
        <w:contextualSpacing/>
        <w:rPr>
          <w:rFonts w:ascii="仿宋" w:hAnsi="仿宋" w:eastAsia="仿宋"/>
          <w:kern w:val="0"/>
          <w:szCs w:val="32"/>
          <w:lang w:bidi="en-US"/>
        </w:rPr>
      </w:pPr>
      <w:r>
        <w:rPr>
          <w:rFonts w:hint="eastAsia" w:ascii="仿宋" w:hAnsi="仿宋" w:eastAsia="仿宋"/>
          <w:kern w:val="0"/>
          <w:szCs w:val="32"/>
          <w:lang w:bidi="en-US"/>
        </w:rPr>
        <w:t>（四）发行人未准确披露董事、监事、高级管理人员对定期报告的书面确认意见；</w:t>
      </w:r>
    </w:p>
    <w:p>
      <w:pPr>
        <w:ind w:firstLine="640"/>
        <w:contextualSpacing/>
        <w:rPr>
          <w:rFonts w:ascii="仿宋" w:hAnsi="仿宋" w:eastAsia="仿宋"/>
          <w:kern w:val="0"/>
          <w:szCs w:val="32"/>
          <w:lang w:bidi="en-US"/>
        </w:rPr>
      </w:pPr>
      <w:r>
        <w:rPr>
          <w:rFonts w:hint="eastAsia" w:ascii="仿宋" w:hAnsi="仿宋" w:eastAsia="仿宋"/>
          <w:kern w:val="0"/>
          <w:szCs w:val="32"/>
          <w:lang w:bidi="en-US"/>
        </w:rPr>
        <w:t>（五）发行人不配合受托管理人对定期报告的核查工作。</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发行人拟转售公司债券的，受托管理人应当在发行人披露回售结果公告当日，披露临时受托管理事务报告，就本期债券转售是否符合规定、发行人各期债券募集说明书约定及其相关承诺发表明确意见。</w:t>
      </w:r>
    </w:p>
    <w:p>
      <w:pPr>
        <w:ind w:firstLine="640"/>
        <w:contextualSpacing/>
        <w:rPr>
          <w:rFonts w:ascii="仿宋" w:hAnsi="仿宋" w:eastAsia="仿宋"/>
          <w:kern w:val="0"/>
          <w:szCs w:val="32"/>
          <w:lang w:bidi="en-US"/>
        </w:rPr>
      </w:pPr>
      <w:r>
        <w:rPr>
          <w:rFonts w:hint="eastAsia" w:ascii="仿宋" w:hAnsi="仿宋" w:eastAsia="仿宋"/>
          <w:kern w:val="0"/>
          <w:szCs w:val="32"/>
          <w:lang w:bidi="en-US"/>
        </w:rPr>
        <w:t>发行人及其各期公司债券主承销商、受托管理人应当配合拟转售公司债券的受托管理人开展核查工作。</w:t>
      </w:r>
    </w:p>
    <w:p>
      <w:pPr>
        <w:widowControl/>
        <w:ind w:firstLine="640"/>
        <w:contextualSpacing/>
        <w:rPr>
          <w:rFonts w:ascii="仿宋" w:hAnsi="仿宋" w:eastAsia="仿宋"/>
          <w:szCs w:val="32"/>
        </w:rPr>
      </w:pPr>
      <w:r>
        <w:rPr>
          <w:rFonts w:hint="eastAsia" w:ascii="仿宋" w:hAnsi="仿宋" w:eastAsia="仿宋"/>
          <w:szCs w:val="32"/>
        </w:rPr>
        <w:t>受托管理人应当督促发行人在转售期间内按规定履行信息披露义务，在转售结束后及时注销债券（如需）。</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募</w:t>
      </w:r>
      <w:r>
        <w:rPr>
          <w:rFonts w:ascii="仿宋" w:hAnsi="仿宋" w:eastAsia="仿宋"/>
          <w:szCs w:val="32"/>
        </w:rPr>
        <w:t>集资金全部使用完毕前，受托管理人应当至少</w:t>
      </w:r>
      <w:r>
        <w:rPr>
          <w:rFonts w:hint="eastAsia" w:ascii="仿宋" w:hAnsi="仿宋" w:eastAsia="仿宋"/>
          <w:szCs w:val="32"/>
        </w:rPr>
        <w:t>每</w:t>
      </w:r>
      <w:r>
        <w:rPr>
          <w:rFonts w:ascii="仿宋" w:hAnsi="仿宋" w:eastAsia="仿宋"/>
          <w:szCs w:val="32"/>
        </w:rPr>
        <w:t>季度通过查阅发行人募集资金使用凭证、募集资金账户流水等方法核查公司债券募集资金使用情况</w:t>
      </w:r>
      <w:r>
        <w:rPr>
          <w:rFonts w:hint="eastAsia" w:ascii="仿宋" w:hAnsi="仿宋" w:eastAsia="仿宋"/>
          <w:szCs w:val="32"/>
        </w:rPr>
        <w:t>。</w:t>
      </w:r>
      <w:r>
        <w:rPr>
          <w:rFonts w:ascii="仿宋" w:hAnsi="仿宋" w:eastAsia="仿宋"/>
          <w:szCs w:val="32"/>
        </w:rPr>
        <w:t>受托管理协议</w:t>
      </w:r>
      <w:r>
        <w:rPr>
          <w:rFonts w:hint="eastAsia" w:ascii="仿宋" w:hAnsi="仿宋" w:eastAsia="仿宋"/>
          <w:szCs w:val="32"/>
        </w:rPr>
        <w:t>等</w:t>
      </w:r>
      <w:r>
        <w:rPr>
          <w:rFonts w:ascii="仿宋" w:hAnsi="仿宋" w:eastAsia="仿宋"/>
          <w:szCs w:val="32"/>
        </w:rPr>
        <w:t>约定</w:t>
      </w:r>
      <w:r>
        <w:rPr>
          <w:rFonts w:hint="eastAsia" w:ascii="仿宋" w:hAnsi="仿宋" w:eastAsia="仿宋"/>
          <w:szCs w:val="32"/>
        </w:rPr>
        <w:t>更高标准</w:t>
      </w:r>
      <w:r>
        <w:rPr>
          <w:rFonts w:ascii="仿宋" w:hAnsi="仿宋" w:eastAsia="仿宋"/>
          <w:szCs w:val="32"/>
        </w:rPr>
        <w:t>的，从其约定。</w:t>
      </w:r>
    </w:p>
    <w:p>
      <w:pPr>
        <w:ind w:firstLine="640"/>
        <w:contextualSpacing/>
        <w:rPr>
          <w:rFonts w:ascii="仿宋" w:hAnsi="仿宋" w:eastAsia="仿宋"/>
          <w:kern w:val="0"/>
          <w:szCs w:val="32"/>
          <w:lang w:bidi="en-US"/>
        </w:rPr>
      </w:pPr>
      <w:r>
        <w:rPr>
          <w:rFonts w:ascii="仿宋" w:hAnsi="仿宋" w:eastAsia="仿宋"/>
          <w:kern w:val="0"/>
          <w:szCs w:val="32"/>
          <w:lang w:bidi="en-US"/>
        </w:rPr>
        <w:t>如核查发现发行人未规范使用募集资金的，受托管理人应当及时要求发行人纠正，</w:t>
      </w:r>
      <w:r>
        <w:rPr>
          <w:rFonts w:hint="eastAsia" w:ascii="仿宋" w:hAnsi="仿宋" w:eastAsia="仿宋"/>
          <w:kern w:val="0"/>
          <w:szCs w:val="32"/>
          <w:lang w:bidi="en-US"/>
        </w:rPr>
        <w:t>并根据规定或者约定披露临时受托管理事务报告，说明募集资金约定用途和实际用途、专项账户管理情况、未规范使用募集资金的具体情况、受托管理人已采取或拟采取的应对措施等</w:t>
      </w:r>
      <w:r>
        <w:rPr>
          <w:rFonts w:ascii="仿宋" w:hAnsi="仿宋" w:eastAsia="仿宋"/>
          <w:kern w:val="0"/>
          <w:szCs w:val="32"/>
          <w:lang w:bidi="en-US"/>
        </w:rPr>
        <w:t>。</w:t>
      </w:r>
    </w:p>
    <w:p>
      <w:pPr>
        <w:numPr>
          <w:ilvl w:val="0"/>
          <w:numId w:val="2"/>
        </w:numPr>
        <w:adjustRightInd/>
        <w:snapToGrid/>
        <w:ind w:left="0" w:firstLine="640"/>
        <w:contextualSpacing/>
        <w:rPr>
          <w:rFonts w:ascii="仿宋" w:hAnsi="仿宋" w:eastAsia="仿宋"/>
          <w:kern w:val="0"/>
          <w:szCs w:val="32"/>
          <w:lang w:bidi="en-US"/>
        </w:rPr>
      </w:pPr>
      <w:r>
        <w:rPr>
          <w:rFonts w:hint="eastAsia" w:ascii="仿宋" w:hAnsi="仿宋" w:eastAsia="仿宋"/>
          <w:szCs w:val="32"/>
        </w:rPr>
        <w:t>募集资金用于固定资产投资项目的，受托管理人应当至少每年对项目建设进展及运营情况开展一次现场核查，并在受托管理</w:t>
      </w:r>
      <w:r>
        <w:rPr>
          <w:rFonts w:ascii="仿宋" w:hAnsi="仿宋" w:eastAsia="仿宋"/>
          <w:szCs w:val="32"/>
        </w:rPr>
        <w:t>事务</w:t>
      </w:r>
      <w:r>
        <w:rPr>
          <w:rFonts w:hint="eastAsia" w:ascii="仿宋" w:hAnsi="仿宋" w:eastAsia="仿宋"/>
          <w:szCs w:val="32"/>
        </w:rPr>
        <w:t>年度报告中说明核查情况和结论；项目发生重大不利变化，或者和发行人披露情况存在较大差异的，受托管理人</w:t>
      </w:r>
      <w:r>
        <w:rPr>
          <w:rFonts w:ascii="仿宋" w:hAnsi="仿宋" w:eastAsia="仿宋"/>
          <w:szCs w:val="32"/>
        </w:rPr>
        <w:t>应当督促发行人及时披露相关信息</w:t>
      </w:r>
      <w:r>
        <w:rPr>
          <w:rFonts w:hint="eastAsia" w:ascii="仿宋" w:hAnsi="仿宋" w:eastAsia="仿宋"/>
          <w:szCs w:val="32"/>
        </w:rPr>
        <w:t>、采取应对措施</w:t>
      </w:r>
      <w:r>
        <w:rPr>
          <w:rFonts w:ascii="仿宋" w:hAnsi="仿宋" w:eastAsia="仿宋"/>
          <w:szCs w:val="32"/>
        </w:rPr>
        <w:t>，并及时披露受托管理事务临时报告</w:t>
      </w:r>
      <w:r>
        <w:rPr>
          <w:rFonts w:hint="eastAsia" w:ascii="仿宋" w:hAnsi="仿宋" w:eastAsia="仿宋"/>
          <w:szCs w:val="32"/>
        </w:rPr>
        <w:t>。</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受托管理人作为召集人召集债券持有人会议的，应当按照本指引第八十一条规定履行信息披露义务。</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债券停牌期间，发行人未按照本指引第八十条披露公告的，受托管理人应当及时对发行人进行排查，于停牌后</w:t>
      </w:r>
      <w:r>
        <w:rPr>
          <w:rFonts w:ascii="仿宋" w:hAnsi="仿宋" w:eastAsia="仿宋"/>
          <w:szCs w:val="32"/>
        </w:rPr>
        <w:t>3</w:t>
      </w:r>
      <w:r>
        <w:rPr>
          <w:rFonts w:hint="eastAsia" w:ascii="仿宋" w:hAnsi="仿宋" w:eastAsia="仿宋"/>
          <w:szCs w:val="32"/>
        </w:rPr>
        <w:t>个月内出具并披露临时受托管理事务报告，说明核查过程、核查所了解的发行人相关信息及其进展情况、发行人信用风险状况等，并提示投资者关注相关风险。</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发行人、增信主体未按照相关法律法规、本指引以及本所其他业务规则规定及时披露重大事项的，受托管理人应当督促其及时披露相关信息，及时披露临时受托管理事务报告，说明该重大事项的具体情况、对债券偿付可能产生的影响、受托管理人已采取或者拟采取的应对措施及相应成效等。</w:t>
      </w:r>
    </w:p>
    <w:p>
      <w:pPr>
        <w:numPr>
          <w:ilvl w:val="0"/>
          <w:numId w:val="2"/>
        </w:numPr>
        <w:adjustRightInd/>
        <w:snapToGrid/>
        <w:ind w:left="0" w:firstLine="640"/>
        <w:contextualSpacing/>
        <w:rPr>
          <w:rFonts w:ascii="仿宋" w:hAnsi="仿宋" w:eastAsia="仿宋"/>
          <w:szCs w:val="32"/>
        </w:rPr>
      </w:pPr>
      <w:r>
        <w:rPr>
          <w:rFonts w:hint="eastAsia" w:ascii="仿宋" w:hAnsi="仿宋" w:eastAsia="仿宋"/>
          <w:szCs w:val="32"/>
        </w:rPr>
        <w:t>受托管理人接受委托代表全部或者部分债券持有人参加债权人委员会的，受托管理人应当在征集委托前披露公告说明下列事项：</w:t>
      </w:r>
    </w:p>
    <w:p>
      <w:pPr>
        <w:widowControl/>
        <w:ind w:firstLine="640"/>
        <w:contextualSpacing/>
        <w:rPr>
          <w:rFonts w:ascii="仿宋" w:hAnsi="仿宋" w:eastAsia="仿宋"/>
          <w:szCs w:val="32"/>
        </w:rPr>
      </w:pPr>
      <w:r>
        <w:rPr>
          <w:rFonts w:hint="eastAsia" w:ascii="仿宋" w:hAnsi="仿宋" w:eastAsia="仿宋"/>
          <w:szCs w:val="32"/>
        </w:rPr>
        <w:t>（一）债权人委员会的职能、成员范围；</w:t>
      </w:r>
    </w:p>
    <w:p>
      <w:pPr>
        <w:widowControl/>
        <w:ind w:firstLine="640"/>
        <w:contextualSpacing/>
        <w:rPr>
          <w:rFonts w:ascii="仿宋" w:hAnsi="仿宋" w:eastAsia="仿宋"/>
          <w:szCs w:val="32"/>
        </w:rPr>
      </w:pPr>
      <w:r>
        <w:rPr>
          <w:rFonts w:hint="eastAsia" w:ascii="仿宋" w:hAnsi="仿宋" w:eastAsia="仿宋"/>
          <w:szCs w:val="32"/>
        </w:rPr>
        <w:t>（二）债权人委员会的成立时间、解散条件和程序；</w:t>
      </w:r>
    </w:p>
    <w:p>
      <w:pPr>
        <w:widowControl/>
        <w:ind w:firstLine="640"/>
        <w:contextualSpacing/>
        <w:rPr>
          <w:rFonts w:ascii="仿宋" w:hAnsi="仿宋" w:eastAsia="仿宋"/>
          <w:szCs w:val="32"/>
        </w:rPr>
      </w:pPr>
      <w:r>
        <w:rPr>
          <w:rFonts w:hint="eastAsia" w:ascii="仿宋" w:hAnsi="仿宋" w:eastAsia="仿宋"/>
          <w:szCs w:val="32"/>
        </w:rPr>
        <w:t>（三）持有人参加或者退出债权人委员会的条件和方式；</w:t>
      </w:r>
    </w:p>
    <w:p>
      <w:pPr>
        <w:widowControl/>
        <w:ind w:firstLine="640"/>
        <w:contextualSpacing/>
        <w:rPr>
          <w:rFonts w:ascii="仿宋" w:hAnsi="仿宋" w:eastAsia="仿宋"/>
          <w:szCs w:val="32"/>
        </w:rPr>
      </w:pPr>
      <w:r>
        <w:rPr>
          <w:rFonts w:hint="eastAsia" w:ascii="仿宋" w:hAnsi="仿宋" w:eastAsia="仿宋"/>
          <w:szCs w:val="32"/>
        </w:rPr>
        <w:t>（四）持有人参加债权人委员会享有的权利、义务以及可能对其行使权利产生的影响；</w:t>
      </w:r>
    </w:p>
    <w:p>
      <w:pPr>
        <w:widowControl/>
        <w:ind w:firstLine="640"/>
        <w:contextualSpacing/>
        <w:rPr>
          <w:rFonts w:ascii="仿宋" w:hAnsi="仿宋" w:eastAsia="仿宋"/>
          <w:szCs w:val="32"/>
        </w:rPr>
      </w:pPr>
      <w:r>
        <w:rPr>
          <w:rFonts w:hint="eastAsia" w:ascii="仿宋" w:hAnsi="仿宋" w:eastAsia="仿宋"/>
          <w:szCs w:val="32"/>
        </w:rPr>
        <w:t>（五）债权人协议的主要内容；</w:t>
      </w:r>
    </w:p>
    <w:p>
      <w:pPr>
        <w:widowControl/>
        <w:ind w:firstLine="640"/>
        <w:contextualSpacing/>
        <w:rPr>
          <w:rFonts w:ascii="仿宋" w:hAnsi="仿宋" w:eastAsia="仿宋"/>
          <w:szCs w:val="32"/>
        </w:rPr>
      </w:pPr>
      <w:r>
        <w:rPr>
          <w:rFonts w:hint="eastAsia" w:ascii="仿宋" w:hAnsi="仿宋" w:eastAsia="仿宋"/>
          <w:szCs w:val="32"/>
        </w:rPr>
        <w:t>（六）债权人委员会议事规则的主要内容、债权人委员会的工作流程和决策机制；</w:t>
      </w:r>
    </w:p>
    <w:p>
      <w:pPr>
        <w:widowControl/>
        <w:ind w:firstLine="640"/>
        <w:contextualSpacing/>
        <w:rPr>
          <w:rFonts w:ascii="仿宋" w:hAnsi="仿宋" w:eastAsia="仿宋"/>
          <w:szCs w:val="32"/>
        </w:rPr>
      </w:pPr>
      <w:r>
        <w:rPr>
          <w:rFonts w:hint="eastAsia" w:ascii="仿宋" w:hAnsi="仿宋" w:eastAsia="仿宋"/>
          <w:szCs w:val="32"/>
        </w:rPr>
        <w:t>（七）未参加债权人委员会的其他持有人行使权利的方式、路径；</w:t>
      </w:r>
    </w:p>
    <w:p>
      <w:pPr>
        <w:widowControl/>
        <w:ind w:firstLine="640"/>
        <w:contextualSpacing/>
        <w:rPr>
          <w:rFonts w:ascii="仿宋" w:hAnsi="仿宋" w:eastAsia="仿宋"/>
          <w:szCs w:val="32"/>
        </w:rPr>
      </w:pPr>
      <w:r>
        <w:rPr>
          <w:rFonts w:hint="eastAsia" w:ascii="仿宋" w:hAnsi="仿宋" w:eastAsia="仿宋"/>
          <w:szCs w:val="32"/>
        </w:rPr>
        <w:t>（八）受托管理人代表持有人参加债权人委员会的相应安排；</w:t>
      </w:r>
    </w:p>
    <w:p>
      <w:pPr>
        <w:ind w:firstLine="640"/>
        <w:contextualSpacing/>
        <w:rPr>
          <w:rFonts w:ascii="仿宋" w:hAnsi="仿宋" w:eastAsia="仿宋"/>
          <w:szCs w:val="32"/>
        </w:rPr>
      </w:pPr>
      <w:r>
        <w:rPr>
          <w:rFonts w:hint="eastAsia" w:ascii="仿宋" w:hAnsi="仿宋" w:eastAsia="仿宋"/>
          <w:szCs w:val="32"/>
        </w:rPr>
        <w:t>（九）其他参加债权人委员会的风险提示以及需要说明的事项。</w:t>
      </w:r>
    </w:p>
    <w:p>
      <w:pPr>
        <w:ind w:firstLine="640"/>
        <w:contextualSpacing/>
        <w:rPr>
          <w:rFonts w:ascii="仿宋" w:hAnsi="仿宋" w:eastAsia="仿宋"/>
          <w:kern w:val="0"/>
          <w:szCs w:val="32"/>
          <w:lang w:bidi="en-US"/>
        </w:rPr>
      </w:pPr>
      <w:r>
        <w:rPr>
          <w:rFonts w:hint="eastAsia" w:ascii="仿宋" w:hAnsi="仿宋" w:eastAsia="仿宋"/>
          <w:szCs w:val="32"/>
        </w:rPr>
        <w:t>发行人应当协调债权人委员会的成员机构向受托管理人提供其代表持有人参加债权人委员会和履行职责所必需的各项信息。</w:t>
      </w:r>
    </w:p>
    <w:p>
      <w:pPr>
        <w:numPr>
          <w:ilvl w:val="255"/>
          <w:numId w:val="0"/>
        </w:numPr>
        <w:adjustRightInd/>
        <w:snapToGrid/>
        <w:ind w:firstLine="643"/>
        <w:contextualSpacing/>
        <w:rPr>
          <w:rFonts w:ascii="仿宋" w:hAnsi="仿宋" w:eastAsia="仿宋"/>
          <w:szCs w:val="32"/>
        </w:rPr>
      </w:pPr>
      <w:r>
        <w:rPr>
          <w:rFonts w:hint="eastAsia" w:ascii="仿宋" w:hAnsi="仿宋" w:eastAsia="仿宋"/>
          <w:b/>
          <w:szCs w:val="32"/>
        </w:rPr>
        <w:t>第一百零一条</w:t>
      </w:r>
      <w:r>
        <w:rPr>
          <w:rFonts w:ascii="仿宋" w:hAnsi="仿宋" w:eastAsia="仿宋"/>
          <w:szCs w:val="32"/>
        </w:rPr>
        <w:t xml:space="preserve"> </w:t>
      </w:r>
      <w:r>
        <w:rPr>
          <w:rFonts w:hint="eastAsia" w:ascii="仿宋" w:hAnsi="仿宋" w:eastAsia="仿宋"/>
          <w:szCs w:val="32"/>
        </w:rPr>
        <w:t>公司债券发生违约的，受托管理人应当持续跟踪债券违约进展情况，督促发行人披露重大事项、违约处置方案、处置进展等，并于每个季度结束后</w:t>
      </w:r>
      <w:r>
        <w:rPr>
          <w:rFonts w:ascii="仿宋" w:hAnsi="仿宋" w:eastAsia="仿宋"/>
          <w:szCs w:val="32"/>
        </w:rPr>
        <w:t>5</w:t>
      </w:r>
      <w:r>
        <w:rPr>
          <w:rFonts w:hint="eastAsia" w:ascii="仿宋" w:hAnsi="仿宋" w:eastAsia="仿宋"/>
          <w:szCs w:val="32"/>
        </w:rPr>
        <w:t>个交易日内披露受托事务管理报告，说明违约处置的最新进展及其履职情况。</w:t>
      </w:r>
    </w:p>
    <w:p>
      <w:pPr>
        <w:numPr>
          <w:ilvl w:val="255"/>
          <w:numId w:val="0"/>
        </w:numPr>
        <w:adjustRightInd/>
        <w:snapToGrid/>
        <w:ind w:firstLine="643"/>
        <w:contextualSpacing/>
        <w:rPr>
          <w:rFonts w:ascii="仿宋" w:hAnsi="仿宋" w:eastAsia="仿宋"/>
          <w:szCs w:val="32"/>
        </w:rPr>
      </w:pPr>
      <w:r>
        <w:rPr>
          <w:rFonts w:hint="eastAsia" w:ascii="仿宋" w:hAnsi="仿宋" w:eastAsia="仿宋"/>
          <w:b/>
          <w:szCs w:val="32"/>
        </w:rPr>
        <w:t>第一百零二条</w:t>
      </w:r>
      <w:r>
        <w:rPr>
          <w:rFonts w:ascii="仿宋" w:hAnsi="仿宋" w:eastAsia="仿宋"/>
          <w:b/>
          <w:szCs w:val="32"/>
        </w:rPr>
        <w:t xml:space="preserve"> </w:t>
      </w:r>
      <w:r>
        <w:rPr>
          <w:rFonts w:hint="eastAsia" w:ascii="仿宋" w:hAnsi="仿宋" w:eastAsia="仿宋"/>
          <w:szCs w:val="32"/>
        </w:rPr>
        <w:t>发行人进入破产程序且受托管理人成为破产程序债权人委员会成员的，受托管理人应当在每季度结束后及时披露受托事务管理报告，说明其在债权人委员会中的履职情况。</w:t>
      </w:r>
    </w:p>
    <w:p>
      <w:pPr>
        <w:numPr>
          <w:ilvl w:val="255"/>
          <w:numId w:val="0"/>
        </w:numPr>
        <w:adjustRightInd/>
        <w:snapToGrid/>
        <w:ind w:firstLine="643"/>
        <w:contextualSpacing/>
        <w:rPr>
          <w:rFonts w:ascii="仿宋" w:hAnsi="仿宋" w:eastAsia="仿宋"/>
          <w:szCs w:val="32"/>
        </w:rPr>
      </w:pPr>
      <w:r>
        <w:rPr>
          <w:rFonts w:hint="eastAsia" w:ascii="仿宋" w:hAnsi="仿宋" w:eastAsia="仿宋"/>
          <w:b/>
          <w:szCs w:val="32"/>
        </w:rPr>
        <w:t>第一百零三条</w:t>
      </w:r>
      <w:r>
        <w:rPr>
          <w:rFonts w:ascii="仿宋" w:hAnsi="仿宋" w:eastAsia="仿宋"/>
          <w:b/>
          <w:szCs w:val="32"/>
        </w:rPr>
        <w:t xml:space="preserve"> </w:t>
      </w:r>
      <w:r>
        <w:rPr>
          <w:rFonts w:ascii="仿宋" w:hAnsi="仿宋" w:eastAsia="仿宋"/>
          <w:szCs w:val="32"/>
        </w:rPr>
        <w:t>会计师事务所应当严格执行注册会计师执业准则</w:t>
      </w:r>
      <w:r>
        <w:rPr>
          <w:rFonts w:hint="eastAsia" w:ascii="仿宋" w:hAnsi="仿宋" w:eastAsia="仿宋"/>
          <w:szCs w:val="32"/>
        </w:rPr>
        <w:t>和</w:t>
      </w:r>
      <w:r>
        <w:rPr>
          <w:rFonts w:ascii="仿宋" w:hAnsi="仿宋" w:eastAsia="仿宋"/>
          <w:szCs w:val="32"/>
        </w:rPr>
        <w:t>相关规定，合理运用职业判断，通过设计和实施恰当的程序、方法和技术，获取充分、适当的证据，并在此基础上发表独立意见。</w:t>
      </w:r>
    </w:p>
    <w:p>
      <w:pPr>
        <w:numPr>
          <w:ilvl w:val="255"/>
          <w:numId w:val="0"/>
        </w:numPr>
        <w:adjustRightInd/>
        <w:snapToGrid/>
        <w:ind w:firstLine="643"/>
        <w:contextualSpacing/>
        <w:rPr>
          <w:rFonts w:ascii="仿宋" w:hAnsi="仿宋" w:eastAsia="仿宋"/>
          <w:szCs w:val="32"/>
        </w:rPr>
      </w:pPr>
      <w:r>
        <w:rPr>
          <w:rFonts w:hint="eastAsia" w:ascii="仿宋" w:hAnsi="仿宋" w:eastAsia="仿宋"/>
          <w:b/>
          <w:szCs w:val="32"/>
        </w:rPr>
        <w:t>第一百零四条</w:t>
      </w:r>
      <w:r>
        <w:rPr>
          <w:rFonts w:hint="eastAsia" w:ascii="仿宋" w:hAnsi="仿宋" w:eastAsia="仿宋"/>
          <w:szCs w:val="32"/>
        </w:rPr>
        <w:t xml:space="preserve"> 律师事务所应当严格执行律师执业准则和相关从业规定，合理运用职业判断，勤勉尽责，依法出具法律意见书。</w:t>
      </w:r>
    </w:p>
    <w:p>
      <w:pPr>
        <w:numPr>
          <w:ilvl w:val="255"/>
          <w:numId w:val="0"/>
        </w:numPr>
        <w:adjustRightInd/>
        <w:snapToGrid/>
        <w:ind w:firstLine="643"/>
        <w:contextualSpacing/>
        <w:rPr>
          <w:rFonts w:ascii="仿宋" w:hAnsi="仿宋" w:eastAsia="仿宋"/>
          <w:szCs w:val="32"/>
        </w:rPr>
      </w:pPr>
      <w:r>
        <w:rPr>
          <w:rFonts w:hint="eastAsia" w:ascii="仿宋" w:hAnsi="仿宋" w:eastAsia="仿宋"/>
          <w:b/>
          <w:szCs w:val="32"/>
        </w:rPr>
        <w:t>第一百零五条</w:t>
      </w:r>
      <w:r>
        <w:rPr>
          <w:rFonts w:hint="eastAsia" w:ascii="仿宋" w:hAnsi="仿宋" w:eastAsia="仿宋"/>
          <w:szCs w:val="32"/>
        </w:rPr>
        <w:t xml:space="preserve"> 专业机构应当制作并妥善保存信息披露相关工作底稿和工作档案，包括出具文件所依据的资料、尽职调查报告（如有）、会议纪要、谈话记录等。</w:t>
      </w:r>
    </w:p>
    <w:p>
      <w:pPr>
        <w:pStyle w:val="2"/>
        <w:keepNext/>
        <w:keepLines/>
        <w:adjustRightInd/>
        <w:snapToGrid/>
        <w:spacing w:before="240" w:after="240" w:line="240" w:lineRule="auto"/>
        <w:rPr>
          <w:rFonts w:ascii="黑体" w:hAnsi="黑体"/>
          <w:color w:val="auto"/>
          <w:kern w:val="44"/>
          <w:szCs w:val="32"/>
        </w:rPr>
      </w:pPr>
      <w:bookmarkStart w:id="38" w:name="_Toc112608873"/>
      <w:bookmarkStart w:id="39" w:name="_Toc122424957"/>
      <w:bookmarkStart w:id="40" w:name="_Toc122425102"/>
      <w:r>
        <w:rPr>
          <w:rFonts w:hint="eastAsia" w:ascii="黑体" w:hAnsi="黑体"/>
          <w:color w:val="auto"/>
          <w:kern w:val="44"/>
          <w:szCs w:val="32"/>
        </w:rPr>
        <w:t>第七章</w:t>
      </w:r>
      <w:r>
        <w:rPr>
          <w:rFonts w:ascii="黑体" w:hAnsi="黑体"/>
          <w:color w:val="auto"/>
          <w:kern w:val="44"/>
          <w:szCs w:val="32"/>
        </w:rPr>
        <w:t xml:space="preserve"> </w:t>
      </w:r>
      <w:r>
        <w:rPr>
          <w:rFonts w:hint="eastAsia" w:ascii="黑体" w:hAnsi="黑体"/>
          <w:color w:val="auto"/>
          <w:kern w:val="44"/>
          <w:szCs w:val="32"/>
        </w:rPr>
        <w:t>特殊规定</w:t>
      </w:r>
      <w:bookmarkEnd w:id="38"/>
      <w:bookmarkEnd w:id="39"/>
      <w:bookmarkEnd w:id="40"/>
    </w:p>
    <w:p>
      <w:pPr>
        <w:pStyle w:val="4"/>
        <w:keepNext/>
        <w:keepLines/>
        <w:adjustRightInd/>
        <w:snapToGrid/>
        <w:spacing w:before="260" w:after="260" w:line="416" w:lineRule="auto"/>
        <w:rPr>
          <w:rFonts w:ascii="楷体" w:hAnsi="楷体" w:eastAsia="楷体"/>
          <w:color w:val="auto"/>
          <w:sz w:val="32"/>
          <w:szCs w:val="20"/>
        </w:rPr>
      </w:pPr>
      <w:bookmarkStart w:id="41" w:name="_Toc122425103"/>
      <w:bookmarkStart w:id="42" w:name="_Toc122424958"/>
      <w:r>
        <w:rPr>
          <w:rFonts w:hint="eastAsia" w:ascii="楷体" w:hAnsi="楷体" w:eastAsia="楷体"/>
          <w:color w:val="auto"/>
          <w:sz w:val="32"/>
          <w:szCs w:val="20"/>
        </w:rPr>
        <w:t>第一节</w:t>
      </w:r>
      <w:r>
        <w:rPr>
          <w:rFonts w:ascii="楷体" w:hAnsi="楷体" w:eastAsia="楷体"/>
          <w:color w:val="auto"/>
          <w:sz w:val="32"/>
          <w:szCs w:val="20"/>
        </w:rPr>
        <w:t xml:space="preserve"> </w:t>
      </w:r>
      <w:r>
        <w:rPr>
          <w:rFonts w:hint="eastAsia" w:ascii="楷体" w:hAnsi="楷体" w:eastAsia="楷体"/>
          <w:color w:val="auto"/>
          <w:sz w:val="32"/>
          <w:szCs w:val="20"/>
        </w:rPr>
        <w:t>发行人破产</w:t>
      </w:r>
      <w:bookmarkEnd w:id="41"/>
      <w:bookmarkEnd w:id="42"/>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第一百零六条</w:t>
      </w:r>
      <w:r>
        <w:rPr>
          <w:rFonts w:ascii="仿宋" w:hAnsi="仿宋" w:eastAsia="仿宋"/>
          <w:szCs w:val="32"/>
        </w:rPr>
        <w:t xml:space="preserve"> </w:t>
      </w:r>
      <w:r>
        <w:rPr>
          <w:rFonts w:hint="eastAsia" w:ascii="仿宋" w:hAnsi="仿宋" w:eastAsia="仿宋"/>
          <w:szCs w:val="32"/>
        </w:rPr>
        <w:t>发行人发生重整、和解、清算等破产事项的，发行人及其董事、监事、高级管理人员、控股股东、实际控制人以及破产管理人应当按照法律法规、本所业务规则和本节规定履行信息披露义务和相应职责，确有原因无法履行的，应当说明原因并披露。</w:t>
      </w:r>
    </w:p>
    <w:p>
      <w:pPr>
        <w:adjustRightInd/>
        <w:snapToGrid/>
        <w:ind w:firstLine="640"/>
        <w:contextualSpacing/>
        <w:rPr>
          <w:rFonts w:ascii="仿宋" w:hAnsi="仿宋" w:eastAsia="仿宋"/>
          <w:szCs w:val="32"/>
        </w:rPr>
      </w:pPr>
      <w:r>
        <w:rPr>
          <w:rFonts w:hint="eastAsia" w:ascii="仿宋" w:hAnsi="仿宋" w:eastAsia="仿宋"/>
          <w:szCs w:val="32"/>
        </w:rPr>
        <w:t>发行人实施预重整的，参照本节规定履行信息披露义务。</w:t>
      </w:r>
    </w:p>
    <w:p>
      <w:pPr>
        <w:numPr>
          <w:ilvl w:val="255"/>
          <w:numId w:val="0"/>
        </w:numPr>
        <w:adjustRightInd/>
        <w:snapToGrid/>
        <w:ind w:firstLine="643" w:firstLineChars="200"/>
        <w:contextualSpacing/>
        <w:rPr>
          <w:rFonts w:ascii="仿宋" w:hAnsi="仿宋" w:eastAsia="仿宋"/>
          <w:szCs w:val="32"/>
        </w:rPr>
      </w:pPr>
      <w:r>
        <w:rPr>
          <w:rFonts w:hint="eastAsia" w:ascii="仿宋" w:hAnsi="仿宋" w:eastAsia="仿宋"/>
          <w:b/>
          <w:bCs/>
          <w:szCs w:val="32"/>
        </w:rPr>
        <w:t>第一百零七条</w:t>
      </w:r>
      <w:r>
        <w:rPr>
          <w:rFonts w:hint="eastAsia" w:ascii="仿宋" w:hAnsi="仿宋" w:eastAsia="仿宋"/>
          <w:szCs w:val="32"/>
        </w:rPr>
        <w:t>《中华人民共和国企业破产法》（以下简称《企业破产法》）规定或者人民法院要求公告的事项，信息披露义务人应当及时披露。</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第一百零八条</w:t>
      </w:r>
      <w:r>
        <w:rPr>
          <w:rFonts w:ascii="仿宋" w:hAnsi="仿宋" w:eastAsia="仿宋"/>
          <w:szCs w:val="32"/>
        </w:rPr>
        <w:t xml:space="preserve"> </w:t>
      </w:r>
      <w:r>
        <w:rPr>
          <w:rFonts w:hint="eastAsia" w:ascii="仿宋" w:hAnsi="仿宋" w:eastAsia="仿宋"/>
          <w:szCs w:val="32"/>
        </w:rPr>
        <w:t>发行人向人民法院申请破产的，发行人应当于有权决策机构作出决议之日起</w:t>
      </w:r>
      <w:r>
        <w:rPr>
          <w:rFonts w:ascii="仿宋" w:hAnsi="仿宋" w:eastAsia="仿宋"/>
          <w:szCs w:val="32"/>
        </w:rPr>
        <w:t>2</w:t>
      </w:r>
      <w:r>
        <w:rPr>
          <w:rFonts w:hint="eastAsia" w:ascii="仿宋" w:hAnsi="仿宋" w:eastAsia="仿宋"/>
          <w:szCs w:val="32"/>
        </w:rPr>
        <w:t>个交易日内披露下列事项：</w:t>
      </w:r>
    </w:p>
    <w:p>
      <w:pPr>
        <w:adjustRightInd/>
        <w:snapToGrid/>
        <w:ind w:firstLine="640"/>
        <w:contextualSpacing/>
        <w:rPr>
          <w:rFonts w:ascii="仿宋" w:hAnsi="仿宋" w:eastAsia="仿宋" w:cs="宋体"/>
          <w:bCs/>
          <w:kern w:val="0"/>
          <w:szCs w:val="32"/>
        </w:rPr>
      </w:pPr>
      <w:r>
        <w:rPr>
          <w:rFonts w:hint="eastAsia" w:ascii="仿宋" w:hAnsi="仿宋" w:eastAsia="仿宋" w:cs="宋体"/>
          <w:bCs/>
          <w:kern w:val="0"/>
          <w:szCs w:val="32"/>
        </w:rPr>
        <w:t>（一）发行人申请破产的基本情况，包括作出申请破产决定的原因、申请的破产程序类型、正式递交申请的时间、已履行和待履行的审议程序等；</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（二）破产事项被人民法院受理可能存在的障碍以及解决措施（如有）；</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（三）破产事项对发行人信用风险化解处置以及投资者权益保护的影响；</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（四）进入破产程序和公司债券终止上市或者挂牌转让的相关风险提示；</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（五）本所要求披露的其他内容。</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第一百零九条</w:t>
      </w:r>
      <w:r>
        <w:rPr>
          <w:rFonts w:ascii="仿宋" w:hAnsi="仿宋" w:eastAsia="仿宋"/>
          <w:szCs w:val="32"/>
        </w:rPr>
        <w:t xml:space="preserve"> </w:t>
      </w:r>
      <w:r>
        <w:rPr>
          <w:rFonts w:hint="eastAsia" w:ascii="仿宋" w:hAnsi="仿宋" w:eastAsia="仿宋"/>
          <w:szCs w:val="32"/>
        </w:rPr>
        <w:t>债权人向人民法院申请发行人破产的，发行人应当于知道之日起</w:t>
      </w:r>
      <w:r>
        <w:rPr>
          <w:rFonts w:ascii="仿宋" w:hAnsi="仿宋" w:eastAsia="仿宋"/>
          <w:szCs w:val="32"/>
        </w:rPr>
        <w:t>2</w:t>
      </w:r>
      <w:r>
        <w:rPr>
          <w:rFonts w:hint="eastAsia" w:ascii="仿宋" w:hAnsi="仿宋" w:eastAsia="仿宋"/>
          <w:szCs w:val="32"/>
        </w:rPr>
        <w:t>个交易日内披露下列事项：</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（一）申请人的基本情况；</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（二）申请的破产程序类型、申请的事实和理由；</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（三）申请人与发行人及其董事、监事、高级管理人员、控股股东、实际控制人是否存在关联关系或者一致行动关系；</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（四）破产事项被人民法院受理可能存在的障碍以及解决措施（如有）；</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（五）破产事项对发行人信用风险化解处置以及投资者权益保护的影响；</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（六）进入破产程序和公司债券终止上市或者挂牌转让的相关风险提示；</w:t>
      </w:r>
    </w:p>
    <w:p>
      <w:pPr>
        <w:adjustRightInd/>
        <w:snapToGrid/>
        <w:ind w:firstLine="646" w:firstLineChars="202"/>
        <w:contextualSpacing/>
        <w:rPr>
          <w:rFonts w:ascii="仿宋" w:hAnsi="仿宋" w:eastAsia="仿宋" w:cs="宋体"/>
          <w:bCs/>
          <w:kern w:val="0"/>
          <w:szCs w:val="32"/>
        </w:rPr>
      </w:pPr>
      <w:r>
        <w:rPr>
          <w:rFonts w:hint="eastAsia" w:ascii="仿宋" w:hAnsi="仿宋" w:eastAsia="仿宋" w:cs="宋体"/>
          <w:bCs/>
          <w:kern w:val="0"/>
          <w:szCs w:val="32"/>
        </w:rPr>
        <w:t>（七）本所要求披露的其他内容。</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第一百一十条</w:t>
      </w:r>
      <w:r>
        <w:rPr>
          <w:rFonts w:ascii="仿宋" w:hAnsi="仿宋" w:eastAsia="仿宋"/>
          <w:b/>
          <w:bCs/>
          <w:szCs w:val="32"/>
        </w:rPr>
        <w:t xml:space="preserve"> </w:t>
      </w:r>
      <w:r>
        <w:rPr>
          <w:rFonts w:hint="eastAsia" w:ascii="仿宋" w:hAnsi="仿宋" w:eastAsia="仿宋"/>
          <w:szCs w:val="32"/>
        </w:rPr>
        <w:t>发行人依据《企业破产法》的规定对申请提出异议的，应当及时披露异议理由和相关依据。</w:t>
      </w:r>
    </w:p>
    <w:p>
      <w:pPr>
        <w:ind w:firstLine="640"/>
        <w:rPr>
          <w:rFonts w:ascii="仿宋" w:hAnsi="仿宋" w:eastAsia="仿宋"/>
          <w:szCs w:val="32"/>
        </w:rPr>
      </w:pPr>
      <w:r>
        <w:rPr>
          <w:rFonts w:hint="eastAsia" w:ascii="仿宋" w:hAnsi="仿宋" w:eastAsia="仿宋"/>
          <w:szCs w:val="32"/>
        </w:rPr>
        <w:t>人民法院受理破产申请前，申请人撤回申请的，发行人应当及时披露撤回时间、原因和法院裁定情况。</w:t>
      </w:r>
    </w:p>
    <w:p>
      <w:pPr>
        <w:ind w:firstLine="640"/>
        <w:rPr>
          <w:rFonts w:ascii="仿宋" w:hAnsi="仿宋" w:eastAsia="仿宋"/>
          <w:szCs w:val="32"/>
        </w:rPr>
      </w:pPr>
      <w:r>
        <w:rPr>
          <w:rFonts w:hint="eastAsia" w:ascii="仿宋" w:hAnsi="仿宋" w:eastAsia="仿宋"/>
          <w:szCs w:val="32"/>
        </w:rPr>
        <w:t>人民法院裁定不受理或者驳回关于发行人的破产申请的，发行人应当及时披露法院裁定时间以及裁定书的主要内容。申请人对法院裁定不服，向上一级人民法院提起上诉的，发行人应当及时披露相关情况。</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第一百一十一条</w:t>
      </w:r>
      <w:r>
        <w:rPr>
          <w:rFonts w:ascii="仿宋" w:hAnsi="仿宋" w:eastAsia="仿宋"/>
          <w:szCs w:val="32"/>
        </w:rPr>
        <w:t xml:space="preserve"> </w:t>
      </w:r>
      <w:r>
        <w:rPr>
          <w:rFonts w:hint="eastAsia" w:ascii="仿宋" w:hAnsi="仿宋" w:eastAsia="仿宋"/>
          <w:szCs w:val="32"/>
        </w:rPr>
        <w:t>发行人预重整程序转换或者结束时，发行人应当及时披露预重整期间临时破产管理人的履职情况、预重整程序取得的成效、预重整与破产程序衔接安排等内容。</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第一百一十二条</w:t>
      </w:r>
      <w:r>
        <w:rPr>
          <w:rFonts w:ascii="仿宋" w:hAnsi="仿宋" w:eastAsia="仿宋"/>
          <w:b/>
          <w:bCs/>
          <w:szCs w:val="32"/>
        </w:rPr>
        <w:t xml:space="preserve"> </w:t>
      </w:r>
      <w:r>
        <w:rPr>
          <w:rFonts w:hint="eastAsia" w:ascii="仿宋" w:hAnsi="仿宋" w:eastAsia="仿宋"/>
          <w:szCs w:val="32"/>
        </w:rPr>
        <w:t>人民法院裁定受理关于发行人的破产申请的，发行人应当及时披露申请人名称、法院裁定时间以及裁定书的主要内容、受理破产申请对发行人的影响等。</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第一百一十三条</w:t>
      </w:r>
      <w:r>
        <w:rPr>
          <w:rFonts w:ascii="仿宋" w:hAnsi="仿宋" w:eastAsia="仿宋"/>
          <w:szCs w:val="32"/>
        </w:rPr>
        <w:t xml:space="preserve"> </w:t>
      </w:r>
      <w:r>
        <w:rPr>
          <w:rFonts w:hint="eastAsia" w:ascii="仿宋" w:hAnsi="仿宋" w:eastAsia="仿宋"/>
          <w:szCs w:val="32"/>
        </w:rPr>
        <w:t>发行人及其关联企业被人民法院裁定进行实质合并破产的，发行人应当及时披露法院裁定时间、裁定原因、进入实质合并破产的主体以及裁定书的其他主要内容。</w:t>
      </w:r>
    </w:p>
    <w:p>
      <w:pPr>
        <w:adjustRightInd/>
        <w:snapToGrid/>
        <w:ind w:firstLine="640"/>
        <w:contextualSpacing/>
        <w:rPr>
          <w:rFonts w:ascii="仿宋" w:hAnsi="仿宋" w:eastAsia="仿宋"/>
          <w:szCs w:val="32"/>
        </w:rPr>
      </w:pPr>
      <w:r>
        <w:rPr>
          <w:rFonts w:hint="eastAsia" w:ascii="仿宋" w:hAnsi="仿宋" w:eastAsia="仿宋"/>
          <w:szCs w:val="32"/>
        </w:rPr>
        <w:t>发行人及其关联企业被裁定进行实质合并破产后，无法合理区分本节所规定的信息披露事项涉及主体是否为发行人的，可以将发行人及其关联企业视为本节所称的发行人。</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第一百一十四条</w:t>
      </w:r>
      <w:r>
        <w:rPr>
          <w:rFonts w:ascii="仿宋" w:hAnsi="仿宋" w:eastAsia="仿宋"/>
          <w:b/>
          <w:bCs/>
          <w:szCs w:val="32"/>
        </w:rPr>
        <w:t xml:space="preserve"> </w:t>
      </w:r>
      <w:r>
        <w:rPr>
          <w:rFonts w:hint="eastAsia" w:ascii="仿宋" w:hAnsi="仿宋" w:eastAsia="仿宋"/>
          <w:szCs w:val="32"/>
        </w:rPr>
        <w:t>人民法院指定破产管理人的，发行人应当及时披露下列事项：</w:t>
      </w:r>
    </w:p>
    <w:p>
      <w:pPr>
        <w:adjustRightInd/>
        <w:snapToGrid/>
        <w:ind w:firstLine="707" w:firstLineChars="221"/>
        <w:contextualSpacing/>
        <w:rPr>
          <w:rFonts w:ascii="仿宋" w:hAnsi="仿宋" w:eastAsia="仿宋"/>
          <w:szCs w:val="32"/>
        </w:rPr>
      </w:pPr>
      <w:r>
        <w:rPr>
          <w:rFonts w:hint="eastAsia" w:ascii="仿宋" w:hAnsi="仿宋" w:eastAsia="仿宋"/>
          <w:szCs w:val="32"/>
        </w:rPr>
        <w:t>（一）破产管理人的基本情况，包括破产管理人名称、负责人、成员、职责及联系方式等；</w:t>
      </w:r>
    </w:p>
    <w:p>
      <w:pPr>
        <w:adjustRightInd/>
        <w:snapToGrid/>
        <w:ind w:firstLine="707" w:firstLineChars="221"/>
        <w:contextualSpacing/>
        <w:rPr>
          <w:rFonts w:ascii="仿宋" w:hAnsi="仿宋" w:eastAsia="仿宋"/>
          <w:szCs w:val="32"/>
        </w:rPr>
      </w:pPr>
      <w:r>
        <w:rPr>
          <w:rFonts w:hint="eastAsia" w:ascii="仿宋" w:hAnsi="仿宋" w:eastAsia="仿宋"/>
          <w:szCs w:val="32"/>
        </w:rPr>
        <w:t>（二）发行人财产和营业事务的管理模式；</w:t>
      </w:r>
    </w:p>
    <w:p>
      <w:pPr>
        <w:adjustRightInd/>
        <w:snapToGrid/>
        <w:ind w:firstLine="707" w:firstLineChars="221"/>
        <w:contextualSpacing/>
        <w:rPr>
          <w:rFonts w:ascii="仿宋" w:hAnsi="仿宋" w:eastAsia="仿宋"/>
          <w:szCs w:val="32"/>
        </w:rPr>
      </w:pPr>
      <w:r>
        <w:rPr>
          <w:rFonts w:hint="eastAsia" w:ascii="仿宋" w:hAnsi="仿宋" w:eastAsia="仿宋"/>
          <w:szCs w:val="32"/>
        </w:rPr>
        <w:t>（三）债权申报的期限和方式。</w:t>
      </w:r>
    </w:p>
    <w:p>
      <w:pPr>
        <w:adjustRightInd/>
        <w:snapToGrid/>
        <w:ind w:firstLine="707" w:firstLineChars="221"/>
        <w:contextualSpacing/>
        <w:rPr>
          <w:rFonts w:ascii="仿宋" w:hAnsi="仿宋" w:eastAsia="仿宋"/>
          <w:szCs w:val="32"/>
        </w:rPr>
      </w:pPr>
      <w:r>
        <w:rPr>
          <w:rFonts w:hint="eastAsia" w:ascii="仿宋" w:hAnsi="仿宋" w:eastAsia="仿宋"/>
          <w:szCs w:val="32"/>
        </w:rPr>
        <w:t>破产管理人变更的，信息披露义务人应当及时披露破产管理人变更原因、履行的程序以及法院裁定情况。</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第一百一十五条</w:t>
      </w:r>
      <w:r>
        <w:rPr>
          <w:rFonts w:ascii="仿宋" w:hAnsi="仿宋" w:eastAsia="仿宋"/>
          <w:szCs w:val="32"/>
        </w:rPr>
        <w:t xml:space="preserve"> </w:t>
      </w:r>
      <w:r>
        <w:rPr>
          <w:rFonts w:hint="eastAsia" w:ascii="仿宋" w:hAnsi="仿宋" w:eastAsia="仿宋"/>
          <w:szCs w:val="32"/>
        </w:rPr>
        <w:t>发行人自行管理财产和营业事务的，发行人应当及时披露自行管理财产和营业事务职权范围。破产管理人在履行职责期间，应当将涉及信息披露的相关事项告知发行人，并监督发行人履行信息披露义务。</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第一百一十六条</w:t>
      </w:r>
      <w:r>
        <w:rPr>
          <w:rFonts w:ascii="仿宋" w:hAnsi="仿宋" w:eastAsia="仿宋"/>
          <w:szCs w:val="32"/>
        </w:rPr>
        <w:t xml:space="preserve"> </w:t>
      </w:r>
      <w:r>
        <w:rPr>
          <w:rFonts w:hint="eastAsia" w:ascii="仿宋" w:hAnsi="仿宋" w:eastAsia="仿宋"/>
          <w:szCs w:val="32"/>
        </w:rPr>
        <w:t>破产管理人根据《企业破产法》第六十九条规定实施的需向债权人委员会或者人民法院报告的行为，信息披露义务人应当于报告后及时披露，说明拟实施的行为内容、实施原因、对发行人偿债能力的影响。</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第一百一十七条</w:t>
      </w:r>
      <w:r>
        <w:rPr>
          <w:rFonts w:ascii="仿宋" w:hAnsi="仿宋" w:eastAsia="仿宋"/>
          <w:b/>
          <w:bCs/>
          <w:szCs w:val="32"/>
        </w:rPr>
        <w:t xml:space="preserve"> </w:t>
      </w:r>
      <w:r>
        <w:rPr>
          <w:rFonts w:hint="eastAsia" w:ascii="仿宋" w:hAnsi="仿宋" w:eastAsia="仿宋"/>
          <w:szCs w:val="32"/>
        </w:rPr>
        <w:t>信息披露义务人应当在债权人会议召开前及时披露下列事项：</w:t>
      </w:r>
    </w:p>
    <w:p>
      <w:pPr>
        <w:ind w:firstLine="640"/>
        <w:rPr>
          <w:rFonts w:ascii="仿宋" w:hAnsi="仿宋" w:eastAsia="仿宋"/>
          <w:szCs w:val="32"/>
        </w:rPr>
      </w:pPr>
      <w:r>
        <w:rPr>
          <w:rFonts w:hint="eastAsia" w:ascii="仿宋" w:hAnsi="仿宋" w:eastAsia="仿宋"/>
          <w:szCs w:val="32"/>
        </w:rPr>
        <w:t>（一）会议召开的时间、地点和方式，采用网络会议方式召开的，应当说明参会的具体方法；</w:t>
      </w:r>
    </w:p>
    <w:p>
      <w:pPr>
        <w:ind w:firstLine="640"/>
        <w:rPr>
          <w:rFonts w:ascii="仿宋" w:hAnsi="仿宋" w:eastAsia="仿宋"/>
          <w:szCs w:val="32"/>
        </w:rPr>
      </w:pPr>
      <w:r>
        <w:rPr>
          <w:rFonts w:hint="eastAsia" w:ascii="仿宋" w:hAnsi="仿宋" w:eastAsia="仿宋"/>
          <w:szCs w:val="32"/>
        </w:rPr>
        <w:t>（二）审议议案的主要内容；</w:t>
      </w:r>
    </w:p>
    <w:p>
      <w:pPr>
        <w:ind w:firstLine="640"/>
        <w:rPr>
          <w:rFonts w:ascii="仿宋" w:hAnsi="仿宋" w:eastAsia="仿宋"/>
          <w:szCs w:val="32"/>
        </w:rPr>
      </w:pPr>
      <w:r>
        <w:rPr>
          <w:rFonts w:hint="eastAsia" w:ascii="仿宋" w:hAnsi="仿宋" w:eastAsia="仿宋"/>
          <w:szCs w:val="32"/>
        </w:rPr>
        <w:t>（三）截至会议通知发出日，债权申报和审核情况、资产调查情况、财产管理、发行人营业等破产事务的最新进展情况（如有）；</w:t>
      </w:r>
    </w:p>
    <w:p>
      <w:pPr>
        <w:ind w:firstLine="640"/>
        <w:rPr>
          <w:rFonts w:ascii="仿宋" w:hAnsi="仿宋" w:eastAsia="仿宋"/>
          <w:szCs w:val="32"/>
        </w:rPr>
      </w:pPr>
      <w:r>
        <w:rPr>
          <w:rFonts w:hint="eastAsia" w:ascii="仿宋" w:hAnsi="仿宋" w:eastAsia="仿宋"/>
          <w:szCs w:val="32"/>
        </w:rPr>
        <w:t>（四）管理人报酬（如有）；</w:t>
      </w:r>
    </w:p>
    <w:p>
      <w:pPr>
        <w:ind w:firstLine="640"/>
        <w:rPr>
          <w:rFonts w:ascii="仿宋" w:hAnsi="仿宋" w:eastAsia="仿宋"/>
          <w:szCs w:val="32"/>
        </w:rPr>
      </w:pPr>
      <w:r>
        <w:rPr>
          <w:rFonts w:hint="eastAsia" w:ascii="仿宋" w:hAnsi="仿宋" w:eastAsia="仿宋"/>
          <w:szCs w:val="32"/>
        </w:rPr>
        <w:t>（五）关于债权人会议结果存在不确定性的风险提示；</w:t>
      </w:r>
    </w:p>
    <w:p>
      <w:pPr>
        <w:ind w:firstLine="640"/>
        <w:rPr>
          <w:rFonts w:ascii="仿宋" w:hAnsi="仿宋" w:eastAsia="仿宋"/>
          <w:szCs w:val="32"/>
        </w:rPr>
      </w:pPr>
      <w:r>
        <w:rPr>
          <w:rFonts w:hint="eastAsia" w:ascii="仿宋" w:hAnsi="仿宋" w:eastAsia="仿宋"/>
          <w:szCs w:val="32"/>
        </w:rPr>
        <w:t>（六）其他可能会对破产程序产生影响的事项；</w:t>
      </w:r>
    </w:p>
    <w:p>
      <w:pPr>
        <w:ind w:firstLine="640"/>
        <w:rPr>
          <w:rFonts w:ascii="仿宋" w:hAnsi="仿宋" w:eastAsia="仿宋"/>
          <w:szCs w:val="32"/>
        </w:rPr>
      </w:pPr>
      <w:r>
        <w:rPr>
          <w:rFonts w:hint="eastAsia" w:ascii="仿宋" w:hAnsi="仿宋" w:eastAsia="仿宋"/>
          <w:szCs w:val="32"/>
        </w:rPr>
        <w:t>（七）模拟破产清算状态下的清偿能力（如有）；</w:t>
      </w:r>
    </w:p>
    <w:p>
      <w:pPr>
        <w:ind w:firstLine="640"/>
        <w:rPr>
          <w:rFonts w:ascii="仿宋" w:hAnsi="仿宋" w:eastAsia="仿宋"/>
          <w:szCs w:val="32"/>
        </w:rPr>
      </w:pPr>
      <w:r>
        <w:rPr>
          <w:rFonts w:hint="eastAsia" w:ascii="仿宋" w:hAnsi="仿宋" w:eastAsia="仿宋"/>
          <w:szCs w:val="32"/>
        </w:rPr>
        <w:t>（八）本所、发行人或者破产管理人认为应当披露的其他事项。</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第一百一十八条</w:t>
      </w:r>
      <w:r>
        <w:rPr>
          <w:rFonts w:ascii="仿宋" w:hAnsi="仿宋" w:eastAsia="仿宋"/>
          <w:szCs w:val="32"/>
        </w:rPr>
        <w:t xml:space="preserve"> </w:t>
      </w:r>
      <w:r>
        <w:rPr>
          <w:rFonts w:hint="eastAsia" w:ascii="仿宋" w:hAnsi="仿宋" w:eastAsia="仿宋"/>
          <w:szCs w:val="32"/>
        </w:rPr>
        <w:t>债权人会议结束后，信息披露义务人应当及时披露会议决议的主要内容，包括：</w:t>
      </w:r>
    </w:p>
    <w:p>
      <w:pPr>
        <w:ind w:firstLine="640"/>
        <w:rPr>
          <w:rFonts w:ascii="仿宋" w:hAnsi="仿宋" w:eastAsia="仿宋"/>
          <w:szCs w:val="32"/>
        </w:rPr>
      </w:pPr>
      <w:r>
        <w:rPr>
          <w:rFonts w:hint="eastAsia" w:ascii="仿宋" w:hAnsi="仿宋" w:eastAsia="仿宋"/>
          <w:szCs w:val="32"/>
        </w:rPr>
        <w:t>（一）会议议程；</w:t>
      </w:r>
    </w:p>
    <w:p>
      <w:pPr>
        <w:ind w:firstLine="640"/>
        <w:rPr>
          <w:rFonts w:ascii="仿宋" w:hAnsi="仿宋" w:eastAsia="仿宋"/>
          <w:szCs w:val="32"/>
        </w:rPr>
      </w:pPr>
      <w:r>
        <w:rPr>
          <w:rFonts w:hint="eastAsia" w:ascii="仿宋" w:hAnsi="仿宋" w:eastAsia="仿宋"/>
          <w:szCs w:val="32"/>
        </w:rPr>
        <w:t>（二）债权核查情况及结果（如有）；</w:t>
      </w:r>
    </w:p>
    <w:p>
      <w:pPr>
        <w:ind w:firstLine="640"/>
        <w:rPr>
          <w:rFonts w:ascii="仿宋" w:hAnsi="仿宋" w:eastAsia="仿宋"/>
          <w:szCs w:val="32"/>
        </w:rPr>
      </w:pPr>
      <w:r>
        <w:rPr>
          <w:rFonts w:hint="eastAsia" w:ascii="仿宋" w:hAnsi="仿宋" w:eastAsia="仿宋"/>
          <w:szCs w:val="32"/>
        </w:rPr>
        <w:t>（三）债权人会议关于继续或者停止发行人营业的决定（如有）；</w:t>
      </w:r>
    </w:p>
    <w:p>
      <w:pPr>
        <w:ind w:firstLine="640"/>
        <w:rPr>
          <w:rFonts w:ascii="仿宋" w:hAnsi="仿宋" w:eastAsia="仿宋"/>
          <w:szCs w:val="32"/>
        </w:rPr>
      </w:pPr>
      <w:r>
        <w:rPr>
          <w:rFonts w:hint="eastAsia" w:ascii="仿宋" w:hAnsi="仿宋" w:eastAsia="仿宋"/>
          <w:szCs w:val="32"/>
        </w:rPr>
        <w:t>（四）对发行人财产管理方案、财产变价方案、破产财产分配方案等的表决情况（如有）；</w:t>
      </w:r>
    </w:p>
    <w:p>
      <w:pPr>
        <w:ind w:firstLine="640"/>
        <w:rPr>
          <w:rFonts w:ascii="仿宋" w:hAnsi="仿宋" w:eastAsia="仿宋"/>
          <w:szCs w:val="32"/>
        </w:rPr>
      </w:pPr>
      <w:r>
        <w:rPr>
          <w:rFonts w:hint="eastAsia" w:ascii="仿宋" w:hAnsi="仿宋" w:eastAsia="仿宋"/>
          <w:szCs w:val="32"/>
        </w:rPr>
        <w:t>（五）各债权人组对重整计划草案或者和解协议的表决情况（如有）；</w:t>
      </w:r>
    </w:p>
    <w:p>
      <w:pPr>
        <w:ind w:firstLine="640"/>
        <w:rPr>
          <w:rFonts w:ascii="仿宋" w:hAnsi="仿宋" w:eastAsia="仿宋"/>
          <w:szCs w:val="32"/>
        </w:rPr>
      </w:pPr>
      <w:r>
        <w:rPr>
          <w:rFonts w:hint="eastAsia" w:ascii="仿宋" w:hAnsi="仿宋" w:eastAsia="仿宋"/>
          <w:szCs w:val="32"/>
        </w:rPr>
        <w:t>（六）会议决议涉及的其他事项；</w:t>
      </w:r>
    </w:p>
    <w:p>
      <w:pPr>
        <w:ind w:firstLine="640"/>
        <w:rPr>
          <w:rFonts w:ascii="仿宋" w:hAnsi="仿宋" w:eastAsia="仿宋"/>
          <w:szCs w:val="32"/>
        </w:rPr>
      </w:pPr>
      <w:r>
        <w:rPr>
          <w:rFonts w:hint="eastAsia" w:ascii="仿宋" w:hAnsi="仿宋" w:eastAsia="仿宋"/>
          <w:szCs w:val="32"/>
        </w:rPr>
        <w:t>（七）本所、发行人或者破产管理人认为应当披露的其他事项。</w:t>
      </w:r>
    </w:p>
    <w:p>
      <w:pPr>
        <w:ind w:firstLine="640"/>
        <w:rPr>
          <w:rFonts w:ascii="仿宋" w:hAnsi="仿宋" w:eastAsia="仿宋"/>
          <w:szCs w:val="32"/>
        </w:rPr>
      </w:pPr>
      <w:r>
        <w:rPr>
          <w:rFonts w:hint="eastAsia" w:ascii="仿宋" w:hAnsi="仿宋" w:eastAsia="仿宋"/>
          <w:szCs w:val="32"/>
        </w:rPr>
        <w:t>债权人会议结束当日未形成决议需延期表决的，信息披露义务人应当及时披露会议召开情况、未形成决议的原因以及后续安排，并在形成最终决议后及时公告。</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第一百一十九条</w:t>
      </w:r>
      <w:r>
        <w:rPr>
          <w:rFonts w:ascii="仿宋" w:hAnsi="仿宋" w:eastAsia="仿宋"/>
          <w:b/>
          <w:bCs/>
          <w:szCs w:val="32"/>
        </w:rPr>
        <w:t xml:space="preserve"> </w:t>
      </w:r>
      <w:r>
        <w:rPr>
          <w:rFonts w:hint="eastAsia" w:ascii="仿宋" w:hAnsi="仿宋" w:eastAsia="仿宋"/>
          <w:szCs w:val="32"/>
        </w:rPr>
        <w:t>债权人会议或者破产管理人决定停止发行人全部或者部分营业并获得有权机构（如有）同意的，信息披露义务人应当及时公告，披露停止营业的相关业务最近一年及一期的收入、利润、资产等财务状况和经营成果，以及停止营业对发行人偿债能力的影响，并提示相关风险。</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第一百二十条</w:t>
      </w:r>
      <w:r>
        <w:rPr>
          <w:rFonts w:ascii="仿宋" w:hAnsi="仿宋" w:eastAsia="仿宋"/>
          <w:szCs w:val="32"/>
        </w:rPr>
        <w:t xml:space="preserve"> </w:t>
      </w:r>
      <w:r>
        <w:rPr>
          <w:rFonts w:hint="eastAsia" w:ascii="仿宋" w:hAnsi="仿宋" w:eastAsia="仿宋"/>
          <w:szCs w:val="32"/>
        </w:rPr>
        <w:t>债权人就债权人会议决议提起诉讼的，信息披露义务人应当及时披露案件起诉、进展情况以及诉讼期间债权人会议决议的执行安排。</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第一百二十一条</w:t>
      </w:r>
      <w:r>
        <w:rPr>
          <w:rFonts w:ascii="仿宋" w:hAnsi="仿宋" w:eastAsia="仿宋"/>
          <w:szCs w:val="32"/>
        </w:rPr>
        <w:t xml:space="preserve"> </w:t>
      </w:r>
      <w:r>
        <w:rPr>
          <w:rFonts w:hint="eastAsia" w:ascii="仿宋" w:hAnsi="仿宋" w:eastAsia="仿宋"/>
          <w:szCs w:val="32"/>
        </w:rPr>
        <w:t>发行人或者破产管理人通过公开征集方式招募重整投资人的，应当同时通过公告方式披露征集（招募）通知，说明发行人基本情况、拟征集投资人的业务板块、征集背景、征集目的、征集条件、征集流程和遴选机制等。</w:t>
      </w:r>
    </w:p>
    <w:p>
      <w:pPr>
        <w:ind w:firstLine="640"/>
        <w:rPr>
          <w:rFonts w:ascii="仿宋" w:hAnsi="仿宋" w:eastAsia="仿宋"/>
          <w:szCs w:val="32"/>
        </w:rPr>
      </w:pPr>
      <w:r>
        <w:rPr>
          <w:rFonts w:hint="eastAsia" w:ascii="仿宋" w:hAnsi="仿宋" w:eastAsia="仿宋"/>
          <w:szCs w:val="32"/>
        </w:rPr>
        <w:t>信息披露义务人应当分阶段披露公开征集重整投资人的重大进展事项。</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第一百二十二条</w:t>
      </w:r>
      <w:r>
        <w:rPr>
          <w:rFonts w:ascii="仿宋" w:hAnsi="仿宋" w:eastAsia="仿宋"/>
          <w:szCs w:val="32"/>
        </w:rPr>
        <w:t xml:space="preserve"> </w:t>
      </w:r>
      <w:r>
        <w:rPr>
          <w:rFonts w:hint="eastAsia" w:ascii="仿宋" w:hAnsi="仿宋" w:eastAsia="仿宋"/>
          <w:szCs w:val="32"/>
        </w:rPr>
        <w:t>发行人或者破产管理人通过公开征集外的其他方式引进重整投资人的，信息披露义务人应当在发行人、破产管理人和重整投资人签订投资协议后及时披露。</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第一百二十三条</w:t>
      </w:r>
      <w:r>
        <w:rPr>
          <w:rFonts w:ascii="仿宋" w:hAnsi="仿宋" w:eastAsia="仿宋"/>
          <w:szCs w:val="32"/>
        </w:rPr>
        <w:t xml:space="preserve"> </w:t>
      </w:r>
      <w:r>
        <w:rPr>
          <w:rFonts w:hint="eastAsia" w:ascii="仿宋" w:hAnsi="仿宋" w:eastAsia="仿宋"/>
          <w:szCs w:val="32"/>
        </w:rPr>
        <w:t>发行人、破产管理人与重整投资人签订投资协议的，信息披露义务人应当及时公告下列内容：</w:t>
      </w:r>
    </w:p>
    <w:p>
      <w:pPr>
        <w:ind w:firstLine="640"/>
        <w:rPr>
          <w:rFonts w:ascii="仿宋" w:hAnsi="仿宋" w:eastAsia="仿宋"/>
          <w:szCs w:val="32"/>
        </w:rPr>
      </w:pPr>
      <w:r>
        <w:rPr>
          <w:rFonts w:hint="eastAsia" w:ascii="仿宋" w:hAnsi="仿宋" w:eastAsia="仿宋"/>
          <w:szCs w:val="32"/>
        </w:rPr>
        <w:t>（一）重整投资人基本情况，包括基本工商登记信息、股权结构、资信情况、实际控制人情况、近</w:t>
      </w:r>
      <w:r>
        <w:rPr>
          <w:rFonts w:ascii="仿宋" w:hAnsi="仿宋" w:eastAsia="仿宋"/>
          <w:szCs w:val="32"/>
        </w:rPr>
        <w:t>3</w:t>
      </w:r>
      <w:r>
        <w:rPr>
          <w:rFonts w:hint="eastAsia" w:ascii="仿宋" w:hAnsi="仿宋" w:eastAsia="仿宋"/>
          <w:szCs w:val="32"/>
        </w:rPr>
        <w:t>年主营业务情况和主要财务数据、与发行人及其董事、监事、高级管理人员、公司控股股东、实际控制人等是否存在关联关系或者一致行动关系，重整投资人之间是否存在关联关系或者一致行动关系以及是否存在出资安排等；</w:t>
      </w:r>
    </w:p>
    <w:p>
      <w:pPr>
        <w:ind w:firstLine="640"/>
        <w:rPr>
          <w:rFonts w:ascii="仿宋" w:hAnsi="仿宋" w:eastAsia="仿宋"/>
          <w:szCs w:val="32"/>
        </w:rPr>
      </w:pPr>
      <w:r>
        <w:rPr>
          <w:rFonts w:hint="eastAsia" w:ascii="仿宋" w:hAnsi="仿宋" w:eastAsia="仿宋"/>
          <w:szCs w:val="32"/>
        </w:rPr>
        <w:t>（二）重整投资人投资目的、投资金额及其用途、投资金额的定价依据及公允性、资金来源、支付方式、拟获得的投资对价、引入重整投资人过程中是否存在损害债权人利益情形；</w:t>
      </w:r>
    </w:p>
    <w:p>
      <w:pPr>
        <w:ind w:firstLine="640"/>
        <w:rPr>
          <w:rFonts w:ascii="仿宋" w:hAnsi="仿宋" w:eastAsia="仿宋"/>
          <w:szCs w:val="32"/>
        </w:rPr>
      </w:pPr>
      <w:r>
        <w:rPr>
          <w:rFonts w:hint="eastAsia" w:ascii="仿宋" w:hAnsi="仿宋" w:eastAsia="仿宋"/>
          <w:szCs w:val="32"/>
        </w:rPr>
        <w:t>（三）重整投资人股权锁定安排、发行人股权结构和控制权变化情况；</w:t>
      </w:r>
    </w:p>
    <w:p>
      <w:pPr>
        <w:ind w:firstLine="640"/>
        <w:rPr>
          <w:rFonts w:ascii="仿宋" w:hAnsi="仿宋" w:eastAsia="仿宋"/>
          <w:szCs w:val="32"/>
        </w:rPr>
      </w:pPr>
      <w:r>
        <w:rPr>
          <w:rFonts w:hint="eastAsia" w:ascii="仿宋" w:hAnsi="仿宋" w:eastAsia="仿宋"/>
          <w:szCs w:val="32"/>
        </w:rPr>
        <w:t>（四）重整投资人的投资经验、投资优势、投资事项与发行人业务经营的协同性、投资人对公司未来生产经营计划和偿债计划的主要安排；</w:t>
      </w:r>
    </w:p>
    <w:p>
      <w:pPr>
        <w:ind w:firstLine="640"/>
        <w:rPr>
          <w:rFonts w:ascii="仿宋" w:hAnsi="仿宋" w:eastAsia="仿宋"/>
          <w:szCs w:val="32"/>
        </w:rPr>
      </w:pPr>
      <w:r>
        <w:rPr>
          <w:rFonts w:hint="eastAsia" w:ascii="仿宋" w:hAnsi="仿宋" w:eastAsia="仿宋"/>
          <w:szCs w:val="32"/>
        </w:rPr>
        <w:t>（五）重整投资人作出的相关承诺、履约措施、履约能力以及履约保障等；</w:t>
      </w:r>
    </w:p>
    <w:p>
      <w:pPr>
        <w:ind w:firstLine="640"/>
        <w:rPr>
          <w:rFonts w:ascii="仿宋" w:hAnsi="仿宋" w:eastAsia="仿宋"/>
          <w:szCs w:val="32"/>
        </w:rPr>
      </w:pPr>
      <w:r>
        <w:rPr>
          <w:rFonts w:hint="eastAsia" w:ascii="仿宋" w:hAnsi="仿宋" w:eastAsia="仿宋"/>
          <w:szCs w:val="32"/>
        </w:rPr>
        <w:t>（六）投资协议履行尚需完成的程序以及投资协议履行的不确定性；</w:t>
      </w:r>
    </w:p>
    <w:p>
      <w:pPr>
        <w:ind w:firstLine="640"/>
        <w:rPr>
          <w:rFonts w:ascii="仿宋" w:hAnsi="仿宋" w:eastAsia="仿宋"/>
          <w:szCs w:val="32"/>
        </w:rPr>
      </w:pPr>
      <w:r>
        <w:rPr>
          <w:rFonts w:hint="eastAsia" w:ascii="仿宋" w:hAnsi="仿宋" w:eastAsia="仿宋"/>
          <w:szCs w:val="32"/>
        </w:rPr>
        <w:t>（七）投资协议履行对发行人偿债能力和债权人清偿利益的影响。</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第一百二十四条</w:t>
      </w:r>
      <w:r>
        <w:rPr>
          <w:rFonts w:ascii="仿宋" w:hAnsi="仿宋" w:eastAsia="仿宋"/>
          <w:b/>
          <w:bCs/>
          <w:szCs w:val="32"/>
        </w:rPr>
        <w:t xml:space="preserve"> </w:t>
      </w:r>
      <w:r>
        <w:rPr>
          <w:rFonts w:hint="eastAsia" w:ascii="仿宋" w:hAnsi="仿宋" w:eastAsia="仿宋"/>
          <w:szCs w:val="32"/>
        </w:rPr>
        <w:t>信息披露义务人应当及时披露投资协议履行中的重大进展，包括但不限于投资款项的支付、重整投资人取得投资对价、向重整投资人移交经营管理和实际控制权利、投资协议违约事项。</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第一百二十五条</w:t>
      </w:r>
      <w:r>
        <w:rPr>
          <w:rFonts w:ascii="仿宋" w:hAnsi="仿宋" w:eastAsia="仿宋"/>
          <w:b/>
          <w:bCs/>
          <w:szCs w:val="32"/>
        </w:rPr>
        <w:t xml:space="preserve"> </w:t>
      </w:r>
      <w:r>
        <w:rPr>
          <w:rFonts w:hint="eastAsia" w:ascii="仿宋" w:hAnsi="仿宋" w:eastAsia="仿宋"/>
          <w:szCs w:val="32"/>
        </w:rPr>
        <w:t>发行人、重整投资人等承诺相关方在破产事项中作出承诺的，发行人或者破产管理人应当披露承诺的具体内容、履约方式、履约时间、承诺人履约能力、履约风险以及对策、不能履约时的制约措施等，并督促承诺相关方及时履行承诺。</w:t>
      </w:r>
    </w:p>
    <w:p>
      <w:pPr>
        <w:ind w:firstLine="640" w:firstLineChars="0"/>
        <w:rPr>
          <w:rFonts w:ascii="仿宋" w:hAnsi="仿宋" w:eastAsia="仿宋"/>
          <w:szCs w:val="32"/>
        </w:rPr>
      </w:pPr>
      <w:r>
        <w:rPr>
          <w:rFonts w:hint="eastAsia" w:ascii="仿宋" w:hAnsi="仿宋" w:eastAsia="仿宋"/>
          <w:szCs w:val="32"/>
        </w:rPr>
        <w:t>承诺相关方作出业绩承诺的，发行人或者破产管理人还应当披露作出业绩承诺的依据、合理性、是否与发行人签订了明确可行的补偿协议等。</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第一百二十六条</w:t>
      </w:r>
      <w:r>
        <w:rPr>
          <w:rFonts w:ascii="仿宋" w:hAnsi="仿宋" w:eastAsia="仿宋"/>
          <w:szCs w:val="32"/>
        </w:rPr>
        <w:t xml:space="preserve"> </w:t>
      </w:r>
      <w:r>
        <w:rPr>
          <w:rFonts w:hint="eastAsia" w:ascii="仿宋" w:hAnsi="仿宋" w:eastAsia="仿宋"/>
          <w:szCs w:val="32"/>
        </w:rPr>
        <w:t>破产程序发生转换的，信息披露义务人应当在收到人民法院裁定书后，及时披露申请人名称、与发行人之间的关系、人民法院裁定时间以及裁定书的主要内容、破产程序转换对发行人的影响等。</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第一百二十七条</w:t>
      </w:r>
      <w:r>
        <w:rPr>
          <w:rFonts w:ascii="仿宋" w:hAnsi="仿宋" w:eastAsia="仿宋"/>
          <w:szCs w:val="32"/>
        </w:rPr>
        <w:t xml:space="preserve"> </w:t>
      </w:r>
      <w:r>
        <w:rPr>
          <w:rFonts w:hint="eastAsia" w:ascii="仿宋" w:hAnsi="仿宋" w:eastAsia="仿宋"/>
          <w:szCs w:val="32"/>
        </w:rPr>
        <w:t>发行人或者破产管理人按照《企业破产法》的规定，延期向人民法院和债权人会议提交重整计划草案的，信息披露义务人应当及时披露进展情况。</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第一百二十八条</w:t>
      </w:r>
      <w:r>
        <w:rPr>
          <w:rFonts w:ascii="仿宋" w:hAnsi="仿宋" w:eastAsia="仿宋"/>
          <w:b/>
          <w:bCs/>
          <w:szCs w:val="32"/>
        </w:rPr>
        <w:t xml:space="preserve"> </w:t>
      </w:r>
      <w:r>
        <w:rPr>
          <w:rFonts w:hint="eastAsia" w:ascii="仿宋" w:hAnsi="仿宋" w:eastAsia="仿宋"/>
          <w:szCs w:val="32"/>
        </w:rPr>
        <w:t>发行人或者破产管理人应当在向债权人会议和人民法院提交重整计划草案、和解协议草案后及时披露草案提交时间、草案全文和发行人专项审计、评估报告全文（如有）；无法披露的，应当说明原因并申请债券停牌，并向全体已知持有人告知草案全文和专项审计、评估报告全文（如有）。</w:t>
      </w:r>
    </w:p>
    <w:p>
      <w:pPr>
        <w:adjustRightInd/>
        <w:snapToGrid/>
        <w:ind w:firstLine="640"/>
        <w:contextualSpacing/>
        <w:rPr>
          <w:rFonts w:ascii="仿宋" w:hAnsi="仿宋" w:eastAsia="仿宋"/>
          <w:szCs w:val="32"/>
        </w:rPr>
      </w:pPr>
      <w:r>
        <w:rPr>
          <w:rFonts w:hint="eastAsia" w:ascii="仿宋" w:hAnsi="仿宋" w:eastAsia="仿宋"/>
          <w:szCs w:val="32"/>
        </w:rPr>
        <w:t>重整计划草案内容包括但不限于《企业破产法》规定的重整计划的内容、债权申报和确认情况、发行人、重整投资人及其他有关各方在重整计划中的承诺（如有）。</w:t>
      </w:r>
    </w:p>
    <w:p>
      <w:pPr>
        <w:adjustRightInd/>
        <w:snapToGrid/>
        <w:ind w:firstLine="640"/>
        <w:contextualSpacing/>
        <w:rPr>
          <w:rFonts w:ascii="仿宋" w:hAnsi="仿宋" w:eastAsia="仿宋"/>
          <w:szCs w:val="32"/>
        </w:rPr>
      </w:pPr>
      <w:r>
        <w:rPr>
          <w:rFonts w:hint="eastAsia" w:ascii="仿宋" w:hAnsi="仿宋" w:eastAsia="仿宋"/>
          <w:szCs w:val="32"/>
        </w:rPr>
        <w:t>和解协议草案内容包括但不限于债权申报和确认情况、债权分类及调整情况、债权清偿方案、发行人未来经营方案（如有）。</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第一百二十九条</w:t>
      </w:r>
      <w:r>
        <w:rPr>
          <w:rFonts w:ascii="仿宋" w:hAnsi="仿宋" w:eastAsia="仿宋"/>
          <w:szCs w:val="32"/>
        </w:rPr>
        <w:t xml:space="preserve"> </w:t>
      </w:r>
      <w:r>
        <w:rPr>
          <w:rFonts w:hint="eastAsia" w:ascii="仿宋" w:hAnsi="仿宋" w:eastAsia="仿宋"/>
          <w:szCs w:val="32"/>
        </w:rPr>
        <w:t>信息披露义务人应当就重整计划草案中约定的经营方案和偿债方案单独履行信息披露义务，详细说明执行步骤和时间安排，分析论证方案制定依据，并对依据的充分性、方案的可行性以及是否有利于保护债权人利益进行说明。</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第一百三十条</w:t>
      </w:r>
      <w:r>
        <w:rPr>
          <w:rFonts w:ascii="仿宋" w:hAnsi="仿宋" w:eastAsia="仿宋"/>
          <w:b/>
          <w:bCs/>
          <w:szCs w:val="32"/>
        </w:rPr>
        <w:t xml:space="preserve"> </w:t>
      </w:r>
      <w:r>
        <w:rPr>
          <w:rFonts w:hint="eastAsia" w:ascii="仿宋" w:hAnsi="仿宋" w:eastAsia="仿宋"/>
          <w:szCs w:val="32"/>
        </w:rPr>
        <w:t>重整计划草案、和解协议草案根据《企业破产法》等相关规定经债权人会议表决通过后，信息披露义务人应当及时披露向人民法院申请批准重整计划、认可和解协议的情况。</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第一百三十一条</w:t>
      </w:r>
      <w:r>
        <w:rPr>
          <w:rFonts w:ascii="仿宋" w:hAnsi="仿宋" w:eastAsia="仿宋"/>
          <w:szCs w:val="32"/>
        </w:rPr>
        <w:t xml:space="preserve"> </w:t>
      </w:r>
      <w:r>
        <w:rPr>
          <w:rFonts w:hint="eastAsia" w:ascii="仿宋" w:hAnsi="仿宋" w:eastAsia="仿宋"/>
          <w:szCs w:val="32"/>
        </w:rPr>
        <w:t>重整计划草案首次未获债权人会议表决通过的，信息披露义务人应当在结果公告中明确披露是否与相关表决组通过协商后再次进行表决。</w:t>
      </w:r>
    </w:p>
    <w:p>
      <w:pPr>
        <w:adjustRightInd/>
        <w:snapToGrid/>
        <w:ind w:firstLine="640"/>
        <w:contextualSpacing/>
        <w:rPr>
          <w:rFonts w:ascii="仿宋" w:hAnsi="仿宋" w:eastAsia="仿宋"/>
          <w:szCs w:val="32"/>
        </w:rPr>
      </w:pPr>
      <w:r>
        <w:rPr>
          <w:rFonts w:hint="eastAsia" w:ascii="仿宋" w:hAnsi="仿宋" w:eastAsia="仿宋"/>
          <w:szCs w:val="32"/>
        </w:rPr>
        <w:t>进行二次表决的，相关表决组第二次表决结束后，信息披露义务人应当及时公告表决结果。再次表决未获通过的，信息披露义务人应当同时披露是否按照《企业破产法》的规定，向法院申请强制批准重整计划草案。申请法院强制批准重整计划草案的，信息披露义务人应当及时公告并说明相关申请的具体情况以及依据。</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第一百三十二条</w:t>
      </w:r>
      <w:r>
        <w:rPr>
          <w:rFonts w:ascii="仿宋" w:hAnsi="仿宋" w:eastAsia="仿宋"/>
          <w:szCs w:val="32"/>
        </w:rPr>
        <w:t xml:space="preserve"> </w:t>
      </w:r>
      <w:r>
        <w:rPr>
          <w:rFonts w:hint="eastAsia" w:ascii="仿宋" w:hAnsi="仿宋" w:eastAsia="仿宋"/>
          <w:szCs w:val="32"/>
        </w:rPr>
        <w:t>人民法院裁定批准重整计划、认可和解协议的，信息披露义务人应当在收到裁定文书后及时公告法院裁定时间、裁定内容。重整计划、和解协议与前次披露草案内容存在差异或者前次未披露全文的，信息披露义务人应当披露重整计划、和解协议的全文，并说明与前次披露内容的差异事项和原因（如有）。</w:t>
      </w:r>
    </w:p>
    <w:p>
      <w:pPr>
        <w:adjustRightInd/>
        <w:snapToGrid/>
        <w:ind w:firstLine="640"/>
        <w:contextualSpacing/>
        <w:rPr>
          <w:rFonts w:ascii="仿宋" w:hAnsi="仿宋" w:eastAsia="仿宋"/>
          <w:szCs w:val="32"/>
        </w:rPr>
      </w:pPr>
      <w:r>
        <w:rPr>
          <w:rFonts w:hint="eastAsia" w:ascii="仿宋" w:hAnsi="仿宋" w:eastAsia="仿宋"/>
          <w:szCs w:val="32"/>
        </w:rPr>
        <w:t>重整计划或者和解协议未获得批准或者认可的，信息披露义务人应当及时披露法院裁定内容以及未获批准或者认可的原因。</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第一百三十三条</w:t>
      </w:r>
      <w:r>
        <w:rPr>
          <w:rFonts w:ascii="仿宋" w:hAnsi="仿宋" w:eastAsia="仿宋"/>
          <w:b/>
          <w:bCs/>
          <w:szCs w:val="32"/>
        </w:rPr>
        <w:t xml:space="preserve"> </w:t>
      </w:r>
      <w:r>
        <w:rPr>
          <w:rFonts w:hint="eastAsia" w:ascii="仿宋" w:hAnsi="仿宋" w:eastAsia="仿宋"/>
          <w:szCs w:val="32"/>
        </w:rPr>
        <w:t>人民法院裁定终结破产程序的，信息披露义务人应当在收到裁定文书后及时公告人民法院裁定终结破产程序的原因、裁定时间、裁定内容以及终结破产程序对发行人的影响。</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第一百三十四条</w:t>
      </w:r>
      <w:r>
        <w:rPr>
          <w:rFonts w:ascii="仿宋" w:hAnsi="仿宋" w:eastAsia="仿宋"/>
          <w:szCs w:val="32"/>
        </w:rPr>
        <w:t xml:space="preserve"> </w:t>
      </w:r>
      <w:r>
        <w:rPr>
          <w:rFonts w:hint="eastAsia" w:ascii="仿宋" w:hAnsi="仿宋" w:eastAsia="仿宋"/>
          <w:szCs w:val="32"/>
        </w:rPr>
        <w:t>发行人进入破产程序后，除债券停复牌、交易价格异常波动、增信措施发生变更或者重大不利变化、召开持有人会议、转移公司债券清偿义务、发行人重要子公司（被）申请破产以及出现涉及破产事项的负面市场传闻等直接影响公司债券状态、持有人权益或者破产进展的重大事项应当按照本指引第三章相关规定及时披露外，信息披露义务人至少应当每季度汇总披露一次下列事项，并重点说明相关事项的变化情况、影响分析和后续安排：</w:t>
      </w:r>
    </w:p>
    <w:p>
      <w:pPr>
        <w:widowControl/>
        <w:ind w:firstLine="640"/>
        <w:contextualSpacing/>
        <w:rPr>
          <w:rFonts w:ascii="仿宋" w:hAnsi="仿宋" w:eastAsia="仿宋"/>
          <w:szCs w:val="32"/>
        </w:rPr>
      </w:pPr>
      <w:r>
        <w:rPr>
          <w:rFonts w:hint="eastAsia" w:ascii="仿宋" w:hAnsi="仿宋" w:eastAsia="仿宋"/>
          <w:szCs w:val="32"/>
        </w:rPr>
        <w:t>（一）经营状况，包括发行人合并报表范围内主营业务开展情况，是否出现生产经营相关事项的重大不利变化及其具体情况。</w:t>
      </w:r>
    </w:p>
    <w:p>
      <w:pPr>
        <w:widowControl/>
        <w:ind w:firstLine="640"/>
        <w:contextualSpacing/>
        <w:rPr>
          <w:rFonts w:ascii="仿宋" w:hAnsi="仿宋" w:eastAsia="仿宋"/>
          <w:szCs w:val="32"/>
        </w:rPr>
      </w:pPr>
      <w:r>
        <w:rPr>
          <w:rFonts w:hint="eastAsia" w:ascii="仿宋" w:hAnsi="仿宋" w:eastAsia="仿宋"/>
          <w:szCs w:val="32"/>
        </w:rPr>
        <w:t>（二）资产情况，包括发行人合并报表范围内对生产经营或者偿债能力具有重要影响的资产的金额、明细情况、运营、处置或者丧失情况、权利受限情况，追回、追缴债务人财产情况以及与资产相关的重大诉讼仲裁情况。</w:t>
      </w:r>
    </w:p>
    <w:p>
      <w:pPr>
        <w:widowControl/>
        <w:ind w:firstLine="640"/>
        <w:contextualSpacing/>
        <w:rPr>
          <w:rFonts w:ascii="仿宋" w:hAnsi="仿宋" w:eastAsia="仿宋"/>
          <w:szCs w:val="32"/>
        </w:rPr>
      </w:pPr>
      <w:r>
        <w:rPr>
          <w:rFonts w:hint="eastAsia" w:ascii="仿宋" w:hAnsi="仿宋" w:eastAsia="仿宋"/>
          <w:szCs w:val="32"/>
        </w:rPr>
        <w:t>（三）负债情况，包括发行人合并报表范围大额有息债务（含破产费用、共益费用）新增或者新确认的情况，说明金额、发生原因和是否可获得优先清偿顺序，新增大额有息债务逾期、重组情况、大额增信新增和执行情况、债权人大额抵销权主张情况、债权申报和确认情况以及与负债相关的重大诉讼仲裁情况。</w:t>
      </w:r>
    </w:p>
    <w:p>
      <w:pPr>
        <w:widowControl/>
        <w:ind w:firstLine="640"/>
        <w:contextualSpacing/>
        <w:rPr>
          <w:rFonts w:ascii="仿宋" w:hAnsi="仿宋" w:eastAsia="仿宋"/>
          <w:szCs w:val="32"/>
        </w:rPr>
      </w:pPr>
      <w:r>
        <w:rPr>
          <w:rFonts w:hint="eastAsia" w:ascii="仿宋" w:hAnsi="仿宋" w:eastAsia="仿宋"/>
          <w:szCs w:val="32"/>
        </w:rPr>
        <w:t>（四）公司治理及资信情况，包括发行人和重要子公司及其治理、管理团队的稳定性和资信情况，重要子公司解散、被托管或者接管、经营权或者股权被委托管理等情况。</w:t>
      </w:r>
    </w:p>
    <w:p>
      <w:pPr>
        <w:adjustRightInd/>
        <w:snapToGrid/>
        <w:ind w:firstLine="560" w:firstLineChars="0"/>
        <w:contextualSpacing/>
        <w:rPr>
          <w:rFonts w:ascii="仿宋" w:hAnsi="仿宋" w:eastAsia="仿宋"/>
          <w:szCs w:val="32"/>
        </w:rPr>
      </w:pPr>
      <w:r>
        <w:rPr>
          <w:rFonts w:hint="eastAsia" w:ascii="仿宋" w:hAnsi="仿宋" w:eastAsia="仿宋"/>
          <w:szCs w:val="32"/>
        </w:rPr>
        <w:t>（五）其他可能影响发行人偿债能力、债券交易价格或者投资者合法权益的重大事项。</w:t>
      </w:r>
    </w:p>
    <w:p>
      <w:pPr>
        <w:pStyle w:val="4"/>
        <w:keepNext/>
        <w:keepLines/>
        <w:adjustRightInd/>
        <w:snapToGrid/>
        <w:spacing w:before="260" w:after="260" w:line="416" w:lineRule="auto"/>
        <w:rPr>
          <w:rFonts w:ascii="楷体" w:hAnsi="楷体" w:eastAsia="楷体"/>
          <w:color w:val="auto"/>
          <w:sz w:val="32"/>
          <w:szCs w:val="20"/>
        </w:rPr>
      </w:pPr>
      <w:bookmarkStart w:id="43" w:name="_Toc122425104"/>
      <w:bookmarkStart w:id="44" w:name="_Toc122424959"/>
      <w:r>
        <w:rPr>
          <w:rFonts w:hint="eastAsia" w:ascii="楷体" w:hAnsi="楷体" w:eastAsia="楷体"/>
          <w:color w:val="auto"/>
          <w:sz w:val="32"/>
          <w:szCs w:val="20"/>
        </w:rPr>
        <w:t>第二节</w:t>
      </w:r>
      <w:r>
        <w:rPr>
          <w:rFonts w:ascii="楷体" w:hAnsi="楷体" w:eastAsia="楷体"/>
          <w:color w:val="auto"/>
          <w:sz w:val="32"/>
          <w:szCs w:val="20"/>
        </w:rPr>
        <w:t xml:space="preserve"> </w:t>
      </w:r>
      <w:r>
        <w:rPr>
          <w:rFonts w:hint="eastAsia" w:ascii="楷体" w:hAnsi="楷体" w:eastAsia="楷体"/>
          <w:color w:val="auto"/>
          <w:sz w:val="32"/>
          <w:szCs w:val="20"/>
        </w:rPr>
        <w:t>市场化重组</w:t>
      </w:r>
      <w:bookmarkEnd w:id="43"/>
      <w:bookmarkEnd w:id="44"/>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第一百三十五条</w:t>
      </w:r>
      <w:r>
        <w:rPr>
          <w:rFonts w:ascii="仿宋" w:hAnsi="仿宋" w:eastAsia="仿宋"/>
          <w:b/>
          <w:bCs/>
          <w:szCs w:val="32"/>
        </w:rPr>
        <w:t xml:space="preserve"> </w:t>
      </w:r>
      <w:r>
        <w:rPr>
          <w:rFonts w:hint="eastAsia" w:ascii="仿宋" w:hAnsi="仿宋" w:eastAsia="仿宋"/>
          <w:szCs w:val="32"/>
        </w:rPr>
        <w:t>发行人发生下列情形之一的，应当于</w:t>
      </w:r>
      <w:r>
        <w:rPr>
          <w:rFonts w:ascii="仿宋" w:hAnsi="仿宋" w:eastAsia="仿宋"/>
          <w:szCs w:val="32"/>
        </w:rPr>
        <w:t>2</w:t>
      </w:r>
      <w:r>
        <w:rPr>
          <w:rFonts w:hint="eastAsia" w:ascii="仿宋" w:hAnsi="仿宋" w:eastAsia="仿宋"/>
          <w:szCs w:val="32"/>
        </w:rPr>
        <w:t>个交易日内披露临时报告：</w:t>
      </w:r>
    </w:p>
    <w:p>
      <w:pPr>
        <w:widowControl/>
        <w:ind w:firstLine="640"/>
        <w:contextualSpacing/>
        <w:rPr>
          <w:rFonts w:ascii="仿宋" w:hAnsi="仿宋" w:eastAsia="仿宋"/>
          <w:szCs w:val="32"/>
        </w:rPr>
      </w:pPr>
      <w:r>
        <w:rPr>
          <w:rFonts w:hint="eastAsia" w:ascii="仿宋" w:hAnsi="仿宋" w:eastAsia="仿宋"/>
          <w:szCs w:val="32"/>
        </w:rPr>
        <w:t>（一）国务院部委或者直属机构、省级人民政府、计划单列市人民政府（以下统称有关政府部门）决定托管、接管发行人；</w:t>
      </w:r>
    </w:p>
    <w:p>
      <w:pPr>
        <w:widowControl/>
        <w:ind w:firstLine="640"/>
        <w:contextualSpacing/>
        <w:rPr>
          <w:rFonts w:ascii="仿宋" w:hAnsi="仿宋" w:eastAsia="仿宋"/>
          <w:szCs w:val="32"/>
        </w:rPr>
      </w:pPr>
      <w:r>
        <w:rPr>
          <w:rFonts w:hint="eastAsia" w:ascii="仿宋" w:hAnsi="仿宋" w:eastAsia="仿宋"/>
          <w:szCs w:val="32"/>
        </w:rPr>
        <w:t>（二）有关政府部门因信用风险化解处置需要向发行人派驻工作组；</w:t>
      </w:r>
    </w:p>
    <w:p>
      <w:pPr>
        <w:widowControl/>
        <w:ind w:firstLine="640"/>
        <w:contextualSpacing/>
        <w:rPr>
          <w:rFonts w:ascii="仿宋" w:hAnsi="仿宋" w:eastAsia="仿宋"/>
          <w:szCs w:val="32"/>
        </w:rPr>
      </w:pPr>
      <w:r>
        <w:rPr>
          <w:rFonts w:hint="eastAsia" w:ascii="仿宋" w:hAnsi="仿宋" w:eastAsia="仿宋"/>
          <w:szCs w:val="32"/>
        </w:rPr>
        <w:t>（三）在根据《系统重要性银行评估办法》评估认定的系统重要性银行名单中位列第三组、第四组和第五组的银行总部层面组建针对发行人的债权人委员会。</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第一百三十六条</w:t>
      </w:r>
      <w:r>
        <w:rPr>
          <w:rFonts w:ascii="仿宋" w:hAnsi="仿宋" w:eastAsia="仿宋"/>
          <w:b/>
          <w:bCs/>
          <w:szCs w:val="32"/>
        </w:rPr>
        <w:t xml:space="preserve"> </w:t>
      </w:r>
      <w:r>
        <w:rPr>
          <w:rFonts w:hint="eastAsia" w:ascii="仿宋" w:hAnsi="仿宋" w:eastAsia="仿宋"/>
          <w:szCs w:val="32"/>
        </w:rPr>
        <w:t>发行人发生本指引第一百三十五条规定的事项的，应当在临时报告中说明事项基本情况、相关背景、托管组、接管组、工作组或者债权人委员会主要组成机构、对发行人生产经营和公司治理后续安排及其影响。</w:t>
      </w:r>
    </w:p>
    <w:p>
      <w:pPr>
        <w:adjustRightInd/>
        <w:snapToGrid/>
        <w:ind w:firstLine="640"/>
        <w:contextualSpacing/>
        <w:rPr>
          <w:rFonts w:ascii="仿宋" w:hAnsi="仿宋" w:eastAsia="仿宋"/>
          <w:color w:val="auto"/>
          <w:szCs w:val="32"/>
        </w:rPr>
      </w:pPr>
      <w:r>
        <w:rPr>
          <w:rFonts w:hint="eastAsia" w:ascii="仿宋" w:hAnsi="仿宋" w:eastAsia="仿宋"/>
          <w:color w:val="auto"/>
          <w:szCs w:val="32"/>
        </w:rPr>
        <w:t>发行人按照前款规定披露公告后，发行人应当按照本节有关规定履行进展信息披露义务。</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第一百三十七条</w:t>
      </w:r>
      <w:r>
        <w:rPr>
          <w:rFonts w:ascii="仿宋" w:hAnsi="仿宋" w:eastAsia="仿宋"/>
          <w:szCs w:val="32"/>
        </w:rPr>
        <w:t xml:space="preserve"> </w:t>
      </w:r>
      <w:r>
        <w:rPr>
          <w:rFonts w:hint="eastAsia" w:ascii="仿宋" w:hAnsi="仿宋" w:eastAsia="仿宋"/>
          <w:szCs w:val="32"/>
        </w:rPr>
        <w:t>发行人应当在托管组、接管组、工作组或者债权人委员会的指导和协助下，统筹考虑发行人及其重要子公司、发行人控股股东、实际控制人或者同一控制下的重要关联方等的经营情况、财务情况、主要风险点等，积极制定信用风险化解处置方案，并在被托管、接管、派驻工作组或者债权人委员会成立后</w:t>
      </w:r>
      <w:r>
        <w:rPr>
          <w:rFonts w:ascii="仿宋" w:hAnsi="仿宋" w:eastAsia="仿宋"/>
          <w:szCs w:val="32"/>
        </w:rPr>
        <w:t>3</w:t>
      </w:r>
      <w:r>
        <w:rPr>
          <w:rFonts w:hint="eastAsia" w:ascii="仿宋" w:hAnsi="仿宋" w:eastAsia="仿宋"/>
          <w:szCs w:val="32"/>
        </w:rPr>
        <w:t>个月内披露信用风险化解处置框架方案或者方案制定进展，说明风险处置涉及主体、主要风险因素、拟采取的风险化解处置措施、预计所需时间、关于债务的整体偿付安排等。</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第一百三十八条</w:t>
      </w:r>
      <w:r>
        <w:rPr>
          <w:rFonts w:ascii="仿宋" w:hAnsi="仿宋" w:eastAsia="仿宋"/>
          <w:szCs w:val="32"/>
        </w:rPr>
        <w:t xml:space="preserve"> </w:t>
      </w:r>
      <w:r>
        <w:rPr>
          <w:rFonts w:hint="eastAsia" w:ascii="仿宋" w:hAnsi="仿宋" w:eastAsia="仿宋"/>
          <w:szCs w:val="32"/>
        </w:rPr>
        <w:t>发行人应当以信用风险化解处置框架方案为基础，根据风险化解处置进展，及时制定并披露信用风险化解处置整体方案的主要内容、执行步骤、时间安排和制定依据，并说明制定依据的充分性、方案的可行性以及是否有利于保护债权人权益。</w:t>
      </w:r>
    </w:p>
    <w:p>
      <w:pPr>
        <w:widowControl/>
        <w:ind w:firstLine="640"/>
        <w:contextualSpacing/>
        <w:rPr>
          <w:rFonts w:ascii="仿宋" w:hAnsi="仿宋" w:eastAsia="仿宋"/>
          <w:szCs w:val="32"/>
        </w:rPr>
      </w:pPr>
      <w:r>
        <w:rPr>
          <w:rFonts w:hint="eastAsia" w:ascii="仿宋" w:hAnsi="仿宋" w:eastAsia="仿宋"/>
          <w:szCs w:val="32"/>
        </w:rPr>
        <w:t>前款所称信用风险化解处置整体方案的主要内容包括但不限于下列事项：</w:t>
      </w:r>
    </w:p>
    <w:p>
      <w:pPr>
        <w:widowControl/>
        <w:ind w:firstLine="640"/>
        <w:contextualSpacing/>
        <w:rPr>
          <w:rFonts w:ascii="仿宋" w:hAnsi="仿宋" w:eastAsia="仿宋"/>
          <w:szCs w:val="32"/>
        </w:rPr>
      </w:pPr>
      <w:r>
        <w:rPr>
          <w:rFonts w:hint="eastAsia" w:ascii="仿宋" w:hAnsi="仿宋" w:eastAsia="仿宋"/>
          <w:szCs w:val="32"/>
        </w:rPr>
        <w:t>（一）公司持续经营方案，包括发行人合并报表范围内保留的主要业务板块及其经营情况、后续经营方案及其实施保障；</w:t>
      </w:r>
    </w:p>
    <w:p>
      <w:pPr>
        <w:widowControl/>
        <w:ind w:firstLine="640"/>
        <w:contextualSpacing/>
        <w:rPr>
          <w:rFonts w:ascii="仿宋" w:hAnsi="仿宋" w:eastAsia="仿宋"/>
          <w:szCs w:val="32"/>
        </w:rPr>
      </w:pPr>
      <w:r>
        <w:rPr>
          <w:rFonts w:hint="eastAsia" w:ascii="仿宋" w:hAnsi="仿宋" w:eastAsia="仿宋"/>
          <w:szCs w:val="32"/>
        </w:rPr>
        <w:t>（二）债务整体清偿方案，包括发行人合并报表范围负债总额、有息债务金额及其种类和期限结构、有息债务整体处置方案及其偿付资金来源，有息债务清偿不能的违约责任；</w:t>
      </w:r>
    </w:p>
    <w:p>
      <w:pPr>
        <w:widowControl/>
        <w:ind w:firstLine="640"/>
        <w:contextualSpacing/>
        <w:rPr>
          <w:rFonts w:ascii="仿宋" w:hAnsi="仿宋" w:eastAsia="仿宋"/>
          <w:szCs w:val="32"/>
        </w:rPr>
      </w:pPr>
      <w:r>
        <w:rPr>
          <w:rFonts w:hint="eastAsia" w:ascii="仿宋" w:hAnsi="仿宋" w:eastAsia="仿宋"/>
          <w:szCs w:val="32"/>
        </w:rPr>
        <w:t>（三）公司债券处置方案，包括偿付时间、偿付比例、偿付主体、资金来源、增信措施、投资者权益保护机制安排，以及其他对募集说明书约定的调整情况；</w:t>
      </w:r>
    </w:p>
    <w:p>
      <w:pPr>
        <w:widowControl/>
        <w:ind w:firstLine="640"/>
        <w:contextualSpacing/>
        <w:rPr>
          <w:rFonts w:ascii="仿宋" w:hAnsi="仿宋" w:eastAsia="仿宋"/>
          <w:szCs w:val="32"/>
        </w:rPr>
      </w:pPr>
      <w:r>
        <w:rPr>
          <w:rFonts w:hint="eastAsia" w:ascii="仿宋" w:hAnsi="仿宋" w:eastAsia="仿宋"/>
          <w:szCs w:val="32"/>
        </w:rPr>
        <w:t>（四）债权人就风险化解处置方案的主要建议意见，与债权人的沟通情况以及针对债权人建议意见的调整措施（如有）；</w:t>
      </w:r>
    </w:p>
    <w:p>
      <w:pPr>
        <w:widowControl/>
        <w:ind w:firstLine="640"/>
        <w:contextualSpacing/>
        <w:rPr>
          <w:rFonts w:ascii="仿宋" w:hAnsi="仿宋" w:eastAsia="仿宋"/>
          <w:szCs w:val="32"/>
        </w:rPr>
      </w:pPr>
      <w:r>
        <w:rPr>
          <w:rFonts w:hint="eastAsia" w:ascii="仿宋" w:hAnsi="仿宋" w:eastAsia="仿宋"/>
          <w:szCs w:val="32"/>
        </w:rPr>
        <w:t>（五）风险提示，揭示风险化解处置方案实施中存在的不确定情况以及发行人拟采取的应对措施；</w:t>
      </w:r>
    </w:p>
    <w:p>
      <w:pPr>
        <w:adjustRightInd/>
        <w:snapToGrid/>
        <w:ind w:firstLine="560" w:firstLineChars="0"/>
        <w:contextualSpacing/>
        <w:rPr>
          <w:rFonts w:ascii="仿宋" w:hAnsi="仿宋" w:eastAsia="仿宋"/>
          <w:szCs w:val="32"/>
        </w:rPr>
      </w:pPr>
      <w:r>
        <w:rPr>
          <w:rFonts w:hint="eastAsia" w:ascii="仿宋" w:hAnsi="仿宋" w:eastAsia="仿宋"/>
          <w:szCs w:val="32"/>
        </w:rPr>
        <w:t>（六）其他本所或者发行人认为需要说明的事项。</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第一百三十九条</w:t>
      </w:r>
      <w:r>
        <w:rPr>
          <w:rFonts w:ascii="仿宋" w:hAnsi="仿宋" w:eastAsia="仿宋"/>
          <w:b/>
          <w:bCs/>
          <w:szCs w:val="32"/>
        </w:rPr>
        <w:t xml:space="preserve"> </w:t>
      </w:r>
      <w:r>
        <w:rPr>
          <w:rFonts w:hint="eastAsia" w:ascii="仿宋" w:hAnsi="仿宋" w:eastAsia="仿宋"/>
          <w:szCs w:val="32"/>
        </w:rPr>
        <w:t>发行人应当积极推动信用风险化解处置相关工作，及时披露下列与信用风险化解处置相关的重大事项，并每季度披露信用风险化解处置进展：</w:t>
      </w:r>
    </w:p>
    <w:p>
      <w:pPr>
        <w:adjustRightInd/>
        <w:snapToGrid/>
        <w:ind w:firstLine="640"/>
        <w:contextualSpacing/>
        <w:rPr>
          <w:rFonts w:ascii="仿宋" w:hAnsi="仿宋" w:eastAsia="仿宋"/>
          <w:szCs w:val="32"/>
        </w:rPr>
      </w:pPr>
      <w:r>
        <w:rPr>
          <w:rFonts w:hint="eastAsia" w:ascii="仿宋" w:hAnsi="仿宋" w:eastAsia="仿宋"/>
          <w:szCs w:val="32"/>
        </w:rPr>
        <w:t>（一）信用风险化解处置框架方案或者整体方案的制定或者执行取得重大进展或者发生重大变化；</w:t>
      </w:r>
    </w:p>
    <w:p>
      <w:pPr>
        <w:adjustRightInd/>
        <w:snapToGrid/>
        <w:ind w:firstLine="640"/>
        <w:contextualSpacing/>
        <w:rPr>
          <w:rFonts w:ascii="仿宋" w:hAnsi="仿宋" w:eastAsia="仿宋"/>
          <w:szCs w:val="32"/>
        </w:rPr>
      </w:pPr>
      <w:r>
        <w:rPr>
          <w:rFonts w:hint="eastAsia" w:ascii="仿宋" w:hAnsi="仿宋" w:eastAsia="仿宋"/>
          <w:szCs w:val="32"/>
        </w:rPr>
        <w:t>（二）发生可能导致信用风险化解处置框架方案或者整体产生重大变更的事项；</w:t>
      </w:r>
    </w:p>
    <w:p>
      <w:pPr>
        <w:adjustRightInd/>
        <w:snapToGrid/>
        <w:ind w:firstLine="640"/>
        <w:contextualSpacing/>
        <w:rPr>
          <w:rFonts w:ascii="仿宋" w:hAnsi="仿宋" w:eastAsia="仿宋"/>
          <w:szCs w:val="32"/>
        </w:rPr>
      </w:pPr>
      <w:r>
        <w:rPr>
          <w:rFonts w:hint="eastAsia" w:ascii="仿宋" w:hAnsi="仿宋" w:eastAsia="仿宋"/>
          <w:szCs w:val="32"/>
        </w:rPr>
        <w:t>（三）为信用风险化解处置工作聘请中介机构或者变更原聘请的中介机构；</w:t>
      </w:r>
    </w:p>
    <w:p>
      <w:pPr>
        <w:adjustRightInd/>
        <w:snapToGrid/>
        <w:ind w:firstLine="640"/>
        <w:contextualSpacing/>
        <w:rPr>
          <w:rFonts w:ascii="仿宋" w:hAnsi="仿宋" w:eastAsia="仿宋"/>
          <w:szCs w:val="32"/>
        </w:rPr>
      </w:pPr>
      <w:r>
        <w:rPr>
          <w:rFonts w:hint="eastAsia" w:ascii="仿宋" w:hAnsi="仿宋" w:eastAsia="仿宋"/>
          <w:szCs w:val="32"/>
        </w:rPr>
        <w:t>（四）工作组、托管组、接管组及其执行机构或者债权人委员会主席单位、副主席单位发生重要变更；</w:t>
      </w:r>
    </w:p>
    <w:p>
      <w:pPr>
        <w:adjustRightInd/>
        <w:snapToGrid/>
        <w:ind w:firstLine="640"/>
        <w:contextualSpacing/>
        <w:rPr>
          <w:rFonts w:ascii="仿宋" w:hAnsi="仿宋" w:eastAsia="仿宋"/>
          <w:szCs w:val="32"/>
        </w:rPr>
      </w:pPr>
      <w:r>
        <w:rPr>
          <w:rFonts w:hint="eastAsia" w:ascii="仿宋" w:hAnsi="仿宋" w:eastAsia="仿宋"/>
          <w:szCs w:val="32"/>
        </w:rPr>
        <w:t>（五）债权人委员会按照债权人协议约定的解散程序予以解散；</w:t>
      </w:r>
    </w:p>
    <w:p>
      <w:pPr>
        <w:adjustRightInd/>
        <w:snapToGrid/>
        <w:ind w:firstLine="640"/>
        <w:contextualSpacing/>
        <w:rPr>
          <w:rFonts w:ascii="仿宋" w:hAnsi="仿宋" w:eastAsia="仿宋"/>
          <w:szCs w:val="32"/>
        </w:rPr>
      </w:pPr>
      <w:r>
        <w:rPr>
          <w:rFonts w:hint="eastAsia" w:ascii="仿宋" w:hAnsi="仿宋" w:eastAsia="仿宋"/>
          <w:szCs w:val="32"/>
        </w:rPr>
        <w:t>（六）出现涉及信用风险处置化解工作的重大市场传闻。</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第一百四十条</w:t>
      </w:r>
      <w:r>
        <w:rPr>
          <w:rFonts w:ascii="仿宋" w:hAnsi="仿宋" w:eastAsia="仿宋"/>
          <w:szCs w:val="32"/>
        </w:rPr>
        <w:t xml:space="preserve"> </w:t>
      </w:r>
      <w:r>
        <w:rPr>
          <w:rFonts w:hint="eastAsia" w:ascii="仿宋" w:hAnsi="仿宋" w:eastAsia="仿宋"/>
          <w:szCs w:val="32"/>
        </w:rPr>
        <w:t>发行人引入投资人的，应当参照本指引第一百二十一条至第一百二十五条的规定进行披露。</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第一百四十一条</w:t>
      </w:r>
      <w:r>
        <w:rPr>
          <w:rFonts w:ascii="仿宋" w:hAnsi="仿宋" w:eastAsia="仿宋"/>
          <w:szCs w:val="32"/>
        </w:rPr>
        <w:t xml:space="preserve"> </w:t>
      </w:r>
      <w:r>
        <w:rPr>
          <w:rFonts w:hint="eastAsia" w:ascii="仿宋" w:hAnsi="仿宋" w:eastAsia="仿宋"/>
          <w:szCs w:val="32"/>
        </w:rPr>
        <w:t>发行人被托管、接管、派驻工作组或者债权人委员会成立后，除公司债券停复牌、偿付行权、发生违约、交易价格异常波动、增信措施发生变更或者重大不利变化、转移公司债券清偿义务、召开持有人会议、发行人或者其重要子公司（被）申请破产、重要子公司解散、被托管、接管等直接影响公司债券状态、持有人权益或者信用风险化解处置进展的重大事项应当按照本指引第三章相关规定及时披露外，发行人应当至少每季度汇总披露一次下列事项，并重点说明相关事项的变化情况、影响分析和后续安排：</w:t>
      </w:r>
    </w:p>
    <w:p>
      <w:pPr>
        <w:widowControl/>
        <w:ind w:firstLine="640"/>
        <w:contextualSpacing/>
        <w:rPr>
          <w:rFonts w:ascii="仿宋" w:hAnsi="仿宋" w:eastAsia="仿宋"/>
          <w:szCs w:val="32"/>
        </w:rPr>
      </w:pPr>
      <w:r>
        <w:rPr>
          <w:rFonts w:hint="eastAsia" w:ascii="仿宋" w:hAnsi="仿宋" w:eastAsia="仿宋"/>
          <w:szCs w:val="32"/>
        </w:rPr>
        <w:t>（一）经营状况，包括发行人合并报表范围内主营业务开展情况，是否出现生产经营相关事项的重大不利变化及其具体情况。</w:t>
      </w:r>
    </w:p>
    <w:p>
      <w:pPr>
        <w:widowControl/>
        <w:ind w:firstLine="640"/>
        <w:contextualSpacing/>
        <w:rPr>
          <w:rFonts w:ascii="仿宋" w:hAnsi="仿宋" w:eastAsia="仿宋"/>
          <w:szCs w:val="32"/>
        </w:rPr>
      </w:pPr>
      <w:r>
        <w:rPr>
          <w:rFonts w:hint="eastAsia" w:ascii="仿宋" w:hAnsi="仿宋" w:eastAsia="仿宋"/>
          <w:szCs w:val="32"/>
        </w:rPr>
        <w:t>（二）资产情况，包括发行人合并报表范围内对生产经营能力或者偿债能力具有重要影响的资产的金额和明细情况、运营、处置或者丧失情况、权利受限情况、新增重大投资或者重大资产重组情况等。</w:t>
      </w:r>
    </w:p>
    <w:p>
      <w:pPr>
        <w:widowControl/>
        <w:ind w:firstLine="640"/>
        <w:contextualSpacing/>
        <w:rPr>
          <w:rFonts w:ascii="仿宋" w:hAnsi="仿宋" w:eastAsia="仿宋"/>
          <w:szCs w:val="32"/>
        </w:rPr>
      </w:pPr>
      <w:r>
        <w:rPr>
          <w:rFonts w:hint="eastAsia" w:ascii="仿宋" w:hAnsi="仿宋" w:eastAsia="仿宋"/>
          <w:szCs w:val="32"/>
        </w:rPr>
        <w:t>（三）负债情况，包括发行人及其合并报表范围的负债总额，有息债务金额、种类和期限结构，大额有息债务新增、逾期和重组情况、大额增信新增和执行情况、重大诉讼仲裁情况、采取的缓解流动性压力的措施及其成效。</w:t>
      </w:r>
    </w:p>
    <w:p>
      <w:pPr>
        <w:widowControl/>
        <w:ind w:firstLine="640"/>
        <w:contextualSpacing/>
        <w:rPr>
          <w:rFonts w:ascii="仿宋" w:hAnsi="仿宋" w:eastAsia="仿宋"/>
          <w:szCs w:val="32"/>
        </w:rPr>
      </w:pPr>
      <w:r>
        <w:rPr>
          <w:rFonts w:hint="eastAsia" w:ascii="仿宋" w:hAnsi="仿宋" w:eastAsia="仿宋"/>
          <w:szCs w:val="32"/>
        </w:rPr>
        <w:t>（四）公司治理及资信情况，说明发行人和重要子公司治理、管理团队的稳定性和资信情况，发行人控股股东、实际控制人变更变化情况、持有发行人股权的受限情况，发行人及其重要子公司经营权、股权被委托管理情况。</w:t>
      </w:r>
    </w:p>
    <w:p>
      <w:pPr>
        <w:adjustRightInd/>
        <w:snapToGrid/>
        <w:ind w:firstLine="640"/>
        <w:contextualSpacing/>
        <w:rPr>
          <w:rFonts w:ascii="仿宋" w:hAnsi="仿宋" w:eastAsia="仿宋"/>
          <w:szCs w:val="32"/>
        </w:rPr>
      </w:pPr>
      <w:r>
        <w:rPr>
          <w:rFonts w:hint="eastAsia" w:ascii="仿宋" w:hAnsi="仿宋" w:eastAsia="仿宋"/>
          <w:szCs w:val="32"/>
        </w:rPr>
        <w:t>（五）其他可能影响发行人偿债能力、债券交易价格或者投资者权益的重大事项。</w:t>
      </w:r>
    </w:p>
    <w:p>
      <w:pPr>
        <w:pStyle w:val="2"/>
        <w:keepNext/>
        <w:keepLines/>
        <w:adjustRightInd/>
        <w:snapToGrid/>
        <w:spacing w:before="240" w:after="240" w:line="240" w:lineRule="auto"/>
        <w:rPr>
          <w:rFonts w:ascii="黑体" w:hAnsi="黑体"/>
          <w:color w:val="auto"/>
          <w:kern w:val="44"/>
          <w:szCs w:val="32"/>
        </w:rPr>
      </w:pPr>
      <w:bookmarkStart w:id="45" w:name="_Toc66294747"/>
      <w:bookmarkStart w:id="46" w:name="_Toc122424960"/>
      <w:bookmarkStart w:id="47" w:name="_Toc122425105"/>
      <w:bookmarkStart w:id="48" w:name="_Toc69972790"/>
      <w:r>
        <w:rPr>
          <w:rFonts w:hint="eastAsia" w:ascii="黑体" w:hAnsi="黑体"/>
          <w:color w:val="auto"/>
          <w:kern w:val="44"/>
          <w:szCs w:val="32"/>
        </w:rPr>
        <w:t>第八章</w:t>
      </w:r>
      <w:r>
        <w:rPr>
          <w:rFonts w:ascii="黑体" w:hAnsi="黑体"/>
          <w:color w:val="auto"/>
          <w:kern w:val="44"/>
          <w:szCs w:val="32"/>
        </w:rPr>
        <w:t xml:space="preserve"> </w:t>
      </w:r>
      <w:r>
        <w:rPr>
          <w:rFonts w:hint="eastAsia" w:ascii="黑体" w:hAnsi="黑体"/>
          <w:color w:val="auto"/>
          <w:kern w:val="44"/>
          <w:szCs w:val="32"/>
        </w:rPr>
        <w:t>附则</w:t>
      </w:r>
      <w:bookmarkEnd w:id="45"/>
      <w:bookmarkEnd w:id="46"/>
      <w:bookmarkEnd w:id="47"/>
      <w:bookmarkEnd w:id="48"/>
    </w:p>
    <w:p>
      <w:pPr>
        <w:adjustRightInd/>
        <w:snapToGrid/>
        <w:ind w:firstLine="643"/>
        <w:contextualSpacing/>
        <w:rPr>
          <w:rFonts w:ascii="仿宋" w:hAnsi="仿宋" w:eastAsia="仿宋"/>
          <w:szCs w:val="32"/>
        </w:rPr>
      </w:pPr>
      <w:r>
        <w:rPr>
          <w:rFonts w:hint="eastAsia" w:ascii="仿宋" w:hAnsi="仿宋" w:eastAsia="仿宋"/>
          <w:b/>
          <w:bCs/>
          <w:szCs w:val="32"/>
        </w:rPr>
        <w:t>第一百四十二条</w:t>
      </w:r>
      <w:r>
        <w:rPr>
          <w:rFonts w:ascii="仿宋" w:hAnsi="仿宋" w:eastAsia="仿宋"/>
          <w:b/>
          <w:bCs/>
          <w:szCs w:val="32"/>
        </w:rPr>
        <w:t xml:space="preserve"> </w:t>
      </w:r>
      <w:r>
        <w:rPr>
          <w:rFonts w:hint="eastAsia" w:ascii="仿宋" w:hAnsi="仿宋" w:eastAsia="仿宋"/>
          <w:szCs w:val="32"/>
        </w:rPr>
        <w:t>境外注册公司发行的债券在本所上市挂牌的，其临时报告披露参照本指引执行。</w:t>
      </w:r>
    </w:p>
    <w:p>
      <w:pPr>
        <w:numPr>
          <w:ilvl w:val="255"/>
          <w:numId w:val="0"/>
        </w:numPr>
        <w:adjustRightInd/>
        <w:snapToGrid/>
        <w:ind w:left="640" w:leftChars="200"/>
        <w:contextualSpacing/>
        <w:rPr>
          <w:rFonts w:ascii="仿宋" w:hAnsi="仿宋" w:eastAsia="仿宋"/>
          <w:szCs w:val="32"/>
        </w:rPr>
      </w:pPr>
      <w:r>
        <w:rPr>
          <w:rFonts w:hint="eastAsia" w:ascii="仿宋" w:hAnsi="仿宋" w:eastAsia="仿宋"/>
          <w:b/>
          <w:bCs/>
          <w:szCs w:val="32"/>
        </w:rPr>
        <w:t>第一百四十三条</w:t>
      </w:r>
      <w:r>
        <w:rPr>
          <w:rFonts w:ascii="仿宋" w:hAnsi="仿宋" w:eastAsia="仿宋"/>
          <w:b/>
          <w:bCs/>
          <w:szCs w:val="32"/>
        </w:rPr>
        <w:t xml:space="preserve"> </w:t>
      </w:r>
      <w:r>
        <w:rPr>
          <w:rFonts w:hint="eastAsia" w:ascii="仿宋" w:hAnsi="仿宋" w:eastAsia="仿宋"/>
          <w:szCs w:val="32"/>
        </w:rPr>
        <w:t>本指引下列用语具有如下含义：</w:t>
      </w:r>
    </w:p>
    <w:p>
      <w:pPr>
        <w:adjustRightInd/>
        <w:snapToGrid/>
        <w:ind w:firstLine="640"/>
        <w:contextualSpacing/>
        <w:rPr>
          <w:rFonts w:ascii="仿宋" w:hAnsi="仿宋" w:eastAsia="仿宋"/>
          <w:szCs w:val="32"/>
        </w:rPr>
      </w:pPr>
      <w:r>
        <w:rPr>
          <w:rFonts w:hint="eastAsia" w:ascii="仿宋" w:hAnsi="仿宋" w:eastAsia="仿宋"/>
          <w:szCs w:val="32"/>
        </w:rPr>
        <w:t>（一）公司信用类债券，包括公司债券和非金融企业债务融资工具。</w:t>
      </w:r>
    </w:p>
    <w:p>
      <w:pPr>
        <w:adjustRightInd/>
        <w:snapToGrid/>
        <w:ind w:firstLine="640"/>
        <w:contextualSpacing/>
        <w:rPr>
          <w:rFonts w:ascii="仿宋" w:hAnsi="仿宋" w:eastAsia="仿宋"/>
          <w:szCs w:val="32"/>
        </w:rPr>
      </w:pPr>
      <w:r>
        <w:rPr>
          <w:rFonts w:hint="eastAsia" w:ascii="仿宋" w:hAnsi="仿宋" w:eastAsia="仿宋"/>
          <w:szCs w:val="32"/>
        </w:rPr>
        <w:t>（二）子公司，是指纳入发行人合并报表范围内的所有子公司。</w:t>
      </w:r>
    </w:p>
    <w:p>
      <w:pPr>
        <w:adjustRightInd/>
        <w:snapToGrid/>
        <w:ind w:firstLine="640"/>
        <w:contextualSpacing/>
        <w:rPr>
          <w:rFonts w:ascii="仿宋" w:hAnsi="仿宋" w:eastAsia="仿宋"/>
          <w:szCs w:val="32"/>
        </w:rPr>
      </w:pPr>
      <w:r>
        <w:rPr>
          <w:rFonts w:hint="eastAsia" w:ascii="仿宋" w:hAnsi="仿宋" w:eastAsia="仿宋"/>
          <w:szCs w:val="32"/>
        </w:rPr>
        <w:t>（三）重要子公司，指最近一年（末）总资产、净资产或者营业收入占发行人合并报表相应科目</w:t>
      </w:r>
      <w:r>
        <w:rPr>
          <w:rFonts w:ascii="仿宋" w:hAnsi="仿宋" w:eastAsia="仿宋"/>
          <w:szCs w:val="32"/>
        </w:rPr>
        <w:t>30%</w:t>
      </w:r>
      <w:r>
        <w:rPr>
          <w:rFonts w:hint="eastAsia" w:ascii="仿宋" w:hAnsi="仿宋" w:eastAsia="仿宋"/>
          <w:szCs w:val="32"/>
        </w:rPr>
        <w:t>以上的子公司。</w:t>
      </w:r>
    </w:p>
    <w:p>
      <w:pPr>
        <w:adjustRightInd/>
        <w:snapToGrid/>
        <w:ind w:firstLine="640"/>
        <w:contextualSpacing/>
        <w:rPr>
          <w:rFonts w:ascii="仿宋" w:hAnsi="仿宋" w:eastAsia="仿宋"/>
          <w:szCs w:val="32"/>
        </w:rPr>
      </w:pPr>
      <w:r>
        <w:rPr>
          <w:rFonts w:hint="eastAsia" w:ascii="仿宋" w:hAnsi="仿宋" w:eastAsia="仿宋"/>
          <w:szCs w:val="32"/>
        </w:rPr>
        <w:t>（四）关联方，是指根据《企业会计准则第</w:t>
      </w:r>
      <w:r>
        <w:rPr>
          <w:rFonts w:ascii="仿宋" w:hAnsi="仿宋" w:eastAsia="仿宋"/>
          <w:szCs w:val="32"/>
        </w:rPr>
        <w:t>36</w:t>
      </w:r>
      <w:r>
        <w:rPr>
          <w:rFonts w:hint="eastAsia" w:ascii="仿宋" w:hAnsi="仿宋" w:eastAsia="仿宋"/>
          <w:szCs w:val="32"/>
        </w:rPr>
        <w:t>号——关联方披露》确定的关联方。</w:t>
      </w:r>
    </w:p>
    <w:p>
      <w:pPr>
        <w:widowControl/>
        <w:adjustRightInd/>
        <w:snapToGrid/>
        <w:ind w:firstLine="640"/>
        <w:contextualSpacing/>
        <w:jc w:val="left"/>
        <w:rPr>
          <w:rFonts w:ascii="仿宋" w:hAnsi="仿宋" w:eastAsia="仿宋"/>
          <w:szCs w:val="32"/>
        </w:rPr>
      </w:pPr>
      <w:r>
        <w:rPr>
          <w:rFonts w:hint="eastAsia" w:ascii="仿宋" w:hAnsi="仿宋" w:eastAsia="仿宋"/>
          <w:szCs w:val="32"/>
        </w:rPr>
        <w:t>（五）主要业务，</w:t>
      </w:r>
      <w:r>
        <w:rPr>
          <w:rFonts w:hint="eastAsia" w:ascii="仿宋" w:hAnsi="仿宋" w:eastAsia="仿宋" w:cs="宋体"/>
          <w:color w:val="auto"/>
          <w:kern w:val="0"/>
          <w:szCs w:val="32"/>
        </w:rPr>
        <w:t>是指营业收入占发行人最近一年合并报表范围主营业务收入</w:t>
      </w:r>
      <w:r>
        <w:rPr>
          <w:rFonts w:ascii="仿宋" w:hAnsi="仿宋" w:eastAsia="仿宋" w:cs="宋体"/>
          <w:color w:val="auto"/>
          <w:kern w:val="0"/>
          <w:szCs w:val="32"/>
        </w:rPr>
        <w:t>10%</w:t>
      </w:r>
      <w:r>
        <w:rPr>
          <w:rFonts w:hint="eastAsia" w:ascii="仿宋" w:hAnsi="仿宋" w:eastAsia="仿宋" w:cs="宋体"/>
          <w:color w:val="auto"/>
          <w:kern w:val="0"/>
          <w:szCs w:val="32"/>
        </w:rPr>
        <w:t>以上，或者毛利润占发行人最近一年合并报表范围毛利润总额</w:t>
      </w:r>
      <w:r>
        <w:rPr>
          <w:rFonts w:ascii="仿宋" w:hAnsi="仿宋" w:eastAsia="仿宋" w:cs="宋体"/>
          <w:color w:val="auto"/>
          <w:kern w:val="0"/>
          <w:szCs w:val="32"/>
        </w:rPr>
        <w:t>10%</w:t>
      </w:r>
      <w:r>
        <w:rPr>
          <w:rFonts w:hint="eastAsia" w:ascii="仿宋" w:hAnsi="仿宋" w:eastAsia="仿宋" w:cs="宋体"/>
          <w:color w:val="auto"/>
          <w:kern w:val="0"/>
          <w:szCs w:val="32"/>
        </w:rPr>
        <w:t>以上的业务。</w:t>
      </w:r>
    </w:p>
    <w:p>
      <w:pPr>
        <w:adjustRightInd/>
        <w:snapToGrid/>
        <w:ind w:firstLine="640"/>
        <w:contextualSpacing/>
        <w:rPr>
          <w:rFonts w:ascii="仿宋" w:hAnsi="仿宋" w:eastAsia="仿宋"/>
          <w:szCs w:val="32"/>
        </w:rPr>
      </w:pPr>
      <w:r>
        <w:rPr>
          <w:rFonts w:hint="eastAsia" w:ascii="仿宋" w:hAnsi="仿宋" w:eastAsia="仿宋"/>
          <w:szCs w:val="32"/>
        </w:rPr>
        <w:t>（六）资产价值或者资产金额，以资产的账面价值、评估价值（如有）、交易价格（如有）或者公开市场价格（如有）中孰高者计算。</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第一百四十四条</w:t>
      </w:r>
      <w:r>
        <w:rPr>
          <w:rFonts w:ascii="仿宋" w:hAnsi="仿宋" w:eastAsia="仿宋"/>
          <w:szCs w:val="32"/>
        </w:rPr>
        <w:t xml:space="preserve"> </w:t>
      </w:r>
      <w:r>
        <w:rPr>
          <w:rFonts w:hint="eastAsia" w:ascii="仿宋" w:hAnsi="仿宋" w:eastAsia="仿宋"/>
          <w:szCs w:val="32"/>
        </w:rPr>
        <w:t>本指引所称董事、监事、高级管理人员、总经理、董事长、信息披露事务负责人，均包括履行同等职责的人员；所称董事会、监事会、股东（大）会，均包括实际履行相应职责的机构。</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第一百四十五条</w:t>
      </w:r>
      <w:r>
        <w:rPr>
          <w:rFonts w:ascii="仿宋" w:hAnsi="仿宋" w:eastAsia="仿宋"/>
          <w:szCs w:val="32"/>
        </w:rPr>
        <w:t xml:space="preserve"> </w:t>
      </w:r>
      <w:r>
        <w:rPr>
          <w:rFonts w:hint="eastAsia" w:ascii="仿宋" w:hAnsi="仿宋" w:eastAsia="仿宋"/>
          <w:szCs w:val="32"/>
        </w:rPr>
        <w:t>本指引涉及的财务指标数值为负值的，取其绝对值计算。</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第一百四十六条</w:t>
      </w:r>
      <w:r>
        <w:rPr>
          <w:rFonts w:ascii="仿宋" w:hAnsi="仿宋" w:eastAsia="仿宋"/>
          <w:szCs w:val="32"/>
        </w:rPr>
        <w:t xml:space="preserve"> </w:t>
      </w:r>
      <w:r>
        <w:rPr>
          <w:rFonts w:hint="eastAsia" w:ascii="仿宋" w:hAnsi="仿宋" w:eastAsia="仿宋"/>
          <w:szCs w:val="32"/>
        </w:rPr>
        <w:t>信息披露义务人及其相关人员违反本指引的，本所按照《深圳证券交易所公司债券上市规则》和《深圳证券交易所非公开发行公司债券挂牌规则》等相关规定对其采取自律监管措施或者纪律处分。</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第一百四十七条</w:t>
      </w:r>
      <w:r>
        <w:rPr>
          <w:rFonts w:ascii="仿宋" w:hAnsi="仿宋" w:eastAsia="仿宋"/>
          <w:b/>
          <w:bCs/>
          <w:szCs w:val="32"/>
        </w:rPr>
        <w:t xml:space="preserve"> </w:t>
      </w:r>
      <w:r>
        <w:rPr>
          <w:rFonts w:hint="eastAsia" w:ascii="仿宋" w:hAnsi="仿宋" w:eastAsia="仿宋"/>
          <w:szCs w:val="32"/>
        </w:rPr>
        <w:t>本指引由本所负责解释。</w:t>
      </w:r>
    </w:p>
    <w:p>
      <w:pPr>
        <w:numPr>
          <w:ilvl w:val="255"/>
          <w:numId w:val="0"/>
        </w:numPr>
        <w:adjustRightInd/>
        <w:snapToGrid/>
        <w:ind w:firstLine="643"/>
        <w:contextualSpacing/>
        <w:rPr>
          <w:rFonts w:ascii="仿宋" w:hAnsi="仿宋" w:eastAsia="仿宋"/>
          <w:szCs w:val="32"/>
        </w:rPr>
      </w:pPr>
      <w:r>
        <w:rPr>
          <w:rFonts w:hint="eastAsia" w:ascii="仿宋" w:hAnsi="仿宋" w:eastAsia="仿宋"/>
          <w:b/>
          <w:bCs/>
          <w:szCs w:val="32"/>
        </w:rPr>
        <w:t>第一百四十八条</w:t>
      </w:r>
      <w:r>
        <w:rPr>
          <w:rFonts w:ascii="仿宋" w:hAnsi="仿宋" w:eastAsia="仿宋"/>
          <w:szCs w:val="32"/>
        </w:rPr>
        <w:t xml:space="preserve"> </w:t>
      </w:r>
      <w:r>
        <w:rPr>
          <w:rFonts w:hint="eastAsia" w:ascii="仿宋" w:hAnsi="仿宋" w:eastAsia="仿宋"/>
          <w:szCs w:val="32"/>
        </w:rPr>
        <w:t>本指引自发布之日起施行。本所于</w:t>
      </w:r>
      <w:r>
        <w:rPr>
          <w:rFonts w:ascii="仿宋" w:hAnsi="仿宋" w:eastAsia="仿宋"/>
          <w:szCs w:val="32"/>
        </w:rPr>
        <w:t>2023</w:t>
      </w:r>
      <w:r>
        <w:rPr>
          <w:rFonts w:hint="eastAsia" w:ascii="仿宋" w:hAnsi="仿宋" w:eastAsia="仿宋"/>
          <w:szCs w:val="32"/>
        </w:rPr>
        <w:t>年５月</w:t>
      </w:r>
      <w:r>
        <w:rPr>
          <w:rFonts w:ascii="仿宋" w:hAnsi="仿宋" w:eastAsia="仿宋"/>
          <w:szCs w:val="32"/>
        </w:rPr>
        <w:t>5</w:t>
      </w:r>
      <w:r>
        <w:rPr>
          <w:rFonts w:hint="eastAsia" w:ascii="仿宋" w:hAnsi="仿宋" w:eastAsia="仿宋"/>
          <w:szCs w:val="32"/>
        </w:rPr>
        <w:t>日发布的《深圳证券交易所公司债券存续期监管业务指引第</w:t>
      </w:r>
      <w:r>
        <w:rPr>
          <w:rFonts w:ascii="仿宋" w:hAnsi="仿宋" w:eastAsia="仿宋"/>
          <w:szCs w:val="32"/>
        </w:rPr>
        <w:t>2</w:t>
      </w:r>
      <w:r>
        <w:rPr>
          <w:rFonts w:hint="eastAsia" w:ascii="仿宋" w:hAnsi="仿宋" w:eastAsia="仿宋"/>
          <w:szCs w:val="32"/>
        </w:rPr>
        <w:t>号——临时报告》（深证上〔</w:t>
      </w:r>
      <w:r>
        <w:rPr>
          <w:rFonts w:ascii="仿宋" w:hAnsi="仿宋" w:eastAsia="仿宋"/>
          <w:szCs w:val="32"/>
        </w:rPr>
        <w:t>2023</w:t>
      </w:r>
      <w:r>
        <w:rPr>
          <w:rFonts w:hint="eastAsia" w:ascii="仿宋" w:hAnsi="仿宋" w:eastAsia="仿宋"/>
          <w:szCs w:val="32"/>
        </w:rPr>
        <w:t>〕</w:t>
      </w:r>
      <w:r>
        <w:rPr>
          <w:rFonts w:ascii="仿宋" w:hAnsi="仿宋" w:eastAsia="仿宋"/>
          <w:szCs w:val="32"/>
        </w:rPr>
        <w:t>380</w:t>
      </w:r>
      <w:r>
        <w:rPr>
          <w:rFonts w:hint="eastAsia" w:ascii="仿宋" w:hAnsi="仿宋" w:eastAsia="仿宋"/>
          <w:szCs w:val="32"/>
        </w:rPr>
        <w:t>号）同时废止。</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624" w:footer="992" w:gutter="0"/>
      <w:pgNumType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ind w:firstLine="0" w:firstLineChars="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684DA"/>
    <w:multiLevelType w:val="singleLevel"/>
    <w:tmpl w:val="F9C684DA"/>
    <w:lvl w:ilvl="0" w:tentative="0">
      <w:start w:val="1"/>
      <w:numFmt w:val="chineseCounting"/>
      <w:suff w:val="nothing"/>
      <w:lvlText w:val="（%1）"/>
      <w:lvlJc w:val="left"/>
      <w:rPr>
        <w:rFonts w:hint="eastAsia"/>
      </w:rPr>
    </w:lvl>
  </w:abstractNum>
  <w:abstractNum w:abstractNumId="1">
    <w:nsid w:val="13B665D0"/>
    <w:multiLevelType w:val="multilevel"/>
    <w:tmpl w:val="13B665D0"/>
    <w:lvl w:ilvl="0" w:tentative="0">
      <w:start w:val="1"/>
      <w:numFmt w:val="chineseCountingThousand"/>
      <w:lvlText w:val="第%1条"/>
      <w:lvlJc w:val="left"/>
      <w:pPr>
        <w:ind w:left="2405" w:hanging="420"/>
      </w:pPr>
      <w:rPr>
        <w:rFonts w:hint="eastAsia" w:ascii="仿宋" w:hAnsi="仿宋" w:eastAsia="仿宋"/>
        <w:b/>
        <w:i w:val="0"/>
        <w:caps w:val="0"/>
        <w:strike w:val="0"/>
        <w:dstrike w:val="0"/>
        <w:vanish w:val="0"/>
        <w:color w:val="auto"/>
        <w:sz w:val="32"/>
        <w:szCs w:val="28"/>
        <w:vertAlign w:val="baseline"/>
      </w:rPr>
    </w:lvl>
    <w:lvl w:ilvl="1" w:tentative="0">
      <w:start w:val="1"/>
      <w:numFmt w:val="lowerLetter"/>
      <w:lvlText w:val="%2)"/>
      <w:lvlJc w:val="left"/>
      <w:pPr>
        <w:ind w:left="2677" w:hanging="420"/>
      </w:pPr>
      <w:rPr>
        <w:rFonts w:hint="eastAsia"/>
      </w:rPr>
    </w:lvl>
    <w:lvl w:ilvl="2" w:tentative="0">
      <w:start w:val="1"/>
      <w:numFmt w:val="lowerRoman"/>
      <w:lvlText w:val="%3."/>
      <w:lvlJc w:val="right"/>
      <w:pPr>
        <w:ind w:left="3097" w:hanging="420"/>
      </w:pPr>
      <w:rPr>
        <w:rFonts w:hint="eastAsia"/>
      </w:rPr>
    </w:lvl>
    <w:lvl w:ilvl="3" w:tentative="0">
      <w:start w:val="1"/>
      <w:numFmt w:val="decimal"/>
      <w:lvlText w:val="%4."/>
      <w:lvlJc w:val="left"/>
      <w:pPr>
        <w:ind w:left="3517" w:hanging="420"/>
      </w:pPr>
      <w:rPr>
        <w:rFonts w:hint="eastAsia"/>
      </w:rPr>
    </w:lvl>
    <w:lvl w:ilvl="4" w:tentative="0">
      <w:start w:val="1"/>
      <w:numFmt w:val="lowerLetter"/>
      <w:lvlText w:val="%5)"/>
      <w:lvlJc w:val="left"/>
      <w:pPr>
        <w:ind w:left="3937" w:hanging="420"/>
      </w:pPr>
      <w:rPr>
        <w:rFonts w:hint="eastAsia"/>
      </w:rPr>
    </w:lvl>
    <w:lvl w:ilvl="5" w:tentative="0">
      <w:start w:val="1"/>
      <w:numFmt w:val="lowerRoman"/>
      <w:lvlText w:val="%6."/>
      <w:lvlJc w:val="right"/>
      <w:pPr>
        <w:ind w:left="4357" w:hanging="420"/>
      </w:pPr>
      <w:rPr>
        <w:rFonts w:hint="eastAsia"/>
      </w:rPr>
    </w:lvl>
    <w:lvl w:ilvl="6" w:tentative="0">
      <w:start w:val="1"/>
      <w:numFmt w:val="decimal"/>
      <w:lvlText w:val="%7."/>
      <w:lvlJc w:val="left"/>
      <w:pPr>
        <w:ind w:left="4777" w:hanging="420"/>
      </w:pPr>
      <w:rPr>
        <w:rFonts w:hint="eastAsia"/>
      </w:rPr>
    </w:lvl>
    <w:lvl w:ilvl="7" w:tentative="0">
      <w:start w:val="1"/>
      <w:numFmt w:val="lowerLetter"/>
      <w:lvlText w:val="%8)"/>
      <w:lvlJc w:val="left"/>
      <w:pPr>
        <w:ind w:left="5197" w:hanging="420"/>
      </w:pPr>
      <w:rPr>
        <w:rFonts w:hint="eastAsia"/>
      </w:rPr>
    </w:lvl>
    <w:lvl w:ilvl="8" w:tentative="0">
      <w:start w:val="1"/>
      <w:numFmt w:val="lowerRoman"/>
      <w:lvlText w:val="%9."/>
      <w:lvlJc w:val="right"/>
      <w:pPr>
        <w:ind w:left="5617" w:hanging="420"/>
      </w:pPr>
      <w:rPr>
        <w:rFonts w:hint="eastAsia"/>
      </w:rPr>
    </w:lvl>
  </w:abstractNum>
  <w:abstractNum w:abstractNumId="2">
    <w:nsid w:val="5EA656DE"/>
    <w:multiLevelType w:val="multilevel"/>
    <w:tmpl w:val="5EA656DE"/>
    <w:lvl w:ilvl="0" w:tentative="0">
      <w:start w:val="1"/>
      <w:numFmt w:val="japaneseCounting"/>
      <w:pStyle w:val="54"/>
      <w:lvlText w:val="第%1条"/>
      <w:lvlJc w:val="left"/>
      <w:pPr>
        <w:ind w:left="3045" w:hanging="420"/>
      </w:pPr>
      <w:rPr>
        <w:rFonts w:hint="eastAsia" w:ascii="仿宋_GB2312" w:eastAsia="仿宋_GB2312" w:cs="Times New Roman"/>
        <w:b/>
        <w:sz w:val="30"/>
        <w:szCs w:val="30"/>
      </w:rPr>
    </w:lvl>
    <w:lvl w:ilvl="1" w:tentative="0">
      <w:start w:val="1"/>
      <w:numFmt w:val="chineseCountingThousand"/>
      <w:lvlText w:val="第%2条"/>
      <w:lvlJc w:val="left"/>
      <w:pPr>
        <w:tabs>
          <w:tab w:val="left" w:pos="3856"/>
        </w:tabs>
        <w:ind w:left="1928" w:firstLine="567"/>
      </w:pPr>
      <w:rPr>
        <w:rFonts w:hint="eastAsia" w:ascii="仿宋_GB2312" w:eastAsia="仿宋_GB2312" w:cs="Times New Roman"/>
        <w:b w:val="0"/>
        <w:i w:val="0"/>
        <w:strike w:val="0"/>
        <w:dstrike w:val="0"/>
        <w:spacing w:val="0"/>
        <w:w w:val="100"/>
        <w:kern w:val="0"/>
        <w:position w:val="0"/>
        <w:sz w:val="32"/>
        <w:szCs w:val="32"/>
        <w:u w:val="none"/>
      </w:rPr>
    </w:lvl>
    <w:lvl w:ilvl="2" w:tentative="0">
      <w:start w:val="1"/>
      <w:numFmt w:val="decimal"/>
      <w:lvlText w:val="%3."/>
      <w:lvlJc w:val="left"/>
      <w:pPr>
        <w:tabs>
          <w:tab w:val="left" w:pos="3595"/>
        </w:tabs>
        <w:ind w:left="3595" w:hanging="360"/>
      </w:pPr>
      <w:rPr>
        <w:rFonts w:cs="Times New Roman"/>
      </w:rPr>
    </w:lvl>
    <w:lvl w:ilvl="3" w:tentative="0">
      <w:start w:val="1"/>
      <w:numFmt w:val="decimal"/>
      <w:lvlText w:val="%4."/>
      <w:lvlJc w:val="left"/>
      <w:pPr>
        <w:tabs>
          <w:tab w:val="left" w:pos="4315"/>
        </w:tabs>
        <w:ind w:left="4315" w:hanging="360"/>
      </w:pPr>
      <w:rPr>
        <w:rFonts w:cs="Times New Roman"/>
      </w:rPr>
    </w:lvl>
    <w:lvl w:ilvl="4" w:tentative="0">
      <w:start w:val="1"/>
      <w:numFmt w:val="decimal"/>
      <w:lvlText w:val="%5."/>
      <w:lvlJc w:val="left"/>
      <w:pPr>
        <w:tabs>
          <w:tab w:val="left" w:pos="5035"/>
        </w:tabs>
        <w:ind w:left="5035" w:hanging="360"/>
      </w:pPr>
      <w:rPr>
        <w:rFonts w:cs="Times New Roman"/>
      </w:rPr>
    </w:lvl>
    <w:lvl w:ilvl="5" w:tentative="0">
      <w:start w:val="1"/>
      <w:numFmt w:val="decimal"/>
      <w:lvlText w:val="%6."/>
      <w:lvlJc w:val="left"/>
      <w:pPr>
        <w:tabs>
          <w:tab w:val="left" w:pos="5755"/>
        </w:tabs>
        <w:ind w:left="5755" w:hanging="360"/>
      </w:pPr>
      <w:rPr>
        <w:rFonts w:cs="Times New Roman"/>
      </w:rPr>
    </w:lvl>
    <w:lvl w:ilvl="6" w:tentative="0">
      <w:start w:val="1"/>
      <w:numFmt w:val="decimal"/>
      <w:lvlText w:val="%7."/>
      <w:lvlJc w:val="left"/>
      <w:pPr>
        <w:tabs>
          <w:tab w:val="left" w:pos="6475"/>
        </w:tabs>
        <w:ind w:left="6475" w:hanging="360"/>
      </w:pPr>
      <w:rPr>
        <w:rFonts w:cs="Times New Roman"/>
      </w:rPr>
    </w:lvl>
    <w:lvl w:ilvl="7" w:tentative="0">
      <w:start w:val="1"/>
      <w:numFmt w:val="decimal"/>
      <w:lvlText w:val="%8."/>
      <w:lvlJc w:val="left"/>
      <w:pPr>
        <w:tabs>
          <w:tab w:val="left" w:pos="7195"/>
        </w:tabs>
        <w:ind w:left="7195" w:hanging="360"/>
      </w:pPr>
      <w:rPr>
        <w:rFonts w:cs="Times New Roman"/>
      </w:rPr>
    </w:lvl>
    <w:lvl w:ilvl="8" w:tentative="0">
      <w:start w:val="1"/>
      <w:numFmt w:val="decimal"/>
      <w:lvlText w:val="%9."/>
      <w:lvlJc w:val="left"/>
      <w:pPr>
        <w:tabs>
          <w:tab w:val="left" w:pos="7915"/>
        </w:tabs>
        <w:ind w:left="7915"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49"/>
    <w:rsid w:val="000008E3"/>
    <w:rsid w:val="00000DD4"/>
    <w:rsid w:val="00000F78"/>
    <w:rsid w:val="00003452"/>
    <w:rsid w:val="000039F6"/>
    <w:rsid w:val="0000419F"/>
    <w:rsid w:val="00004475"/>
    <w:rsid w:val="000051D8"/>
    <w:rsid w:val="0000527C"/>
    <w:rsid w:val="0000738C"/>
    <w:rsid w:val="00007AE5"/>
    <w:rsid w:val="000100B4"/>
    <w:rsid w:val="00010B40"/>
    <w:rsid w:val="000116A2"/>
    <w:rsid w:val="00011C93"/>
    <w:rsid w:val="00013635"/>
    <w:rsid w:val="00013F07"/>
    <w:rsid w:val="00015823"/>
    <w:rsid w:val="00016527"/>
    <w:rsid w:val="00017189"/>
    <w:rsid w:val="00022D7F"/>
    <w:rsid w:val="00023540"/>
    <w:rsid w:val="00023B56"/>
    <w:rsid w:val="00024099"/>
    <w:rsid w:val="0002496F"/>
    <w:rsid w:val="0002507F"/>
    <w:rsid w:val="00025181"/>
    <w:rsid w:val="00025440"/>
    <w:rsid w:val="00025829"/>
    <w:rsid w:val="000262EC"/>
    <w:rsid w:val="00026A97"/>
    <w:rsid w:val="00027134"/>
    <w:rsid w:val="000303DB"/>
    <w:rsid w:val="0003134E"/>
    <w:rsid w:val="00031A06"/>
    <w:rsid w:val="00031AC7"/>
    <w:rsid w:val="00034110"/>
    <w:rsid w:val="00034ACC"/>
    <w:rsid w:val="0003537C"/>
    <w:rsid w:val="00035A97"/>
    <w:rsid w:val="0003724B"/>
    <w:rsid w:val="000414CF"/>
    <w:rsid w:val="00042BAA"/>
    <w:rsid w:val="000436A2"/>
    <w:rsid w:val="00043BD0"/>
    <w:rsid w:val="00044195"/>
    <w:rsid w:val="00045F5E"/>
    <w:rsid w:val="00047D5D"/>
    <w:rsid w:val="00050091"/>
    <w:rsid w:val="00050C10"/>
    <w:rsid w:val="00051CA6"/>
    <w:rsid w:val="00052AD7"/>
    <w:rsid w:val="00052E09"/>
    <w:rsid w:val="00052E64"/>
    <w:rsid w:val="000534D8"/>
    <w:rsid w:val="00053803"/>
    <w:rsid w:val="00053F6A"/>
    <w:rsid w:val="000540F2"/>
    <w:rsid w:val="000551F8"/>
    <w:rsid w:val="00056FF0"/>
    <w:rsid w:val="000573B5"/>
    <w:rsid w:val="000626EB"/>
    <w:rsid w:val="000635DE"/>
    <w:rsid w:val="00063637"/>
    <w:rsid w:val="00064F0F"/>
    <w:rsid w:val="0006598D"/>
    <w:rsid w:val="000703FD"/>
    <w:rsid w:val="00072352"/>
    <w:rsid w:val="00073A09"/>
    <w:rsid w:val="00074E27"/>
    <w:rsid w:val="00074EF2"/>
    <w:rsid w:val="00077704"/>
    <w:rsid w:val="00077BAA"/>
    <w:rsid w:val="00080E90"/>
    <w:rsid w:val="00081478"/>
    <w:rsid w:val="00081604"/>
    <w:rsid w:val="000816C5"/>
    <w:rsid w:val="000818D5"/>
    <w:rsid w:val="00081959"/>
    <w:rsid w:val="00082C3F"/>
    <w:rsid w:val="00084C46"/>
    <w:rsid w:val="00085A72"/>
    <w:rsid w:val="00086F58"/>
    <w:rsid w:val="000875EB"/>
    <w:rsid w:val="00090182"/>
    <w:rsid w:val="0009070F"/>
    <w:rsid w:val="00090922"/>
    <w:rsid w:val="00090D9A"/>
    <w:rsid w:val="00091CD2"/>
    <w:rsid w:val="00092B69"/>
    <w:rsid w:val="00092CEC"/>
    <w:rsid w:val="00092DE3"/>
    <w:rsid w:val="00095043"/>
    <w:rsid w:val="00095CA6"/>
    <w:rsid w:val="0009632E"/>
    <w:rsid w:val="00096914"/>
    <w:rsid w:val="00096A5F"/>
    <w:rsid w:val="00097EC3"/>
    <w:rsid w:val="000A0041"/>
    <w:rsid w:val="000A0975"/>
    <w:rsid w:val="000A1C57"/>
    <w:rsid w:val="000A2832"/>
    <w:rsid w:val="000A295B"/>
    <w:rsid w:val="000A2B79"/>
    <w:rsid w:val="000A3D40"/>
    <w:rsid w:val="000A3F80"/>
    <w:rsid w:val="000A47DD"/>
    <w:rsid w:val="000A518D"/>
    <w:rsid w:val="000A629E"/>
    <w:rsid w:val="000A6E0D"/>
    <w:rsid w:val="000A7529"/>
    <w:rsid w:val="000A7A96"/>
    <w:rsid w:val="000B037E"/>
    <w:rsid w:val="000B1DE0"/>
    <w:rsid w:val="000B24B0"/>
    <w:rsid w:val="000B33A7"/>
    <w:rsid w:val="000B523A"/>
    <w:rsid w:val="000B57D4"/>
    <w:rsid w:val="000B61EB"/>
    <w:rsid w:val="000B6A31"/>
    <w:rsid w:val="000B7917"/>
    <w:rsid w:val="000B7D82"/>
    <w:rsid w:val="000B7FE0"/>
    <w:rsid w:val="000C0D37"/>
    <w:rsid w:val="000C163C"/>
    <w:rsid w:val="000C1AEC"/>
    <w:rsid w:val="000C238D"/>
    <w:rsid w:val="000C2AED"/>
    <w:rsid w:val="000C4177"/>
    <w:rsid w:val="000C6529"/>
    <w:rsid w:val="000C6810"/>
    <w:rsid w:val="000C7F2E"/>
    <w:rsid w:val="000D18A2"/>
    <w:rsid w:val="000D302C"/>
    <w:rsid w:val="000D4425"/>
    <w:rsid w:val="000D5422"/>
    <w:rsid w:val="000D5C24"/>
    <w:rsid w:val="000D5EF6"/>
    <w:rsid w:val="000D77F4"/>
    <w:rsid w:val="000E0532"/>
    <w:rsid w:val="000E1218"/>
    <w:rsid w:val="000E1EFE"/>
    <w:rsid w:val="000E3911"/>
    <w:rsid w:val="000E3DA8"/>
    <w:rsid w:val="000E441D"/>
    <w:rsid w:val="000E44EC"/>
    <w:rsid w:val="000E4664"/>
    <w:rsid w:val="000E6551"/>
    <w:rsid w:val="000E6A13"/>
    <w:rsid w:val="000E745D"/>
    <w:rsid w:val="000E7BB2"/>
    <w:rsid w:val="000E7F24"/>
    <w:rsid w:val="000F08B7"/>
    <w:rsid w:val="000F18C7"/>
    <w:rsid w:val="000F2D30"/>
    <w:rsid w:val="000F2DDD"/>
    <w:rsid w:val="000F3635"/>
    <w:rsid w:val="000F4366"/>
    <w:rsid w:val="000F5B80"/>
    <w:rsid w:val="000F5F79"/>
    <w:rsid w:val="000F74E2"/>
    <w:rsid w:val="000F7B5A"/>
    <w:rsid w:val="000F7EC9"/>
    <w:rsid w:val="00101C43"/>
    <w:rsid w:val="0010217D"/>
    <w:rsid w:val="00104FCE"/>
    <w:rsid w:val="00106F1B"/>
    <w:rsid w:val="00107933"/>
    <w:rsid w:val="00110041"/>
    <w:rsid w:val="00110566"/>
    <w:rsid w:val="00113897"/>
    <w:rsid w:val="00114793"/>
    <w:rsid w:val="00114EF4"/>
    <w:rsid w:val="00115879"/>
    <w:rsid w:val="00115CEF"/>
    <w:rsid w:val="00116654"/>
    <w:rsid w:val="00116904"/>
    <w:rsid w:val="00116BBF"/>
    <w:rsid w:val="001175AD"/>
    <w:rsid w:val="00120B5F"/>
    <w:rsid w:val="00121874"/>
    <w:rsid w:val="001225AF"/>
    <w:rsid w:val="00123522"/>
    <w:rsid w:val="0012510E"/>
    <w:rsid w:val="00125622"/>
    <w:rsid w:val="00126051"/>
    <w:rsid w:val="00127C95"/>
    <w:rsid w:val="00130196"/>
    <w:rsid w:val="00130713"/>
    <w:rsid w:val="0013111D"/>
    <w:rsid w:val="00131740"/>
    <w:rsid w:val="0013261B"/>
    <w:rsid w:val="0013360B"/>
    <w:rsid w:val="00133700"/>
    <w:rsid w:val="00133B28"/>
    <w:rsid w:val="001342B9"/>
    <w:rsid w:val="001343C2"/>
    <w:rsid w:val="00134D85"/>
    <w:rsid w:val="00137237"/>
    <w:rsid w:val="00140930"/>
    <w:rsid w:val="00140F3C"/>
    <w:rsid w:val="00141468"/>
    <w:rsid w:val="001416E4"/>
    <w:rsid w:val="00141F94"/>
    <w:rsid w:val="0014295E"/>
    <w:rsid w:val="00143FD9"/>
    <w:rsid w:val="00144555"/>
    <w:rsid w:val="001453B1"/>
    <w:rsid w:val="00146F93"/>
    <w:rsid w:val="001474F4"/>
    <w:rsid w:val="0015070E"/>
    <w:rsid w:val="001516A4"/>
    <w:rsid w:val="00153FE7"/>
    <w:rsid w:val="0015508F"/>
    <w:rsid w:val="00161C77"/>
    <w:rsid w:val="001631F1"/>
    <w:rsid w:val="001644BE"/>
    <w:rsid w:val="00164AA0"/>
    <w:rsid w:val="0016627F"/>
    <w:rsid w:val="001664E5"/>
    <w:rsid w:val="00166F25"/>
    <w:rsid w:val="00170BE1"/>
    <w:rsid w:val="00171E55"/>
    <w:rsid w:val="00171F94"/>
    <w:rsid w:val="00173374"/>
    <w:rsid w:val="00174203"/>
    <w:rsid w:val="0017640B"/>
    <w:rsid w:val="00176782"/>
    <w:rsid w:val="00180ED3"/>
    <w:rsid w:val="001814C2"/>
    <w:rsid w:val="001821E0"/>
    <w:rsid w:val="001846AC"/>
    <w:rsid w:val="00184C04"/>
    <w:rsid w:val="0018511B"/>
    <w:rsid w:val="00187B7E"/>
    <w:rsid w:val="00187C15"/>
    <w:rsid w:val="00190A93"/>
    <w:rsid w:val="0019103F"/>
    <w:rsid w:val="001931D1"/>
    <w:rsid w:val="00193599"/>
    <w:rsid w:val="00196025"/>
    <w:rsid w:val="001963B5"/>
    <w:rsid w:val="00197EB1"/>
    <w:rsid w:val="001A03DE"/>
    <w:rsid w:val="001A2CCE"/>
    <w:rsid w:val="001A2D93"/>
    <w:rsid w:val="001A3282"/>
    <w:rsid w:val="001A48B0"/>
    <w:rsid w:val="001A4940"/>
    <w:rsid w:val="001A4B6A"/>
    <w:rsid w:val="001A4FA0"/>
    <w:rsid w:val="001A515A"/>
    <w:rsid w:val="001A662F"/>
    <w:rsid w:val="001A6C5B"/>
    <w:rsid w:val="001A7F82"/>
    <w:rsid w:val="001B0B72"/>
    <w:rsid w:val="001B3944"/>
    <w:rsid w:val="001B6667"/>
    <w:rsid w:val="001B6E01"/>
    <w:rsid w:val="001B6F97"/>
    <w:rsid w:val="001B72AC"/>
    <w:rsid w:val="001B7EDA"/>
    <w:rsid w:val="001C0657"/>
    <w:rsid w:val="001C0A10"/>
    <w:rsid w:val="001C0F0E"/>
    <w:rsid w:val="001C192C"/>
    <w:rsid w:val="001C20AC"/>
    <w:rsid w:val="001C2FD3"/>
    <w:rsid w:val="001C3A89"/>
    <w:rsid w:val="001C3C35"/>
    <w:rsid w:val="001C4E4C"/>
    <w:rsid w:val="001C5473"/>
    <w:rsid w:val="001C5C90"/>
    <w:rsid w:val="001C5CD7"/>
    <w:rsid w:val="001C68B7"/>
    <w:rsid w:val="001C69CB"/>
    <w:rsid w:val="001C6A14"/>
    <w:rsid w:val="001C740B"/>
    <w:rsid w:val="001C7568"/>
    <w:rsid w:val="001C75DC"/>
    <w:rsid w:val="001D0501"/>
    <w:rsid w:val="001D0F46"/>
    <w:rsid w:val="001D14C4"/>
    <w:rsid w:val="001D1E0B"/>
    <w:rsid w:val="001D375A"/>
    <w:rsid w:val="001D379E"/>
    <w:rsid w:val="001D42A9"/>
    <w:rsid w:val="001D4530"/>
    <w:rsid w:val="001D52B1"/>
    <w:rsid w:val="001D5A31"/>
    <w:rsid w:val="001D5CA2"/>
    <w:rsid w:val="001D5DE4"/>
    <w:rsid w:val="001E026E"/>
    <w:rsid w:val="001E02E2"/>
    <w:rsid w:val="001E0686"/>
    <w:rsid w:val="001E1A22"/>
    <w:rsid w:val="001E3B86"/>
    <w:rsid w:val="001E3E04"/>
    <w:rsid w:val="001E5C08"/>
    <w:rsid w:val="001E7CF9"/>
    <w:rsid w:val="001F0E1B"/>
    <w:rsid w:val="001F285D"/>
    <w:rsid w:val="001F37AC"/>
    <w:rsid w:val="001F433A"/>
    <w:rsid w:val="001F5551"/>
    <w:rsid w:val="001F5E90"/>
    <w:rsid w:val="001F7A12"/>
    <w:rsid w:val="0020046B"/>
    <w:rsid w:val="0020128E"/>
    <w:rsid w:val="00202447"/>
    <w:rsid w:val="00203E25"/>
    <w:rsid w:val="00204EFE"/>
    <w:rsid w:val="002051F1"/>
    <w:rsid w:val="0020677E"/>
    <w:rsid w:val="002068E1"/>
    <w:rsid w:val="00207C36"/>
    <w:rsid w:val="00210836"/>
    <w:rsid w:val="002126BE"/>
    <w:rsid w:val="00212EBA"/>
    <w:rsid w:val="00214A3F"/>
    <w:rsid w:val="002157EB"/>
    <w:rsid w:val="002158AB"/>
    <w:rsid w:val="002208EE"/>
    <w:rsid w:val="00220AB4"/>
    <w:rsid w:val="00220C8F"/>
    <w:rsid w:val="0022108B"/>
    <w:rsid w:val="0022353C"/>
    <w:rsid w:val="002236E7"/>
    <w:rsid w:val="0022502A"/>
    <w:rsid w:val="00227AD3"/>
    <w:rsid w:val="00227F18"/>
    <w:rsid w:val="00231786"/>
    <w:rsid w:val="002358F2"/>
    <w:rsid w:val="00235A4B"/>
    <w:rsid w:val="00235ACE"/>
    <w:rsid w:val="00236F25"/>
    <w:rsid w:val="0023788E"/>
    <w:rsid w:val="00240802"/>
    <w:rsid w:val="002430A6"/>
    <w:rsid w:val="002431E1"/>
    <w:rsid w:val="00243817"/>
    <w:rsid w:val="00244522"/>
    <w:rsid w:val="002456CE"/>
    <w:rsid w:val="002470A1"/>
    <w:rsid w:val="00247760"/>
    <w:rsid w:val="00247799"/>
    <w:rsid w:val="0025006A"/>
    <w:rsid w:val="00250AD7"/>
    <w:rsid w:val="00251E60"/>
    <w:rsid w:val="00252662"/>
    <w:rsid w:val="00253446"/>
    <w:rsid w:val="00256052"/>
    <w:rsid w:val="002560B0"/>
    <w:rsid w:val="00256972"/>
    <w:rsid w:val="00257E53"/>
    <w:rsid w:val="00261185"/>
    <w:rsid w:val="00261267"/>
    <w:rsid w:val="0026229F"/>
    <w:rsid w:val="00262A65"/>
    <w:rsid w:val="00262D1D"/>
    <w:rsid w:val="00263085"/>
    <w:rsid w:val="00263788"/>
    <w:rsid w:val="00263FE6"/>
    <w:rsid w:val="00264DBB"/>
    <w:rsid w:val="002658DA"/>
    <w:rsid w:val="00267FC0"/>
    <w:rsid w:val="002700A8"/>
    <w:rsid w:val="00270CEE"/>
    <w:rsid w:val="002721D5"/>
    <w:rsid w:val="00272564"/>
    <w:rsid w:val="002735B4"/>
    <w:rsid w:val="00273A77"/>
    <w:rsid w:val="00273CB5"/>
    <w:rsid w:val="002744BF"/>
    <w:rsid w:val="00274629"/>
    <w:rsid w:val="00275AC7"/>
    <w:rsid w:val="00275D69"/>
    <w:rsid w:val="00277A89"/>
    <w:rsid w:val="00277EE6"/>
    <w:rsid w:val="00280001"/>
    <w:rsid w:val="00280E8B"/>
    <w:rsid w:val="0028212E"/>
    <w:rsid w:val="00282D35"/>
    <w:rsid w:val="00283038"/>
    <w:rsid w:val="00283FBA"/>
    <w:rsid w:val="00284797"/>
    <w:rsid w:val="00284CF5"/>
    <w:rsid w:val="002862FD"/>
    <w:rsid w:val="00287BD9"/>
    <w:rsid w:val="002919D4"/>
    <w:rsid w:val="002925DC"/>
    <w:rsid w:val="00293725"/>
    <w:rsid w:val="00296C0C"/>
    <w:rsid w:val="00297198"/>
    <w:rsid w:val="002977DB"/>
    <w:rsid w:val="0029780B"/>
    <w:rsid w:val="00297D29"/>
    <w:rsid w:val="00297FA5"/>
    <w:rsid w:val="002A2DCC"/>
    <w:rsid w:val="002A34C5"/>
    <w:rsid w:val="002A5432"/>
    <w:rsid w:val="002A5BB9"/>
    <w:rsid w:val="002A5FAC"/>
    <w:rsid w:val="002A7C1D"/>
    <w:rsid w:val="002A7C5F"/>
    <w:rsid w:val="002B01CC"/>
    <w:rsid w:val="002B1593"/>
    <w:rsid w:val="002B3B7E"/>
    <w:rsid w:val="002B4489"/>
    <w:rsid w:val="002B540E"/>
    <w:rsid w:val="002B590A"/>
    <w:rsid w:val="002B5BDD"/>
    <w:rsid w:val="002B6910"/>
    <w:rsid w:val="002B6C25"/>
    <w:rsid w:val="002B6D44"/>
    <w:rsid w:val="002B7A7B"/>
    <w:rsid w:val="002C047F"/>
    <w:rsid w:val="002C0E24"/>
    <w:rsid w:val="002C1CF1"/>
    <w:rsid w:val="002C1DFB"/>
    <w:rsid w:val="002C3FFF"/>
    <w:rsid w:val="002C4971"/>
    <w:rsid w:val="002C530E"/>
    <w:rsid w:val="002C5530"/>
    <w:rsid w:val="002C57C4"/>
    <w:rsid w:val="002C6F72"/>
    <w:rsid w:val="002C7994"/>
    <w:rsid w:val="002C7A02"/>
    <w:rsid w:val="002D0673"/>
    <w:rsid w:val="002D0824"/>
    <w:rsid w:val="002D0E08"/>
    <w:rsid w:val="002D1C5E"/>
    <w:rsid w:val="002D3792"/>
    <w:rsid w:val="002D3886"/>
    <w:rsid w:val="002D3B89"/>
    <w:rsid w:val="002D458D"/>
    <w:rsid w:val="002D4812"/>
    <w:rsid w:val="002D5167"/>
    <w:rsid w:val="002D53FB"/>
    <w:rsid w:val="002D55E1"/>
    <w:rsid w:val="002D5B18"/>
    <w:rsid w:val="002D6447"/>
    <w:rsid w:val="002D6B99"/>
    <w:rsid w:val="002D6F08"/>
    <w:rsid w:val="002D789C"/>
    <w:rsid w:val="002E00D4"/>
    <w:rsid w:val="002E0CFE"/>
    <w:rsid w:val="002E1568"/>
    <w:rsid w:val="002E1794"/>
    <w:rsid w:val="002E18F5"/>
    <w:rsid w:val="002E418A"/>
    <w:rsid w:val="002E41E7"/>
    <w:rsid w:val="002E45B3"/>
    <w:rsid w:val="002E55FE"/>
    <w:rsid w:val="002E5C28"/>
    <w:rsid w:val="002E62A6"/>
    <w:rsid w:val="002E64A5"/>
    <w:rsid w:val="002E71B8"/>
    <w:rsid w:val="002E74C1"/>
    <w:rsid w:val="002E7C3B"/>
    <w:rsid w:val="002E7F04"/>
    <w:rsid w:val="002F10BC"/>
    <w:rsid w:val="002F207A"/>
    <w:rsid w:val="002F3077"/>
    <w:rsid w:val="002F3659"/>
    <w:rsid w:val="002F3740"/>
    <w:rsid w:val="002F3E29"/>
    <w:rsid w:val="002F58FD"/>
    <w:rsid w:val="002F6B89"/>
    <w:rsid w:val="002F710E"/>
    <w:rsid w:val="002F779A"/>
    <w:rsid w:val="002F7897"/>
    <w:rsid w:val="0030116B"/>
    <w:rsid w:val="003015C3"/>
    <w:rsid w:val="00301AA0"/>
    <w:rsid w:val="003021BB"/>
    <w:rsid w:val="00303090"/>
    <w:rsid w:val="00303508"/>
    <w:rsid w:val="0030379F"/>
    <w:rsid w:val="00307F8E"/>
    <w:rsid w:val="003102F7"/>
    <w:rsid w:val="003111E9"/>
    <w:rsid w:val="00311755"/>
    <w:rsid w:val="0031176A"/>
    <w:rsid w:val="0031324F"/>
    <w:rsid w:val="003138DE"/>
    <w:rsid w:val="00313B99"/>
    <w:rsid w:val="00313DA3"/>
    <w:rsid w:val="003140D1"/>
    <w:rsid w:val="003154FF"/>
    <w:rsid w:val="0031554F"/>
    <w:rsid w:val="00316C86"/>
    <w:rsid w:val="0031726C"/>
    <w:rsid w:val="00317378"/>
    <w:rsid w:val="003213D0"/>
    <w:rsid w:val="00321C8C"/>
    <w:rsid w:val="00322085"/>
    <w:rsid w:val="00323438"/>
    <w:rsid w:val="00324170"/>
    <w:rsid w:val="00324F76"/>
    <w:rsid w:val="0032502C"/>
    <w:rsid w:val="00326F2A"/>
    <w:rsid w:val="003302B9"/>
    <w:rsid w:val="00331321"/>
    <w:rsid w:val="00331E9E"/>
    <w:rsid w:val="00332456"/>
    <w:rsid w:val="003326D9"/>
    <w:rsid w:val="00332B91"/>
    <w:rsid w:val="003345E9"/>
    <w:rsid w:val="003355D3"/>
    <w:rsid w:val="00336A3B"/>
    <w:rsid w:val="00337B68"/>
    <w:rsid w:val="00340840"/>
    <w:rsid w:val="00340AC4"/>
    <w:rsid w:val="0034177F"/>
    <w:rsid w:val="00342E24"/>
    <w:rsid w:val="00343C4E"/>
    <w:rsid w:val="00344B97"/>
    <w:rsid w:val="00345034"/>
    <w:rsid w:val="00345E45"/>
    <w:rsid w:val="00347606"/>
    <w:rsid w:val="00347957"/>
    <w:rsid w:val="0035055C"/>
    <w:rsid w:val="003508B8"/>
    <w:rsid w:val="00350F6B"/>
    <w:rsid w:val="00351085"/>
    <w:rsid w:val="00351F1A"/>
    <w:rsid w:val="00352684"/>
    <w:rsid w:val="00353D3F"/>
    <w:rsid w:val="00355980"/>
    <w:rsid w:val="00356E0A"/>
    <w:rsid w:val="0036091B"/>
    <w:rsid w:val="0036110B"/>
    <w:rsid w:val="00366528"/>
    <w:rsid w:val="003705FD"/>
    <w:rsid w:val="00371956"/>
    <w:rsid w:val="00374826"/>
    <w:rsid w:val="00377026"/>
    <w:rsid w:val="0038013B"/>
    <w:rsid w:val="003811E9"/>
    <w:rsid w:val="00383F5D"/>
    <w:rsid w:val="00385C5F"/>
    <w:rsid w:val="00390094"/>
    <w:rsid w:val="003901CE"/>
    <w:rsid w:val="003915ED"/>
    <w:rsid w:val="0039258A"/>
    <w:rsid w:val="00395B6E"/>
    <w:rsid w:val="00396075"/>
    <w:rsid w:val="00396722"/>
    <w:rsid w:val="00396B8A"/>
    <w:rsid w:val="00397B58"/>
    <w:rsid w:val="003A0980"/>
    <w:rsid w:val="003A0C25"/>
    <w:rsid w:val="003A1806"/>
    <w:rsid w:val="003A20A6"/>
    <w:rsid w:val="003A26DA"/>
    <w:rsid w:val="003A2808"/>
    <w:rsid w:val="003A3203"/>
    <w:rsid w:val="003B086B"/>
    <w:rsid w:val="003B0F0D"/>
    <w:rsid w:val="003B1457"/>
    <w:rsid w:val="003B18BF"/>
    <w:rsid w:val="003B2B5A"/>
    <w:rsid w:val="003B42B0"/>
    <w:rsid w:val="003B4AAE"/>
    <w:rsid w:val="003B5634"/>
    <w:rsid w:val="003B70F2"/>
    <w:rsid w:val="003C05B1"/>
    <w:rsid w:val="003C0B2F"/>
    <w:rsid w:val="003C1C60"/>
    <w:rsid w:val="003C693B"/>
    <w:rsid w:val="003D01F5"/>
    <w:rsid w:val="003D04C7"/>
    <w:rsid w:val="003D2003"/>
    <w:rsid w:val="003D31C4"/>
    <w:rsid w:val="003D6E31"/>
    <w:rsid w:val="003E00A3"/>
    <w:rsid w:val="003E18D4"/>
    <w:rsid w:val="003E2DFF"/>
    <w:rsid w:val="003E3A05"/>
    <w:rsid w:val="003E7316"/>
    <w:rsid w:val="003E754C"/>
    <w:rsid w:val="003E75C8"/>
    <w:rsid w:val="003E7B55"/>
    <w:rsid w:val="003F10B1"/>
    <w:rsid w:val="003F1646"/>
    <w:rsid w:val="003F2A11"/>
    <w:rsid w:val="003F32C2"/>
    <w:rsid w:val="003F500E"/>
    <w:rsid w:val="003F5560"/>
    <w:rsid w:val="003F69BB"/>
    <w:rsid w:val="003F7344"/>
    <w:rsid w:val="00401219"/>
    <w:rsid w:val="00402226"/>
    <w:rsid w:val="00402FB3"/>
    <w:rsid w:val="00403DC7"/>
    <w:rsid w:val="00404D9B"/>
    <w:rsid w:val="00405176"/>
    <w:rsid w:val="004056CB"/>
    <w:rsid w:val="00405FEB"/>
    <w:rsid w:val="00407DD2"/>
    <w:rsid w:val="004100AB"/>
    <w:rsid w:val="00410301"/>
    <w:rsid w:val="0041092F"/>
    <w:rsid w:val="00410CB9"/>
    <w:rsid w:val="00411383"/>
    <w:rsid w:val="004114FE"/>
    <w:rsid w:val="00411CE9"/>
    <w:rsid w:val="004125FA"/>
    <w:rsid w:val="00414161"/>
    <w:rsid w:val="00414670"/>
    <w:rsid w:val="00415E94"/>
    <w:rsid w:val="00416011"/>
    <w:rsid w:val="0042059C"/>
    <w:rsid w:val="00422DCE"/>
    <w:rsid w:val="00427084"/>
    <w:rsid w:val="00427322"/>
    <w:rsid w:val="00427696"/>
    <w:rsid w:val="00427B81"/>
    <w:rsid w:val="004308C1"/>
    <w:rsid w:val="00431264"/>
    <w:rsid w:val="00431785"/>
    <w:rsid w:val="0043194E"/>
    <w:rsid w:val="00431E71"/>
    <w:rsid w:val="004322A3"/>
    <w:rsid w:val="00432BB1"/>
    <w:rsid w:val="00434C67"/>
    <w:rsid w:val="00434DA1"/>
    <w:rsid w:val="00434FA6"/>
    <w:rsid w:val="00436869"/>
    <w:rsid w:val="00437E8E"/>
    <w:rsid w:val="00442196"/>
    <w:rsid w:val="00442EA6"/>
    <w:rsid w:val="00443949"/>
    <w:rsid w:val="004451C3"/>
    <w:rsid w:val="00445908"/>
    <w:rsid w:val="004461B5"/>
    <w:rsid w:val="004471BC"/>
    <w:rsid w:val="00450F0F"/>
    <w:rsid w:val="00451A73"/>
    <w:rsid w:val="00452A90"/>
    <w:rsid w:val="00453CD9"/>
    <w:rsid w:val="00455CC3"/>
    <w:rsid w:val="00455EC9"/>
    <w:rsid w:val="00455EF2"/>
    <w:rsid w:val="004563E2"/>
    <w:rsid w:val="00456A1B"/>
    <w:rsid w:val="004570F7"/>
    <w:rsid w:val="004606EF"/>
    <w:rsid w:val="0046088F"/>
    <w:rsid w:val="00461717"/>
    <w:rsid w:val="00461898"/>
    <w:rsid w:val="0046258F"/>
    <w:rsid w:val="00464278"/>
    <w:rsid w:val="004658F4"/>
    <w:rsid w:val="00465A07"/>
    <w:rsid w:val="00472E56"/>
    <w:rsid w:val="004747AF"/>
    <w:rsid w:val="00474816"/>
    <w:rsid w:val="00474FE0"/>
    <w:rsid w:val="00475885"/>
    <w:rsid w:val="00480B9B"/>
    <w:rsid w:val="00480CEC"/>
    <w:rsid w:val="00482F4C"/>
    <w:rsid w:val="004837E7"/>
    <w:rsid w:val="00484257"/>
    <w:rsid w:val="00484E03"/>
    <w:rsid w:val="004853E8"/>
    <w:rsid w:val="0048597E"/>
    <w:rsid w:val="0048613D"/>
    <w:rsid w:val="00486E68"/>
    <w:rsid w:val="004912AD"/>
    <w:rsid w:val="0049224F"/>
    <w:rsid w:val="00492C4F"/>
    <w:rsid w:val="00493DBD"/>
    <w:rsid w:val="0049448B"/>
    <w:rsid w:val="004A0E93"/>
    <w:rsid w:val="004A1E49"/>
    <w:rsid w:val="004A2DBB"/>
    <w:rsid w:val="004A5BFF"/>
    <w:rsid w:val="004A5D0D"/>
    <w:rsid w:val="004A5D28"/>
    <w:rsid w:val="004A5E26"/>
    <w:rsid w:val="004B0147"/>
    <w:rsid w:val="004B019A"/>
    <w:rsid w:val="004B06BE"/>
    <w:rsid w:val="004B2A07"/>
    <w:rsid w:val="004B2FEC"/>
    <w:rsid w:val="004B4D0F"/>
    <w:rsid w:val="004B6581"/>
    <w:rsid w:val="004B769A"/>
    <w:rsid w:val="004C51D7"/>
    <w:rsid w:val="004C5DB1"/>
    <w:rsid w:val="004C615B"/>
    <w:rsid w:val="004C7923"/>
    <w:rsid w:val="004D0B70"/>
    <w:rsid w:val="004D0CC0"/>
    <w:rsid w:val="004D0D64"/>
    <w:rsid w:val="004D1A09"/>
    <w:rsid w:val="004D1AA3"/>
    <w:rsid w:val="004D3547"/>
    <w:rsid w:val="004D481E"/>
    <w:rsid w:val="004D4B78"/>
    <w:rsid w:val="004D5271"/>
    <w:rsid w:val="004D5D8D"/>
    <w:rsid w:val="004D68B1"/>
    <w:rsid w:val="004D6D7E"/>
    <w:rsid w:val="004D6F70"/>
    <w:rsid w:val="004D700A"/>
    <w:rsid w:val="004D73B9"/>
    <w:rsid w:val="004E1B47"/>
    <w:rsid w:val="004E28D7"/>
    <w:rsid w:val="004E41BD"/>
    <w:rsid w:val="004E7244"/>
    <w:rsid w:val="004F15CC"/>
    <w:rsid w:val="004F2C81"/>
    <w:rsid w:val="004F31FC"/>
    <w:rsid w:val="004F4370"/>
    <w:rsid w:val="004F5854"/>
    <w:rsid w:val="004F6435"/>
    <w:rsid w:val="004F67CB"/>
    <w:rsid w:val="004F750E"/>
    <w:rsid w:val="004F78F0"/>
    <w:rsid w:val="00501E2B"/>
    <w:rsid w:val="00504716"/>
    <w:rsid w:val="00504863"/>
    <w:rsid w:val="00504868"/>
    <w:rsid w:val="00506B1E"/>
    <w:rsid w:val="00506FEC"/>
    <w:rsid w:val="00507797"/>
    <w:rsid w:val="0051082C"/>
    <w:rsid w:val="0051163D"/>
    <w:rsid w:val="00511C35"/>
    <w:rsid w:val="00511D0B"/>
    <w:rsid w:val="005122F6"/>
    <w:rsid w:val="00512E27"/>
    <w:rsid w:val="0051421B"/>
    <w:rsid w:val="005155AC"/>
    <w:rsid w:val="005158D3"/>
    <w:rsid w:val="005159CF"/>
    <w:rsid w:val="00516088"/>
    <w:rsid w:val="00516D33"/>
    <w:rsid w:val="00516FE8"/>
    <w:rsid w:val="00517424"/>
    <w:rsid w:val="00517A45"/>
    <w:rsid w:val="00517C75"/>
    <w:rsid w:val="005203CD"/>
    <w:rsid w:val="0052050D"/>
    <w:rsid w:val="00521BA4"/>
    <w:rsid w:val="00521EF5"/>
    <w:rsid w:val="00524BFB"/>
    <w:rsid w:val="00525D07"/>
    <w:rsid w:val="00526E9C"/>
    <w:rsid w:val="005301A0"/>
    <w:rsid w:val="0053111E"/>
    <w:rsid w:val="00531AE4"/>
    <w:rsid w:val="005321F5"/>
    <w:rsid w:val="00532F7A"/>
    <w:rsid w:val="0053306A"/>
    <w:rsid w:val="00533458"/>
    <w:rsid w:val="00533C0D"/>
    <w:rsid w:val="00533CDD"/>
    <w:rsid w:val="00534037"/>
    <w:rsid w:val="005366D0"/>
    <w:rsid w:val="0053685C"/>
    <w:rsid w:val="005402D1"/>
    <w:rsid w:val="00540390"/>
    <w:rsid w:val="00540BA9"/>
    <w:rsid w:val="00542A62"/>
    <w:rsid w:val="00542B6A"/>
    <w:rsid w:val="0054329A"/>
    <w:rsid w:val="00544271"/>
    <w:rsid w:val="00545614"/>
    <w:rsid w:val="00546335"/>
    <w:rsid w:val="005501E4"/>
    <w:rsid w:val="00550A25"/>
    <w:rsid w:val="00552102"/>
    <w:rsid w:val="00552CD6"/>
    <w:rsid w:val="005544D8"/>
    <w:rsid w:val="00554714"/>
    <w:rsid w:val="00554BF0"/>
    <w:rsid w:val="005555F2"/>
    <w:rsid w:val="00556969"/>
    <w:rsid w:val="00556FEF"/>
    <w:rsid w:val="0055768A"/>
    <w:rsid w:val="00557B8D"/>
    <w:rsid w:val="005601C8"/>
    <w:rsid w:val="00561EE4"/>
    <w:rsid w:val="005629D9"/>
    <w:rsid w:val="00562C80"/>
    <w:rsid w:val="00564289"/>
    <w:rsid w:val="00565F40"/>
    <w:rsid w:val="00566DEB"/>
    <w:rsid w:val="00570064"/>
    <w:rsid w:val="00570291"/>
    <w:rsid w:val="0057207A"/>
    <w:rsid w:val="00572C16"/>
    <w:rsid w:val="00573543"/>
    <w:rsid w:val="00573BF1"/>
    <w:rsid w:val="00573EF3"/>
    <w:rsid w:val="005770AA"/>
    <w:rsid w:val="00577593"/>
    <w:rsid w:val="005804F1"/>
    <w:rsid w:val="0058094D"/>
    <w:rsid w:val="00580AEA"/>
    <w:rsid w:val="00581A99"/>
    <w:rsid w:val="005820F2"/>
    <w:rsid w:val="0058236D"/>
    <w:rsid w:val="005828A5"/>
    <w:rsid w:val="0058399E"/>
    <w:rsid w:val="00584D1E"/>
    <w:rsid w:val="005854BC"/>
    <w:rsid w:val="00585FD1"/>
    <w:rsid w:val="0058696B"/>
    <w:rsid w:val="00590159"/>
    <w:rsid w:val="0059017E"/>
    <w:rsid w:val="0059083B"/>
    <w:rsid w:val="00590BA4"/>
    <w:rsid w:val="00595B57"/>
    <w:rsid w:val="005A05A6"/>
    <w:rsid w:val="005A0E3C"/>
    <w:rsid w:val="005A126D"/>
    <w:rsid w:val="005A2532"/>
    <w:rsid w:val="005A271A"/>
    <w:rsid w:val="005A432B"/>
    <w:rsid w:val="005A6933"/>
    <w:rsid w:val="005A7B86"/>
    <w:rsid w:val="005B0F5F"/>
    <w:rsid w:val="005B1021"/>
    <w:rsid w:val="005B129B"/>
    <w:rsid w:val="005B1333"/>
    <w:rsid w:val="005B18F7"/>
    <w:rsid w:val="005B29C6"/>
    <w:rsid w:val="005B6141"/>
    <w:rsid w:val="005B65EF"/>
    <w:rsid w:val="005B697A"/>
    <w:rsid w:val="005C05BF"/>
    <w:rsid w:val="005C1E56"/>
    <w:rsid w:val="005C20A6"/>
    <w:rsid w:val="005C3E64"/>
    <w:rsid w:val="005C401D"/>
    <w:rsid w:val="005C4D0D"/>
    <w:rsid w:val="005C6EF2"/>
    <w:rsid w:val="005C70B5"/>
    <w:rsid w:val="005C783B"/>
    <w:rsid w:val="005D1357"/>
    <w:rsid w:val="005D1958"/>
    <w:rsid w:val="005D2A8B"/>
    <w:rsid w:val="005D2B01"/>
    <w:rsid w:val="005D3687"/>
    <w:rsid w:val="005D4FC0"/>
    <w:rsid w:val="005D67F5"/>
    <w:rsid w:val="005D6987"/>
    <w:rsid w:val="005D6C4E"/>
    <w:rsid w:val="005D7183"/>
    <w:rsid w:val="005D745D"/>
    <w:rsid w:val="005E07AB"/>
    <w:rsid w:val="005E08CC"/>
    <w:rsid w:val="005E2E86"/>
    <w:rsid w:val="005E3A0A"/>
    <w:rsid w:val="005E4ABC"/>
    <w:rsid w:val="005E4BFB"/>
    <w:rsid w:val="005E5C7A"/>
    <w:rsid w:val="005E5F97"/>
    <w:rsid w:val="005E69DF"/>
    <w:rsid w:val="005E6A16"/>
    <w:rsid w:val="005F2545"/>
    <w:rsid w:val="005F3C70"/>
    <w:rsid w:val="005F489A"/>
    <w:rsid w:val="005F4AD7"/>
    <w:rsid w:val="005F4CE7"/>
    <w:rsid w:val="005F670C"/>
    <w:rsid w:val="005F688D"/>
    <w:rsid w:val="005F69DF"/>
    <w:rsid w:val="005F6D2A"/>
    <w:rsid w:val="006004B4"/>
    <w:rsid w:val="00603B22"/>
    <w:rsid w:val="00604A0C"/>
    <w:rsid w:val="00606339"/>
    <w:rsid w:val="00607A4F"/>
    <w:rsid w:val="006101E3"/>
    <w:rsid w:val="006108EE"/>
    <w:rsid w:val="006117DD"/>
    <w:rsid w:val="00612EF2"/>
    <w:rsid w:val="00613BAA"/>
    <w:rsid w:val="00613C11"/>
    <w:rsid w:val="006146EC"/>
    <w:rsid w:val="00614BEE"/>
    <w:rsid w:val="00615637"/>
    <w:rsid w:val="00616A2E"/>
    <w:rsid w:val="006212E3"/>
    <w:rsid w:val="00621863"/>
    <w:rsid w:val="00622946"/>
    <w:rsid w:val="00624055"/>
    <w:rsid w:val="006240F1"/>
    <w:rsid w:val="00624157"/>
    <w:rsid w:val="00624309"/>
    <w:rsid w:val="006247E4"/>
    <w:rsid w:val="00624E45"/>
    <w:rsid w:val="00625D33"/>
    <w:rsid w:val="00625E4B"/>
    <w:rsid w:val="00625F61"/>
    <w:rsid w:val="0062676B"/>
    <w:rsid w:val="00626A96"/>
    <w:rsid w:val="00626FAF"/>
    <w:rsid w:val="00627F2A"/>
    <w:rsid w:val="0063138B"/>
    <w:rsid w:val="00631FF3"/>
    <w:rsid w:val="00632C1C"/>
    <w:rsid w:val="0063367C"/>
    <w:rsid w:val="00633B1A"/>
    <w:rsid w:val="0063449E"/>
    <w:rsid w:val="006349D0"/>
    <w:rsid w:val="00636C02"/>
    <w:rsid w:val="006421FE"/>
    <w:rsid w:val="00642A8D"/>
    <w:rsid w:val="00643930"/>
    <w:rsid w:val="006452C5"/>
    <w:rsid w:val="006456D3"/>
    <w:rsid w:val="006459A5"/>
    <w:rsid w:val="00645DBF"/>
    <w:rsid w:val="00645F0B"/>
    <w:rsid w:val="0064684E"/>
    <w:rsid w:val="00647614"/>
    <w:rsid w:val="00650259"/>
    <w:rsid w:val="006511B9"/>
    <w:rsid w:val="00652EC1"/>
    <w:rsid w:val="00653321"/>
    <w:rsid w:val="006533F0"/>
    <w:rsid w:val="0065387C"/>
    <w:rsid w:val="006544B2"/>
    <w:rsid w:val="00654BAD"/>
    <w:rsid w:val="0065562B"/>
    <w:rsid w:val="00655B7C"/>
    <w:rsid w:val="00655C97"/>
    <w:rsid w:val="00655E96"/>
    <w:rsid w:val="006561C8"/>
    <w:rsid w:val="0065708A"/>
    <w:rsid w:val="006571A0"/>
    <w:rsid w:val="00657E02"/>
    <w:rsid w:val="0066137E"/>
    <w:rsid w:val="00661E0E"/>
    <w:rsid w:val="00662CE6"/>
    <w:rsid w:val="00664631"/>
    <w:rsid w:val="0066513F"/>
    <w:rsid w:val="00666192"/>
    <w:rsid w:val="00666635"/>
    <w:rsid w:val="0066741C"/>
    <w:rsid w:val="00667689"/>
    <w:rsid w:val="006710B1"/>
    <w:rsid w:val="006714E6"/>
    <w:rsid w:val="00671E47"/>
    <w:rsid w:val="00672596"/>
    <w:rsid w:val="0067270B"/>
    <w:rsid w:val="0067328B"/>
    <w:rsid w:val="0067364E"/>
    <w:rsid w:val="00673680"/>
    <w:rsid w:val="0067368A"/>
    <w:rsid w:val="00673B7C"/>
    <w:rsid w:val="00673C9B"/>
    <w:rsid w:val="0067440C"/>
    <w:rsid w:val="006745A3"/>
    <w:rsid w:val="00674781"/>
    <w:rsid w:val="00675D67"/>
    <w:rsid w:val="00676000"/>
    <w:rsid w:val="00676271"/>
    <w:rsid w:val="006764F6"/>
    <w:rsid w:val="00676D00"/>
    <w:rsid w:val="00676FB5"/>
    <w:rsid w:val="006805E3"/>
    <w:rsid w:val="006826DF"/>
    <w:rsid w:val="00683A0E"/>
    <w:rsid w:val="0068408A"/>
    <w:rsid w:val="00684172"/>
    <w:rsid w:val="00685F21"/>
    <w:rsid w:val="006867FA"/>
    <w:rsid w:val="0069028B"/>
    <w:rsid w:val="006913BF"/>
    <w:rsid w:val="0069150B"/>
    <w:rsid w:val="00692AFD"/>
    <w:rsid w:val="00693AA2"/>
    <w:rsid w:val="00695117"/>
    <w:rsid w:val="00695FCA"/>
    <w:rsid w:val="006960FB"/>
    <w:rsid w:val="0069658D"/>
    <w:rsid w:val="00697F70"/>
    <w:rsid w:val="006A0033"/>
    <w:rsid w:val="006A0549"/>
    <w:rsid w:val="006A18AB"/>
    <w:rsid w:val="006A1B03"/>
    <w:rsid w:val="006A1B9E"/>
    <w:rsid w:val="006A2776"/>
    <w:rsid w:val="006A417A"/>
    <w:rsid w:val="006A7039"/>
    <w:rsid w:val="006A7BF4"/>
    <w:rsid w:val="006B0F36"/>
    <w:rsid w:val="006B20CA"/>
    <w:rsid w:val="006B39F5"/>
    <w:rsid w:val="006B41B9"/>
    <w:rsid w:val="006B4DC2"/>
    <w:rsid w:val="006B67EF"/>
    <w:rsid w:val="006B71B4"/>
    <w:rsid w:val="006C202E"/>
    <w:rsid w:val="006C237A"/>
    <w:rsid w:val="006C5DB5"/>
    <w:rsid w:val="006C6705"/>
    <w:rsid w:val="006C6BCE"/>
    <w:rsid w:val="006C708A"/>
    <w:rsid w:val="006D021D"/>
    <w:rsid w:val="006D254D"/>
    <w:rsid w:val="006D4F8C"/>
    <w:rsid w:val="006D5362"/>
    <w:rsid w:val="006D56E5"/>
    <w:rsid w:val="006E03AD"/>
    <w:rsid w:val="006E0BBB"/>
    <w:rsid w:val="006E1636"/>
    <w:rsid w:val="006E3B03"/>
    <w:rsid w:val="006E65D0"/>
    <w:rsid w:val="006E6FD1"/>
    <w:rsid w:val="006F1759"/>
    <w:rsid w:val="006F3715"/>
    <w:rsid w:val="006F483A"/>
    <w:rsid w:val="006F4878"/>
    <w:rsid w:val="006F4B3E"/>
    <w:rsid w:val="006F4C85"/>
    <w:rsid w:val="006F6245"/>
    <w:rsid w:val="006F77E2"/>
    <w:rsid w:val="007005FB"/>
    <w:rsid w:val="00700B22"/>
    <w:rsid w:val="007018D0"/>
    <w:rsid w:val="00701917"/>
    <w:rsid w:val="00701E23"/>
    <w:rsid w:val="007021D7"/>
    <w:rsid w:val="00702479"/>
    <w:rsid w:val="00702B39"/>
    <w:rsid w:val="00703670"/>
    <w:rsid w:val="0070400B"/>
    <w:rsid w:val="00704113"/>
    <w:rsid w:val="007046F7"/>
    <w:rsid w:val="00704E67"/>
    <w:rsid w:val="00705DCE"/>
    <w:rsid w:val="0070673E"/>
    <w:rsid w:val="00706AC3"/>
    <w:rsid w:val="00706F12"/>
    <w:rsid w:val="00710B1C"/>
    <w:rsid w:val="00710CFD"/>
    <w:rsid w:val="00712A96"/>
    <w:rsid w:val="00713964"/>
    <w:rsid w:val="00714D44"/>
    <w:rsid w:val="00715721"/>
    <w:rsid w:val="0071621B"/>
    <w:rsid w:val="007162D5"/>
    <w:rsid w:val="00716F3F"/>
    <w:rsid w:val="007172A1"/>
    <w:rsid w:val="00724768"/>
    <w:rsid w:val="007250A2"/>
    <w:rsid w:val="00726147"/>
    <w:rsid w:val="00727241"/>
    <w:rsid w:val="0073019E"/>
    <w:rsid w:val="007315D4"/>
    <w:rsid w:val="00733518"/>
    <w:rsid w:val="00734D55"/>
    <w:rsid w:val="00735722"/>
    <w:rsid w:val="00736690"/>
    <w:rsid w:val="00737107"/>
    <w:rsid w:val="00737829"/>
    <w:rsid w:val="007406B5"/>
    <w:rsid w:val="00740AC0"/>
    <w:rsid w:val="00741FE8"/>
    <w:rsid w:val="00744062"/>
    <w:rsid w:val="007452A4"/>
    <w:rsid w:val="00745F16"/>
    <w:rsid w:val="00746CA9"/>
    <w:rsid w:val="00747B6B"/>
    <w:rsid w:val="00751F3D"/>
    <w:rsid w:val="007529AF"/>
    <w:rsid w:val="00753232"/>
    <w:rsid w:val="00754D77"/>
    <w:rsid w:val="00754FE3"/>
    <w:rsid w:val="0075620C"/>
    <w:rsid w:val="0076067D"/>
    <w:rsid w:val="007608D0"/>
    <w:rsid w:val="00763580"/>
    <w:rsid w:val="00763BC0"/>
    <w:rsid w:val="00766541"/>
    <w:rsid w:val="00766A3F"/>
    <w:rsid w:val="0076724C"/>
    <w:rsid w:val="00770B41"/>
    <w:rsid w:val="00770C8F"/>
    <w:rsid w:val="00771D17"/>
    <w:rsid w:val="007726E7"/>
    <w:rsid w:val="0077280D"/>
    <w:rsid w:val="0077336D"/>
    <w:rsid w:val="00773776"/>
    <w:rsid w:val="00773CE3"/>
    <w:rsid w:val="00774F51"/>
    <w:rsid w:val="0077522B"/>
    <w:rsid w:val="00775FA6"/>
    <w:rsid w:val="0077790C"/>
    <w:rsid w:val="007803CF"/>
    <w:rsid w:val="00781752"/>
    <w:rsid w:val="007839EB"/>
    <w:rsid w:val="00784353"/>
    <w:rsid w:val="00785CBB"/>
    <w:rsid w:val="00786CF1"/>
    <w:rsid w:val="00787077"/>
    <w:rsid w:val="007870CA"/>
    <w:rsid w:val="00796BF3"/>
    <w:rsid w:val="007A1150"/>
    <w:rsid w:val="007A1417"/>
    <w:rsid w:val="007A424C"/>
    <w:rsid w:val="007A42B2"/>
    <w:rsid w:val="007A47B5"/>
    <w:rsid w:val="007A489A"/>
    <w:rsid w:val="007A544F"/>
    <w:rsid w:val="007A5A92"/>
    <w:rsid w:val="007A5C1D"/>
    <w:rsid w:val="007A5EB3"/>
    <w:rsid w:val="007A69EB"/>
    <w:rsid w:val="007A6C34"/>
    <w:rsid w:val="007B04BB"/>
    <w:rsid w:val="007B0B47"/>
    <w:rsid w:val="007B37C2"/>
    <w:rsid w:val="007B37D3"/>
    <w:rsid w:val="007B41B4"/>
    <w:rsid w:val="007B44F9"/>
    <w:rsid w:val="007B4E50"/>
    <w:rsid w:val="007B5228"/>
    <w:rsid w:val="007B5813"/>
    <w:rsid w:val="007B5B65"/>
    <w:rsid w:val="007B5F8E"/>
    <w:rsid w:val="007B6CF3"/>
    <w:rsid w:val="007C28E0"/>
    <w:rsid w:val="007C2F30"/>
    <w:rsid w:val="007C349F"/>
    <w:rsid w:val="007C38C3"/>
    <w:rsid w:val="007C533B"/>
    <w:rsid w:val="007C5D73"/>
    <w:rsid w:val="007C727A"/>
    <w:rsid w:val="007C737F"/>
    <w:rsid w:val="007C7A0B"/>
    <w:rsid w:val="007D38D2"/>
    <w:rsid w:val="007D3CFE"/>
    <w:rsid w:val="007D5DE7"/>
    <w:rsid w:val="007D631B"/>
    <w:rsid w:val="007D6CB0"/>
    <w:rsid w:val="007D6D3A"/>
    <w:rsid w:val="007D6F4C"/>
    <w:rsid w:val="007D7549"/>
    <w:rsid w:val="007E01C6"/>
    <w:rsid w:val="007E02D7"/>
    <w:rsid w:val="007E2161"/>
    <w:rsid w:val="007E5CC0"/>
    <w:rsid w:val="007E5ED2"/>
    <w:rsid w:val="007E609D"/>
    <w:rsid w:val="007E6237"/>
    <w:rsid w:val="007E62BA"/>
    <w:rsid w:val="007E79D3"/>
    <w:rsid w:val="007F0601"/>
    <w:rsid w:val="007F07B6"/>
    <w:rsid w:val="007F12D4"/>
    <w:rsid w:val="007F1841"/>
    <w:rsid w:val="007F18FB"/>
    <w:rsid w:val="007F1EAF"/>
    <w:rsid w:val="007F2CEF"/>
    <w:rsid w:val="007F38BD"/>
    <w:rsid w:val="007F436B"/>
    <w:rsid w:val="007F46D7"/>
    <w:rsid w:val="007F49FD"/>
    <w:rsid w:val="007F69C7"/>
    <w:rsid w:val="0080031F"/>
    <w:rsid w:val="00800CE8"/>
    <w:rsid w:val="00801802"/>
    <w:rsid w:val="008025CF"/>
    <w:rsid w:val="008036E1"/>
    <w:rsid w:val="00803BF8"/>
    <w:rsid w:val="00804E36"/>
    <w:rsid w:val="00805988"/>
    <w:rsid w:val="008060BA"/>
    <w:rsid w:val="0080622D"/>
    <w:rsid w:val="00806D15"/>
    <w:rsid w:val="00807C58"/>
    <w:rsid w:val="00810529"/>
    <w:rsid w:val="00811EFA"/>
    <w:rsid w:val="0081252C"/>
    <w:rsid w:val="00812719"/>
    <w:rsid w:val="00815426"/>
    <w:rsid w:val="0081634A"/>
    <w:rsid w:val="00817C57"/>
    <w:rsid w:val="00820A73"/>
    <w:rsid w:val="00820C3A"/>
    <w:rsid w:val="00821B48"/>
    <w:rsid w:val="008223D2"/>
    <w:rsid w:val="00823896"/>
    <w:rsid w:val="00823A5D"/>
    <w:rsid w:val="00824839"/>
    <w:rsid w:val="00824FA6"/>
    <w:rsid w:val="00825735"/>
    <w:rsid w:val="00825AD8"/>
    <w:rsid w:val="0082747F"/>
    <w:rsid w:val="00827E60"/>
    <w:rsid w:val="00830442"/>
    <w:rsid w:val="00830A78"/>
    <w:rsid w:val="00832665"/>
    <w:rsid w:val="008326C8"/>
    <w:rsid w:val="00833872"/>
    <w:rsid w:val="00833C6D"/>
    <w:rsid w:val="0083574A"/>
    <w:rsid w:val="00836B8B"/>
    <w:rsid w:val="008414D5"/>
    <w:rsid w:val="00841FB9"/>
    <w:rsid w:val="00842574"/>
    <w:rsid w:val="00844331"/>
    <w:rsid w:val="0084452B"/>
    <w:rsid w:val="00846A62"/>
    <w:rsid w:val="00846B50"/>
    <w:rsid w:val="00846F30"/>
    <w:rsid w:val="00847738"/>
    <w:rsid w:val="00847912"/>
    <w:rsid w:val="008517D0"/>
    <w:rsid w:val="00852EE9"/>
    <w:rsid w:val="00853DBC"/>
    <w:rsid w:val="00853E0A"/>
    <w:rsid w:val="00854121"/>
    <w:rsid w:val="00854B57"/>
    <w:rsid w:val="00855D08"/>
    <w:rsid w:val="00855D3B"/>
    <w:rsid w:val="00856F0B"/>
    <w:rsid w:val="0085703A"/>
    <w:rsid w:val="008571CC"/>
    <w:rsid w:val="00860112"/>
    <w:rsid w:val="0086044A"/>
    <w:rsid w:val="0086086C"/>
    <w:rsid w:val="008631F5"/>
    <w:rsid w:val="00863C8A"/>
    <w:rsid w:val="00863F03"/>
    <w:rsid w:val="008670B5"/>
    <w:rsid w:val="00867125"/>
    <w:rsid w:val="0086751E"/>
    <w:rsid w:val="00870853"/>
    <w:rsid w:val="008717F7"/>
    <w:rsid w:val="00873896"/>
    <w:rsid w:val="0087398B"/>
    <w:rsid w:val="00874286"/>
    <w:rsid w:val="00876467"/>
    <w:rsid w:val="00876979"/>
    <w:rsid w:val="0088259D"/>
    <w:rsid w:val="008834AA"/>
    <w:rsid w:val="008838EC"/>
    <w:rsid w:val="0088435F"/>
    <w:rsid w:val="00884763"/>
    <w:rsid w:val="00885279"/>
    <w:rsid w:val="00885ACD"/>
    <w:rsid w:val="00887402"/>
    <w:rsid w:val="00887FCD"/>
    <w:rsid w:val="00893CF5"/>
    <w:rsid w:val="00895047"/>
    <w:rsid w:val="00897813"/>
    <w:rsid w:val="008A03CF"/>
    <w:rsid w:val="008A139A"/>
    <w:rsid w:val="008A18CA"/>
    <w:rsid w:val="008A2099"/>
    <w:rsid w:val="008A3323"/>
    <w:rsid w:val="008A6AD9"/>
    <w:rsid w:val="008A70CF"/>
    <w:rsid w:val="008B007D"/>
    <w:rsid w:val="008B1262"/>
    <w:rsid w:val="008B1872"/>
    <w:rsid w:val="008B1F2C"/>
    <w:rsid w:val="008B2873"/>
    <w:rsid w:val="008B2C67"/>
    <w:rsid w:val="008B3AF2"/>
    <w:rsid w:val="008B3DCF"/>
    <w:rsid w:val="008B5DC0"/>
    <w:rsid w:val="008B6580"/>
    <w:rsid w:val="008B6BD5"/>
    <w:rsid w:val="008B6F8C"/>
    <w:rsid w:val="008B7D13"/>
    <w:rsid w:val="008C12EA"/>
    <w:rsid w:val="008C1D6E"/>
    <w:rsid w:val="008C2981"/>
    <w:rsid w:val="008C34B2"/>
    <w:rsid w:val="008C3909"/>
    <w:rsid w:val="008C3B12"/>
    <w:rsid w:val="008C4CB4"/>
    <w:rsid w:val="008C4FDE"/>
    <w:rsid w:val="008C54C2"/>
    <w:rsid w:val="008C561A"/>
    <w:rsid w:val="008C663A"/>
    <w:rsid w:val="008C746B"/>
    <w:rsid w:val="008D096C"/>
    <w:rsid w:val="008D0AC6"/>
    <w:rsid w:val="008D122A"/>
    <w:rsid w:val="008D4EA8"/>
    <w:rsid w:val="008E1903"/>
    <w:rsid w:val="008E3187"/>
    <w:rsid w:val="008E32DC"/>
    <w:rsid w:val="008E3C2E"/>
    <w:rsid w:val="008E414D"/>
    <w:rsid w:val="008E4DFF"/>
    <w:rsid w:val="008E51C0"/>
    <w:rsid w:val="008E56F9"/>
    <w:rsid w:val="008E6320"/>
    <w:rsid w:val="008E6A51"/>
    <w:rsid w:val="008F0B4B"/>
    <w:rsid w:val="008F1BDF"/>
    <w:rsid w:val="008F3DDA"/>
    <w:rsid w:val="008F44DC"/>
    <w:rsid w:val="008F47B3"/>
    <w:rsid w:val="008F4E91"/>
    <w:rsid w:val="008F620A"/>
    <w:rsid w:val="00900020"/>
    <w:rsid w:val="009000C5"/>
    <w:rsid w:val="00900394"/>
    <w:rsid w:val="0090105E"/>
    <w:rsid w:val="009010B5"/>
    <w:rsid w:val="0090276F"/>
    <w:rsid w:val="00903555"/>
    <w:rsid w:val="00903971"/>
    <w:rsid w:val="009040F0"/>
    <w:rsid w:val="00904FE1"/>
    <w:rsid w:val="0090560A"/>
    <w:rsid w:val="00906315"/>
    <w:rsid w:val="00910533"/>
    <w:rsid w:val="0091054F"/>
    <w:rsid w:val="00911653"/>
    <w:rsid w:val="00912102"/>
    <w:rsid w:val="0091310E"/>
    <w:rsid w:val="009179FC"/>
    <w:rsid w:val="00917CE7"/>
    <w:rsid w:val="00920CDD"/>
    <w:rsid w:val="00921841"/>
    <w:rsid w:val="00921FB6"/>
    <w:rsid w:val="00922313"/>
    <w:rsid w:val="009223CB"/>
    <w:rsid w:val="00922517"/>
    <w:rsid w:val="009226A8"/>
    <w:rsid w:val="009236CE"/>
    <w:rsid w:val="009236E4"/>
    <w:rsid w:val="00924E85"/>
    <w:rsid w:val="00927067"/>
    <w:rsid w:val="00927F5A"/>
    <w:rsid w:val="00930274"/>
    <w:rsid w:val="00930A10"/>
    <w:rsid w:val="009325C5"/>
    <w:rsid w:val="009327D3"/>
    <w:rsid w:val="009329DA"/>
    <w:rsid w:val="00932ADE"/>
    <w:rsid w:val="009346A6"/>
    <w:rsid w:val="009413B4"/>
    <w:rsid w:val="00943756"/>
    <w:rsid w:val="00943A8E"/>
    <w:rsid w:val="00943B3F"/>
    <w:rsid w:val="00945B75"/>
    <w:rsid w:val="00946348"/>
    <w:rsid w:val="00947A0E"/>
    <w:rsid w:val="0095091F"/>
    <w:rsid w:val="0095138C"/>
    <w:rsid w:val="00953553"/>
    <w:rsid w:val="009559F5"/>
    <w:rsid w:val="00955AF5"/>
    <w:rsid w:val="00956AF0"/>
    <w:rsid w:val="00961B60"/>
    <w:rsid w:val="009627E4"/>
    <w:rsid w:val="00962F5E"/>
    <w:rsid w:val="00963CE7"/>
    <w:rsid w:val="009644F5"/>
    <w:rsid w:val="009679CF"/>
    <w:rsid w:val="00970135"/>
    <w:rsid w:val="00970BE6"/>
    <w:rsid w:val="00971BE7"/>
    <w:rsid w:val="009722B0"/>
    <w:rsid w:val="00972B73"/>
    <w:rsid w:val="00973319"/>
    <w:rsid w:val="00976A11"/>
    <w:rsid w:val="00977017"/>
    <w:rsid w:val="0098054B"/>
    <w:rsid w:val="00980A6F"/>
    <w:rsid w:val="0098130E"/>
    <w:rsid w:val="00981D88"/>
    <w:rsid w:val="00983571"/>
    <w:rsid w:val="00986FE6"/>
    <w:rsid w:val="009903B8"/>
    <w:rsid w:val="00991BF3"/>
    <w:rsid w:val="0099372E"/>
    <w:rsid w:val="009939AB"/>
    <w:rsid w:val="00993A88"/>
    <w:rsid w:val="00994E35"/>
    <w:rsid w:val="0099583A"/>
    <w:rsid w:val="00996808"/>
    <w:rsid w:val="00997CB4"/>
    <w:rsid w:val="009A0519"/>
    <w:rsid w:val="009A3E08"/>
    <w:rsid w:val="009A4C5E"/>
    <w:rsid w:val="009A59EF"/>
    <w:rsid w:val="009A6A53"/>
    <w:rsid w:val="009A6F38"/>
    <w:rsid w:val="009A731C"/>
    <w:rsid w:val="009A7426"/>
    <w:rsid w:val="009B08E9"/>
    <w:rsid w:val="009B2271"/>
    <w:rsid w:val="009B22B2"/>
    <w:rsid w:val="009B2F17"/>
    <w:rsid w:val="009B3855"/>
    <w:rsid w:val="009B3A39"/>
    <w:rsid w:val="009C1145"/>
    <w:rsid w:val="009C1B77"/>
    <w:rsid w:val="009C23E5"/>
    <w:rsid w:val="009C3411"/>
    <w:rsid w:val="009C3421"/>
    <w:rsid w:val="009C34F3"/>
    <w:rsid w:val="009C491E"/>
    <w:rsid w:val="009C523A"/>
    <w:rsid w:val="009C5AA0"/>
    <w:rsid w:val="009C5C98"/>
    <w:rsid w:val="009C7CE0"/>
    <w:rsid w:val="009D15B5"/>
    <w:rsid w:val="009D15FF"/>
    <w:rsid w:val="009D3F12"/>
    <w:rsid w:val="009D50C3"/>
    <w:rsid w:val="009D6051"/>
    <w:rsid w:val="009D6DC7"/>
    <w:rsid w:val="009D6DEC"/>
    <w:rsid w:val="009D6F39"/>
    <w:rsid w:val="009E024F"/>
    <w:rsid w:val="009E0B7C"/>
    <w:rsid w:val="009E0DDC"/>
    <w:rsid w:val="009E13E4"/>
    <w:rsid w:val="009E2008"/>
    <w:rsid w:val="009E2A7D"/>
    <w:rsid w:val="009E2BC1"/>
    <w:rsid w:val="009E2CCF"/>
    <w:rsid w:val="009E3AE4"/>
    <w:rsid w:val="009E3E03"/>
    <w:rsid w:val="009E3E40"/>
    <w:rsid w:val="009E453F"/>
    <w:rsid w:val="009E6842"/>
    <w:rsid w:val="009E6DD9"/>
    <w:rsid w:val="009E6EB3"/>
    <w:rsid w:val="009E707D"/>
    <w:rsid w:val="009F1219"/>
    <w:rsid w:val="009F2131"/>
    <w:rsid w:val="009F26C2"/>
    <w:rsid w:val="009F3609"/>
    <w:rsid w:val="009F3898"/>
    <w:rsid w:val="009F485E"/>
    <w:rsid w:val="009F4B05"/>
    <w:rsid w:val="009F581A"/>
    <w:rsid w:val="009F65DA"/>
    <w:rsid w:val="009F70B0"/>
    <w:rsid w:val="00A0075D"/>
    <w:rsid w:val="00A010B2"/>
    <w:rsid w:val="00A011D3"/>
    <w:rsid w:val="00A0133F"/>
    <w:rsid w:val="00A01B2C"/>
    <w:rsid w:val="00A0272B"/>
    <w:rsid w:val="00A029C1"/>
    <w:rsid w:val="00A033D3"/>
    <w:rsid w:val="00A03D67"/>
    <w:rsid w:val="00A05F42"/>
    <w:rsid w:val="00A06D0D"/>
    <w:rsid w:val="00A06E37"/>
    <w:rsid w:val="00A06E6A"/>
    <w:rsid w:val="00A0781B"/>
    <w:rsid w:val="00A11343"/>
    <w:rsid w:val="00A12C1B"/>
    <w:rsid w:val="00A135BD"/>
    <w:rsid w:val="00A1479C"/>
    <w:rsid w:val="00A14C26"/>
    <w:rsid w:val="00A150E5"/>
    <w:rsid w:val="00A179C6"/>
    <w:rsid w:val="00A21744"/>
    <w:rsid w:val="00A222B8"/>
    <w:rsid w:val="00A22679"/>
    <w:rsid w:val="00A23479"/>
    <w:rsid w:val="00A247A6"/>
    <w:rsid w:val="00A2632E"/>
    <w:rsid w:val="00A266A7"/>
    <w:rsid w:val="00A30191"/>
    <w:rsid w:val="00A33226"/>
    <w:rsid w:val="00A335D5"/>
    <w:rsid w:val="00A33EAE"/>
    <w:rsid w:val="00A35F43"/>
    <w:rsid w:val="00A3739B"/>
    <w:rsid w:val="00A40025"/>
    <w:rsid w:val="00A41514"/>
    <w:rsid w:val="00A4196E"/>
    <w:rsid w:val="00A42D0A"/>
    <w:rsid w:val="00A4318B"/>
    <w:rsid w:val="00A43DEC"/>
    <w:rsid w:val="00A46BBF"/>
    <w:rsid w:val="00A470AA"/>
    <w:rsid w:val="00A4751D"/>
    <w:rsid w:val="00A47950"/>
    <w:rsid w:val="00A50E75"/>
    <w:rsid w:val="00A52700"/>
    <w:rsid w:val="00A528D2"/>
    <w:rsid w:val="00A530D3"/>
    <w:rsid w:val="00A53F1F"/>
    <w:rsid w:val="00A54202"/>
    <w:rsid w:val="00A5430D"/>
    <w:rsid w:val="00A54FE2"/>
    <w:rsid w:val="00A55747"/>
    <w:rsid w:val="00A55870"/>
    <w:rsid w:val="00A55A17"/>
    <w:rsid w:val="00A60B25"/>
    <w:rsid w:val="00A62B83"/>
    <w:rsid w:val="00A62E41"/>
    <w:rsid w:val="00A630B6"/>
    <w:rsid w:val="00A635AC"/>
    <w:rsid w:val="00A64114"/>
    <w:rsid w:val="00A659EE"/>
    <w:rsid w:val="00A65BD9"/>
    <w:rsid w:val="00A66E5F"/>
    <w:rsid w:val="00A727A1"/>
    <w:rsid w:val="00A74179"/>
    <w:rsid w:val="00A76632"/>
    <w:rsid w:val="00A76FBC"/>
    <w:rsid w:val="00A80763"/>
    <w:rsid w:val="00A82A4A"/>
    <w:rsid w:val="00A8448B"/>
    <w:rsid w:val="00A8543C"/>
    <w:rsid w:val="00A85A83"/>
    <w:rsid w:val="00A86152"/>
    <w:rsid w:val="00A872F5"/>
    <w:rsid w:val="00A87D27"/>
    <w:rsid w:val="00A90060"/>
    <w:rsid w:val="00A90135"/>
    <w:rsid w:val="00A905F8"/>
    <w:rsid w:val="00A90E57"/>
    <w:rsid w:val="00A916C9"/>
    <w:rsid w:val="00A927B0"/>
    <w:rsid w:val="00A933ED"/>
    <w:rsid w:val="00A93B7A"/>
    <w:rsid w:val="00A94397"/>
    <w:rsid w:val="00A94F9F"/>
    <w:rsid w:val="00A97538"/>
    <w:rsid w:val="00AA0568"/>
    <w:rsid w:val="00AA1227"/>
    <w:rsid w:val="00AA21A6"/>
    <w:rsid w:val="00AA2681"/>
    <w:rsid w:val="00AA2C4A"/>
    <w:rsid w:val="00AA3651"/>
    <w:rsid w:val="00AA3C57"/>
    <w:rsid w:val="00AA4124"/>
    <w:rsid w:val="00AA54F6"/>
    <w:rsid w:val="00AA5EE1"/>
    <w:rsid w:val="00AA6228"/>
    <w:rsid w:val="00AA6636"/>
    <w:rsid w:val="00AA7507"/>
    <w:rsid w:val="00AB0BB1"/>
    <w:rsid w:val="00AB0CDF"/>
    <w:rsid w:val="00AB13A1"/>
    <w:rsid w:val="00AB3B45"/>
    <w:rsid w:val="00AB3CFC"/>
    <w:rsid w:val="00AB467E"/>
    <w:rsid w:val="00AB46DD"/>
    <w:rsid w:val="00AB6BCF"/>
    <w:rsid w:val="00AB7420"/>
    <w:rsid w:val="00AC11B5"/>
    <w:rsid w:val="00AC1D1D"/>
    <w:rsid w:val="00AC1E58"/>
    <w:rsid w:val="00AC1EA6"/>
    <w:rsid w:val="00AC2C86"/>
    <w:rsid w:val="00AC5642"/>
    <w:rsid w:val="00AC5E1A"/>
    <w:rsid w:val="00AC6BC5"/>
    <w:rsid w:val="00AC7370"/>
    <w:rsid w:val="00AC7D2B"/>
    <w:rsid w:val="00AD0677"/>
    <w:rsid w:val="00AD1AD4"/>
    <w:rsid w:val="00AD24A7"/>
    <w:rsid w:val="00AD2B21"/>
    <w:rsid w:val="00AD3720"/>
    <w:rsid w:val="00AD54B2"/>
    <w:rsid w:val="00AD646E"/>
    <w:rsid w:val="00AE11EC"/>
    <w:rsid w:val="00AE1562"/>
    <w:rsid w:val="00AE1BBD"/>
    <w:rsid w:val="00AE2AD3"/>
    <w:rsid w:val="00AE2FFC"/>
    <w:rsid w:val="00AE3001"/>
    <w:rsid w:val="00AE3CC7"/>
    <w:rsid w:val="00AE4A25"/>
    <w:rsid w:val="00AE4B6D"/>
    <w:rsid w:val="00AE7267"/>
    <w:rsid w:val="00AE74FA"/>
    <w:rsid w:val="00AF0EF9"/>
    <w:rsid w:val="00AF0F77"/>
    <w:rsid w:val="00AF1EE7"/>
    <w:rsid w:val="00AF275F"/>
    <w:rsid w:val="00AF2EAA"/>
    <w:rsid w:val="00AF66A8"/>
    <w:rsid w:val="00AF788A"/>
    <w:rsid w:val="00AF7A4F"/>
    <w:rsid w:val="00B0109B"/>
    <w:rsid w:val="00B01FBF"/>
    <w:rsid w:val="00B021D9"/>
    <w:rsid w:val="00B02CDF"/>
    <w:rsid w:val="00B047BA"/>
    <w:rsid w:val="00B0734D"/>
    <w:rsid w:val="00B073B5"/>
    <w:rsid w:val="00B075E0"/>
    <w:rsid w:val="00B133A4"/>
    <w:rsid w:val="00B13795"/>
    <w:rsid w:val="00B13A30"/>
    <w:rsid w:val="00B16E56"/>
    <w:rsid w:val="00B200E9"/>
    <w:rsid w:val="00B2038B"/>
    <w:rsid w:val="00B204B8"/>
    <w:rsid w:val="00B2211A"/>
    <w:rsid w:val="00B22355"/>
    <w:rsid w:val="00B2307A"/>
    <w:rsid w:val="00B2360B"/>
    <w:rsid w:val="00B25741"/>
    <w:rsid w:val="00B30344"/>
    <w:rsid w:val="00B304A1"/>
    <w:rsid w:val="00B31638"/>
    <w:rsid w:val="00B32119"/>
    <w:rsid w:val="00B32E7D"/>
    <w:rsid w:val="00B342CC"/>
    <w:rsid w:val="00B3519D"/>
    <w:rsid w:val="00B361FB"/>
    <w:rsid w:val="00B36B96"/>
    <w:rsid w:val="00B371D2"/>
    <w:rsid w:val="00B40CA3"/>
    <w:rsid w:val="00B40E39"/>
    <w:rsid w:val="00B41629"/>
    <w:rsid w:val="00B451F8"/>
    <w:rsid w:val="00B45245"/>
    <w:rsid w:val="00B46BE8"/>
    <w:rsid w:val="00B47929"/>
    <w:rsid w:val="00B510A6"/>
    <w:rsid w:val="00B521C4"/>
    <w:rsid w:val="00B5227C"/>
    <w:rsid w:val="00B52E5C"/>
    <w:rsid w:val="00B5348D"/>
    <w:rsid w:val="00B537AA"/>
    <w:rsid w:val="00B55E20"/>
    <w:rsid w:val="00B55F1E"/>
    <w:rsid w:val="00B604EC"/>
    <w:rsid w:val="00B60F32"/>
    <w:rsid w:val="00B615CA"/>
    <w:rsid w:val="00B6356B"/>
    <w:rsid w:val="00B639BB"/>
    <w:rsid w:val="00B63A0A"/>
    <w:rsid w:val="00B640B1"/>
    <w:rsid w:val="00B64445"/>
    <w:rsid w:val="00B64512"/>
    <w:rsid w:val="00B6568F"/>
    <w:rsid w:val="00B70104"/>
    <w:rsid w:val="00B7483D"/>
    <w:rsid w:val="00B752F1"/>
    <w:rsid w:val="00B753F7"/>
    <w:rsid w:val="00B76FF6"/>
    <w:rsid w:val="00B775C1"/>
    <w:rsid w:val="00B77CBD"/>
    <w:rsid w:val="00B77FE7"/>
    <w:rsid w:val="00B838E9"/>
    <w:rsid w:val="00B865A5"/>
    <w:rsid w:val="00B87B01"/>
    <w:rsid w:val="00B902A5"/>
    <w:rsid w:val="00B9041C"/>
    <w:rsid w:val="00B91676"/>
    <w:rsid w:val="00B919F7"/>
    <w:rsid w:val="00B920E9"/>
    <w:rsid w:val="00B930C0"/>
    <w:rsid w:val="00B939D3"/>
    <w:rsid w:val="00B9455D"/>
    <w:rsid w:val="00B948E0"/>
    <w:rsid w:val="00B95AAD"/>
    <w:rsid w:val="00B95E4F"/>
    <w:rsid w:val="00BA11AF"/>
    <w:rsid w:val="00BA50D5"/>
    <w:rsid w:val="00BA6618"/>
    <w:rsid w:val="00BB15F6"/>
    <w:rsid w:val="00BB21EF"/>
    <w:rsid w:val="00BB2C3F"/>
    <w:rsid w:val="00BB3C73"/>
    <w:rsid w:val="00BB3CA0"/>
    <w:rsid w:val="00BB6377"/>
    <w:rsid w:val="00BB6525"/>
    <w:rsid w:val="00BB6FF9"/>
    <w:rsid w:val="00BB7AB8"/>
    <w:rsid w:val="00BB7CEE"/>
    <w:rsid w:val="00BC1286"/>
    <w:rsid w:val="00BC1F1B"/>
    <w:rsid w:val="00BC23C5"/>
    <w:rsid w:val="00BC318A"/>
    <w:rsid w:val="00BC3F6B"/>
    <w:rsid w:val="00BC5D4B"/>
    <w:rsid w:val="00BC7164"/>
    <w:rsid w:val="00BC74D4"/>
    <w:rsid w:val="00BD048D"/>
    <w:rsid w:val="00BD0C75"/>
    <w:rsid w:val="00BD0D58"/>
    <w:rsid w:val="00BD46AF"/>
    <w:rsid w:val="00BD4CA2"/>
    <w:rsid w:val="00BD573C"/>
    <w:rsid w:val="00BE1436"/>
    <w:rsid w:val="00BE2DD5"/>
    <w:rsid w:val="00BE49D1"/>
    <w:rsid w:val="00BE5507"/>
    <w:rsid w:val="00BE5730"/>
    <w:rsid w:val="00BE5F98"/>
    <w:rsid w:val="00BE63B3"/>
    <w:rsid w:val="00BE6A3F"/>
    <w:rsid w:val="00BE7294"/>
    <w:rsid w:val="00BF1F01"/>
    <w:rsid w:val="00BF316F"/>
    <w:rsid w:val="00BF454C"/>
    <w:rsid w:val="00BF4C8C"/>
    <w:rsid w:val="00BF4F8B"/>
    <w:rsid w:val="00BF5A7C"/>
    <w:rsid w:val="00BF6170"/>
    <w:rsid w:val="00BF7EE9"/>
    <w:rsid w:val="00C006E4"/>
    <w:rsid w:val="00C0107A"/>
    <w:rsid w:val="00C0118F"/>
    <w:rsid w:val="00C01E9F"/>
    <w:rsid w:val="00C02A40"/>
    <w:rsid w:val="00C03F45"/>
    <w:rsid w:val="00C03F74"/>
    <w:rsid w:val="00C03F90"/>
    <w:rsid w:val="00C064E9"/>
    <w:rsid w:val="00C07723"/>
    <w:rsid w:val="00C10F88"/>
    <w:rsid w:val="00C12197"/>
    <w:rsid w:val="00C12B15"/>
    <w:rsid w:val="00C13974"/>
    <w:rsid w:val="00C13E1A"/>
    <w:rsid w:val="00C157A4"/>
    <w:rsid w:val="00C16F5E"/>
    <w:rsid w:val="00C21BCA"/>
    <w:rsid w:val="00C22D71"/>
    <w:rsid w:val="00C25BB4"/>
    <w:rsid w:val="00C2643E"/>
    <w:rsid w:val="00C277FB"/>
    <w:rsid w:val="00C31C99"/>
    <w:rsid w:val="00C3332B"/>
    <w:rsid w:val="00C33A21"/>
    <w:rsid w:val="00C33C72"/>
    <w:rsid w:val="00C34664"/>
    <w:rsid w:val="00C346DE"/>
    <w:rsid w:val="00C34EA4"/>
    <w:rsid w:val="00C34EAD"/>
    <w:rsid w:val="00C3538A"/>
    <w:rsid w:val="00C36039"/>
    <w:rsid w:val="00C3670C"/>
    <w:rsid w:val="00C36E91"/>
    <w:rsid w:val="00C41859"/>
    <w:rsid w:val="00C44C40"/>
    <w:rsid w:val="00C45018"/>
    <w:rsid w:val="00C457E9"/>
    <w:rsid w:val="00C45C0E"/>
    <w:rsid w:val="00C45CD5"/>
    <w:rsid w:val="00C51A7A"/>
    <w:rsid w:val="00C52557"/>
    <w:rsid w:val="00C53ADA"/>
    <w:rsid w:val="00C55040"/>
    <w:rsid w:val="00C5664E"/>
    <w:rsid w:val="00C572C4"/>
    <w:rsid w:val="00C6088B"/>
    <w:rsid w:val="00C60A4C"/>
    <w:rsid w:val="00C61210"/>
    <w:rsid w:val="00C6151E"/>
    <w:rsid w:val="00C62B1E"/>
    <w:rsid w:val="00C67445"/>
    <w:rsid w:val="00C70199"/>
    <w:rsid w:val="00C7065E"/>
    <w:rsid w:val="00C70783"/>
    <w:rsid w:val="00C70D2F"/>
    <w:rsid w:val="00C71DED"/>
    <w:rsid w:val="00C72109"/>
    <w:rsid w:val="00C72911"/>
    <w:rsid w:val="00C745B9"/>
    <w:rsid w:val="00C747F8"/>
    <w:rsid w:val="00C74969"/>
    <w:rsid w:val="00C7500B"/>
    <w:rsid w:val="00C76140"/>
    <w:rsid w:val="00C763AC"/>
    <w:rsid w:val="00C76400"/>
    <w:rsid w:val="00C766E3"/>
    <w:rsid w:val="00C76C08"/>
    <w:rsid w:val="00C77846"/>
    <w:rsid w:val="00C80C83"/>
    <w:rsid w:val="00C810A9"/>
    <w:rsid w:val="00C81109"/>
    <w:rsid w:val="00C82F89"/>
    <w:rsid w:val="00C83418"/>
    <w:rsid w:val="00C8363A"/>
    <w:rsid w:val="00C85620"/>
    <w:rsid w:val="00C85E54"/>
    <w:rsid w:val="00C903BB"/>
    <w:rsid w:val="00C9106D"/>
    <w:rsid w:val="00C919D6"/>
    <w:rsid w:val="00C9250C"/>
    <w:rsid w:val="00C928FA"/>
    <w:rsid w:val="00C930A6"/>
    <w:rsid w:val="00C93354"/>
    <w:rsid w:val="00C93474"/>
    <w:rsid w:val="00C94409"/>
    <w:rsid w:val="00C94729"/>
    <w:rsid w:val="00C95BBE"/>
    <w:rsid w:val="00C97043"/>
    <w:rsid w:val="00CA04F9"/>
    <w:rsid w:val="00CA20A8"/>
    <w:rsid w:val="00CA2ABF"/>
    <w:rsid w:val="00CA405E"/>
    <w:rsid w:val="00CA4A13"/>
    <w:rsid w:val="00CA7FBF"/>
    <w:rsid w:val="00CB05CE"/>
    <w:rsid w:val="00CB07F9"/>
    <w:rsid w:val="00CB33E4"/>
    <w:rsid w:val="00CB360B"/>
    <w:rsid w:val="00CB36D7"/>
    <w:rsid w:val="00CB5209"/>
    <w:rsid w:val="00CB5406"/>
    <w:rsid w:val="00CB5794"/>
    <w:rsid w:val="00CB57C5"/>
    <w:rsid w:val="00CC0981"/>
    <w:rsid w:val="00CC13A7"/>
    <w:rsid w:val="00CC1D1A"/>
    <w:rsid w:val="00CC1F55"/>
    <w:rsid w:val="00CC34C1"/>
    <w:rsid w:val="00CC36EB"/>
    <w:rsid w:val="00CC377A"/>
    <w:rsid w:val="00CC43EA"/>
    <w:rsid w:val="00CC4458"/>
    <w:rsid w:val="00CC73ED"/>
    <w:rsid w:val="00CC76DA"/>
    <w:rsid w:val="00CC7D9D"/>
    <w:rsid w:val="00CC7FE8"/>
    <w:rsid w:val="00CD4017"/>
    <w:rsid w:val="00CD40C2"/>
    <w:rsid w:val="00CD4B1F"/>
    <w:rsid w:val="00CD4F91"/>
    <w:rsid w:val="00CD5032"/>
    <w:rsid w:val="00CD54C0"/>
    <w:rsid w:val="00CD7F87"/>
    <w:rsid w:val="00CE08F1"/>
    <w:rsid w:val="00CE0918"/>
    <w:rsid w:val="00CE0D3E"/>
    <w:rsid w:val="00CE0E60"/>
    <w:rsid w:val="00CE21D0"/>
    <w:rsid w:val="00CE3337"/>
    <w:rsid w:val="00CE3856"/>
    <w:rsid w:val="00CE3BC9"/>
    <w:rsid w:val="00CE3CDD"/>
    <w:rsid w:val="00CE44FA"/>
    <w:rsid w:val="00CE4804"/>
    <w:rsid w:val="00CE63A3"/>
    <w:rsid w:val="00CE663C"/>
    <w:rsid w:val="00CE6F65"/>
    <w:rsid w:val="00CF1FEE"/>
    <w:rsid w:val="00CF23B7"/>
    <w:rsid w:val="00CF282A"/>
    <w:rsid w:val="00CF2846"/>
    <w:rsid w:val="00CF329F"/>
    <w:rsid w:val="00CF5FF4"/>
    <w:rsid w:val="00CF61BF"/>
    <w:rsid w:val="00CF6DCF"/>
    <w:rsid w:val="00CF6F72"/>
    <w:rsid w:val="00D013B4"/>
    <w:rsid w:val="00D02112"/>
    <w:rsid w:val="00D03322"/>
    <w:rsid w:val="00D03CD1"/>
    <w:rsid w:val="00D03E3E"/>
    <w:rsid w:val="00D04D23"/>
    <w:rsid w:val="00D04D79"/>
    <w:rsid w:val="00D06B63"/>
    <w:rsid w:val="00D07838"/>
    <w:rsid w:val="00D12024"/>
    <w:rsid w:val="00D1473F"/>
    <w:rsid w:val="00D148C9"/>
    <w:rsid w:val="00D14EC7"/>
    <w:rsid w:val="00D159EC"/>
    <w:rsid w:val="00D166CE"/>
    <w:rsid w:val="00D16917"/>
    <w:rsid w:val="00D17239"/>
    <w:rsid w:val="00D17310"/>
    <w:rsid w:val="00D1753C"/>
    <w:rsid w:val="00D17803"/>
    <w:rsid w:val="00D179B6"/>
    <w:rsid w:val="00D20C01"/>
    <w:rsid w:val="00D20D31"/>
    <w:rsid w:val="00D21100"/>
    <w:rsid w:val="00D21AB2"/>
    <w:rsid w:val="00D22C9D"/>
    <w:rsid w:val="00D2320C"/>
    <w:rsid w:val="00D23690"/>
    <w:rsid w:val="00D26666"/>
    <w:rsid w:val="00D26DEA"/>
    <w:rsid w:val="00D27B99"/>
    <w:rsid w:val="00D27C18"/>
    <w:rsid w:val="00D27CA3"/>
    <w:rsid w:val="00D403B5"/>
    <w:rsid w:val="00D40D2D"/>
    <w:rsid w:val="00D428F5"/>
    <w:rsid w:val="00D43DBE"/>
    <w:rsid w:val="00D444BB"/>
    <w:rsid w:val="00D454AB"/>
    <w:rsid w:val="00D4560B"/>
    <w:rsid w:val="00D47BB6"/>
    <w:rsid w:val="00D501A7"/>
    <w:rsid w:val="00D50560"/>
    <w:rsid w:val="00D50586"/>
    <w:rsid w:val="00D53192"/>
    <w:rsid w:val="00D54A15"/>
    <w:rsid w:val="00D55996"/>
    <w:rsid w:val="00D5743A"/>
    <w:rsid w:val="00D57AD2"/>
    <w:rsid w:val="00D57EA7"/>
    <w:rsid w:val="00D60DF7"/>
    <w:rsid w:val="00D616DD"/>
    <w:rsid w:val="00D6213C"/>
    <w:rsid w:val="00D62754"/>
    <w:rsid w:val="00D62F6C"/>
    <w:rsid w:val="00D642C3"/>
    <w:rsid w:val="00D64A23"/>
    <w:rsid w:val="00D6563F"/>
    <w:rsid w:val="00D6600D"/>
    <w:rsid w:val="00D667DB"/>
    <w:rsid w:val="00D66DFA"/>
    <w:rsid w:val="00D67C7C"/>
    <w:rsid w:val="00D70034"/>
    <w:rsid w:val="00D70741"/>
    <w:rsid w:val="00D71422"/>
    <w:rsid w:val="00D71A39"/>
    <w:rsid w:val="00D73224"/>
    <w:rsid w:val="00D74BDC"/>
    <w:rsid w:val="00D7682E"/>
    <w:rsid w:val="00D775A6"/>
    <w:rsid w:val="00D77D04"/>
    <w:rsid w:val="00D8035E"/>
    <w:rsid w:val="00D82DA5"/>
    <w:rsid w:val="00D83BB5"/>
    <w:rsid w:val="00D850EE"/>
    <w:rsid w:val="00D864A3"/>
    <w:rsid w:val="00D87F11"/>
    <w:rsid w:val="00D9188F"/>
    <w:rsid w:val="00D92080"/>
    <w:rsid w:val="00D922EE"/>
    <w:rsid w:val="00D92EDC"/>
    <w:rsid w:val="00D93662"/>
    <w:rsid w:val="00D94210"/>
    <w:rsid w:val="00D94FF0"/>
    <w:rsid w:val="00D97B6D"/>
    <w:rsid w:val="00DA0B14"/>
    <w:rsid w:val="00DA1ADA"/>
    <w:rsid w:val="00DA3AC9"/>
    <w:rsid w:val="00DA43F9"/>
    <w:rsid w:val="00DA44DD"/>
    <w:rsid w:val="00DA62AA"/>
    <w:rsid w:val="00DA68E8"/>
    <w:rsid w:val="00DA6A5A"/>
    <w:rsid w:val="00DA6BC2"/>
    <w:rsid w:val="00DB0894"/>
    <w:rsid w:val="00DB2E05"/>
    <w:rsid w:val="00DB4A4F"/>
    <w:rsid w:val="00DB6B72"/>
    <w:rsid w:val="00DC0A65"/>
    <w:rsid w:val="00DC2CF6"/>
    <w:rsid w:val="00DC32AB"/>
    <w:rsid w:val="00DC4B4F"/>
    <w:rsid w:val="00DC586E"/>
    <w:rsid w:val="00DC645C"/>
    <w:rsid w:val="00DC79DB"/>
    <w:rsid w:val="00DD0529"/>
    <w:rsid w:val="00DD1D72"/>
    <w:rsid w:val="00DD3EA3"/>
    <w:rsid w:val="00DD3FF1"/>
    <w:rsid w:val="00DD5EC2"/>
    <w:rsid w:val="00DD6A97"/>
    <w:rsid w:val="00DD72BC"/>
    <w:rsid w:val="00DD735B"/>
    <w:rsid w:val="00DE1DD6"/>
    <w:rsid w:val="00DE2893"/>
    <w:rsid w:val="00DE4D0E"/>
    <w:rsid w:val="00DE6B04"/>
    <w:rsid w:val="00DE6F9D"/>
    <w:rsid w:val="00DE73BE"/>
    <w:rsid w:val="00DE7400"/>
    <w:rsid w:val="00DF0D4B"/>
    <w:rsid w:val="00DF13D0"/>
    <w:rsid w:val="00DF1918"/>
    <w:rsid w:val="00DF1E05"/>
    <w:rsid w:val="00DF2416"/>
    <w:rsid w:val="00DF355B"/>
    <w:rsid w:val="00DF377C"/>
    <w:rsid w:val="00DF4C09"/>
    <w:rsid w:val="00DF5E34"/>
    <w:rsid w:val="00DF6B98"/>
    <w:rsid w:val="00DF7CEE"/>
    <w:rsid w:val="00DF7D36"/>
    <w:rsid w:val="00E00049"/>
    <w:rsid w:val="00E00696"/>
    <w:rsid w:val="00E01479"/>
    <w:rsid w:val="00E014A9"/>
    <w:rsid w:val="00E03580"/>
    <w:rsid w:val="00E03E98"/>
    <w:rsid w:val="00E0488A"/>
    <w:rsid w:val="00E04A1E"/>
    <w:rsid w:val="00E04AE0"/>
    <w:rsid w:val="00E04E6D"/>
    <w:rsid w:val="00E05051"/>
    <w:rsid w:val="00E051C0"/>
    <w:rsid w:val="00E05A84"/>
    <w:rsid w:val="00E06057"/>
    <w:rsid w:val="00E06570"/>
    <w:rsid w:val="00E069EF"/>
    <w:rsid w:val="00E0721B"/>
    <w:rsid w:val="00E07512"/>
    <w:rsid w:val="00E1101C"/>
    <w:rsid w:val="00E1146E"/>
    <w:rsid w:val="00E1171F"/>
    <w:rsid w:val="00E11C54"/>
    <w:rsid w:val="00E13DA8"/>
    <w:rsid w:val="00E13F5D"/>
    <w:rsid w:val="00E159A9"/>
    <w:rsid w:val="00E159FD"/>
    <w:rsid w:val="00E15AA2"/>
    <w:rsid w:val="00E16353"/>
    <w:rsid w:val="00E16F91"/>
    <w:rsid w:val="00E17413"/>
    <w:rsid w:val="00E20574"/>
    <w:rsid w:val="00E20813"/>
    <w:rsid w:val="00E21C32"/>
    <w:rsid w:val="00E21D9A"/>
    <w:rsid w:val="00E22DB2"/>
    <w:rsid w:val="00E22FC8"/>
    <w:rsid w:val="00E24803"/>
    <w:rsid w:val="00E24D79"/>
    <w:rsid w:val="00E258A3"/>
    <w:rsid w:val="00E25AD2"/>
    <w:rsid w:val="00E336DD"/>
    <w:rsid w:val="00E340E9"/>
    <w:rsid w:val="00E34B44"/>
    <w:rsid w:val="00E35D54"/>
    <w:rsid w:val="00E36466"/>
    <w:rsid w:val="00E36AA1"/>
    <w:rsid w:val="00E37D95"/>
    <w:rsid w:val="00E4367E"/>
    <w:rsid w:val="00E44823"/>
    <w:rsid w:val="00E44CD4"/>
    <w:rsid w:val="00E455C3"/>
    <w:rsid w:val="00E50171"/>
    <w:rsid w:val="00E508BF"/>
    <w:rsid w:val="00E514EA"/>
    <w:rsid w:val="00E5214E"/>
    <w:rsid w:val="00E542AA"/>
    <w:rsid w:val="00E553A9"/>
    <w:rsid w:val="00E5762B"/>
    <w:rsid w:val="00E577A9"/>
    <w:rsid w:val="00E57CBA"/>
    <w:rsid w:val="00E63298"/>
    <w:rsid w:val="00E65885"/>
    <w:rsid w:val="00E6597B"/>
    <w:rsid w:val="00E71FBB"/>
    <w:rsid w:val="00E732B2"/>
    <w:rsid w:val="00E74C8E"/>
    <w:rsid w:val="00E759C7"/>
    <w:rsid w:val="00E8081A"/>
    <w:rsid w:val="00E81584"/>
    <w:rsid w:val="00E825F7"/>
    <w:rsid w:val="00E827B7"/>
    <w:rsid w:val="00E842E0"/>
    <w:rsid w:val="00E85C64"/>
    <w:rsid w:val="00E91DD2"/>
    <w:rsid w:val="00E926A9"/>
    <w:rsid w:val="00E92D75"/>
    <w:rsid w:val="00E937A8"/>
    <w:rsid w:val="00E93D0B"/>
    <w:rsid w:val="00E93D48"/>
    <w:rsid w:val="00E9668D"/>
    <w:rsid w:val="00E96851"/>
    <w:rsid w:val="00E96AB4"/>
    <w:rsid w:val="00E96B32"/>
    <w:rsid w:val="00E97F9C"/>
    <w:rsid w:val="00EA1E99"/>
    <w:rsid w:val="00EA2257"/>
    <w:rsid w:val="00EA2B77"/>
    <w:rsid w:val="00EA3EB9"/>
    <w:rsid w:val="00EA527B"/>
    <w:rsid w:val="00EA5408"/>
    <w:rsid w:val="00EA5BC3"/>
    <w:rsid w:val="00EA75CC"/>
    <w:rsid w:val="00EA7984"/>
    <w:rsid w:val="00EB181A"/>
    <w:rsid w:val="00EB2103"/>
    <w:rsid w:val="00EB3EB9"/>
    <w:rsid w:val="00EB3F27"/>
    <w:rsid w:val="00EB474A"/>
    <w:rsid w:val="00EB53A4"/>
    <w:rsid w:val="00EB5932"/>
    <w:rsid w:val="00EB67E5"/>
    <w:rsid w:val="00EC00A7"/>
    <w:rsid w:val="00EC1677"/>
    <w:rsid w:val="00EC2055"/>
    <w:rsid w:val="00EC35CD"/>
    <w:rsid w:val="00EC3B46"/>
    <w:rsid w:val="00EC4207"/>
    <w:rsid w:val="00EC4CE4"/>
    <w:rsid w:val="00EC5A6B"/>
    <w:rsid w:val="00EC5BA4"/>
    <w:rsid w:val="00EC61DC"/>
    <w:rsid w:val="00EC675A"/>
    <w:rsid w:val="00EC6A3C"/>
    <w:rsid w:val="00EC7291"/>
    <w:rsid w:val="00ED0D10"/>
    <w:rsid w:val="00ED1398"/>
    <w:rsid w:val="00ED2967"/>
    <w:rsid w:val="00ED3CE2"/>
    <w:rsid w:val="00ED5FA4"/>
    <w:rsid w:val="00ED62CD"/>
    <w:rsid w:val="00ED63DC"/>
    <w:rsid w:val="00ED66AC"/>
    <w:rsid w:val="00ED6AD9"/>
    <w:rsid w:val="00ED7682"/>
    <w:rsid w:val="00ED77CB"/>
    <w:rsid w:val="00ED7A31"/>
    <w:rsid w:val="00ED7F3C"/>
    <w:rsid w:val="00EE0147"/>
    <w:rsid w:val="00EE0F3A"/>
    <w:rsid w:val="00EE1479"/>
    <w:rsid w:val="00EE1954"/>
    <w:rsid w:val="00EE32A5"/>
    <w:rsid w:val="00EE3D8D"/>
    <w:rsid w:val="00EE430A"/>
    <w:rsid w:val="00EE6CBA"/>
    <w:rsid w:val="00EE72D4"/>
    <w:rsid w:val="00EE7A8E"/>
    <w:rsid w:val="00EF05C2"/>
    <w:rsid w:val="00EF093E"/>
    <w:rsid w:val="00EF1659"/>
    <w:rsid w:val="00EF1F12"/>
    <w:rsid w:val="00EF215B"/>
    <w:rsid w:val="00EF2251"/>
    <w:rsid w:val="00EF2931"/>
    <w:rsid w:val="00EF3208"/>
    <w:rsid w:val="00EF4052"/>
    <w:rsid w:val="00EF5AEA"/>
    <w:rsid w:val="00EF6EB6"/>
    <w:rsid w:val="00F00AFE"/>
    <w:rsid w:val="00F02E79"/>
    <w:rsid w:val="00F052A6"/>
    <w:rsid w:val="00F05B20"/>
    <w:rsid w:val="00F05FC6"/>
    <w:rsid w:val="00F0601A"/>
    <w:rsid w:val="00F06A69"/>
    <w:rsid w:val="00F06DDC"/>
    <w:rsid w:val="00F072FE"/>
    <w:rsid w:val="00F07630"/>
    <w:rsid w:val="00F07CC6"/>
    <w:rsid w:val="00F07CD6"/>
    <w:rsid w:val="00F10EBF"/>
    <w:rsid w:val="00F1133D"/>
    <w:rsid w:val="00F120A0"/>
    <w:rsid w:val="00F13D01"/>
    <w:rsid w:val="00F1421A"/>
    <w:rsid w:val="00F16639"/>
    <w:rsid w:val="00F173B5"/>
    <w:rsid w:val="00F17BC1"/>
    <w:rsid w:val="00F202B7"/>
    <w:rsid w:val="00F21BE8"/>
    <w:rsid w:val="00F23A33"/>
    <w:rsid w:val="00F24A2B"/>
    <w:rsid w:val="00F25E94"/>
    <w:rsid w:val="00F30F1B"/>
    <w:rsid w:val="00F32BC2"/>
    <w:rsid w:val="00F358CA"/>
    <w:rsid w:val="00F36179"/>
    <w:rsid w:val="00F36283"/>
    <w:rsid w:val="00F36A6A"/>
    <w:rsid w:val="00F37DD3"/>
    <w:rsid w:val="00F400E7"/>
    <w:rsid w:val="00F41A40"/>
    <w:rsid w:val="00F43898"/>
    <w:rsid w:val="00F44140"/>
    <w:rsid w:val="00F44898"/>
    <w:rsid w:val="00F45A1E"/>
    <w:rsid w:val="00F474D9"/>
    <w:rsid w:val="00F47EC9"/>
    <w:rsid w:val="00F5269A"/>
    <w:rsid w:val="00F52880"/>
    <w:rsid w:val="00F538E1"/>
    <w:rsid w:val="00F5393B"/>
    <w:rsid w:val="00F56F71"/>
    <w:rsid w:val="00F5755B"/>
    <w:rsid w:val="00F60D2A"/>
    <w:rsid w:val="00F6200E"/>
    <w:rsid w:val="00F62BBF"/>
    <w:rsid w:val="00F6363F"/>
    <w:rsid w:val="00F64814"/>
    <w:rsid w:val="00F6493A"/>
    <w:rsid w:val="00F64F88"/>
    <w:rsid w:val="00F65416"/>
    <w:rsid w:val="00F6579B"/>
    <w:rsid w:val="00F658F8"/>
    <w:rsid w:val="00F65AAE"/>
    <w:rsid w:val="00F67233"/>
    <w:rsid w:val="00F67765"/>
    <w:rsid w:val="00F70C0E"/>
    <w:rsid w:val="00F71409"/>
    <w:rsid w:val="00F71701"/>
    <w:rsid w:val="00F71F9F"/>
    <w:rsid w:val="00F71FB6"/>
    <w:rsid w:val="00F7272D"/>
    <w:rsid w:val="00F72A7A"/>
    <w:rsid w:val="00F737F6"/>
    <w:rsid w:val="00F73EC9"/>
    <w:rsid w:val="00F771A6"/>
    <w:rsid w:val="00F77904"/>
    <w:rsid w:val="00F818C7"/>
    <w:rsid w:val="00F8209E"/>
    <w:rsid w:val="00F83220"/>
    <w:rsid w:val="00F83A26"/>
    <w:rsid w:val="00F8557B"/>
    <w:rsid w:val="00F85BC8"/>
    <w:rsid w:val="00F90BB0"/>
    <w:rsid w:val="00F91634"/>
    <w:rsid w:val="00F92BAB"/>
    <w:rsid w:val="00F94272"/>
    <w:rsid w:val="00F948A3"/>
    <w:rsid w:val="00F95FFB"/>
    <w:rsid w:val="00F97A5D"/>
    <w:rsid w:val="00F97DC7"/>
    <w:rsid w:val="00FA0E5E"/>
    <w:rsid w:val="00FA0F3E"/>
    <w:rsid w:val="00FA1DB9"/>
    <w:rsid w:val="00FA2F63"/>
    <w:rsid w:val="00FA30DB"/>
    <w:rsid w:val="00FA3452"/>
    <w:rsid w:val="00FA3BE8"/>
    <w:rsid w:val="00FA4335"/>
    <w:rsid w:val="00FA5DCE"/>
    <w:rsid w:val="00FA6312"/>
    <w:rsid w:val="00FB0608"/>
    <w:rsid w:val="00FB0BCB"/>
    <w:rsid w:val="00FB2301"/>
    <w:rsid w:val="00FB2EB2"/>
    <w:rsid w:val="00FB4585"/>
    <w:rsid w:val="00FB5A76"/>
    <w:rsid w:val="00FB6034"/>
    <w:rsid w:val="00FB652D"/>
    <w:rsid w:val="00FB6823"/>
    <w:rsid w:val="00FC085A"/>
    <w:rsid w:val="00FC0C8A"/>
    <w:rsid w:val="00FC10E5"/>
    <w:rsid w:val="00FC11B5"/>
    <w:rsid w:val="00FC11DF"/>
    <w:rsid w:val="00FC4566"/>
    <w:rsid w:val="00FC5775"/>
    <w:rsid w:val="00FC5A43"/>
    <w:rsid w:val="00FC5E7E"/>
    <w:rsid w:val="00FC6D27"/>
    <w:rsid w:val="00FD2DDA"/>
    <w:rsid w:val="00FD34C7"/>
    <w:rsid w:val="00FD4329"/>
    <w:rsid w:val="00FD55C3"/>
    <w:rsid w:val="00FD56CF"/>
    <w:rsid w:val="00FD5D1D"/>
    <w:rsid w:val="00FD617F"/>
    <w:rsid w:val="00FD6B18"/>
    <w:rsid w:val="00FD6F51"/>
    <w:rsid w:val="00FD723A"/>
    <w:rsid w:val="00FE1202"/>
    <w:rsid w:val="00FE2252"/>
    <w:rsid w:val="00FE29D6"/>
    <w:rsid w:val="00FE3589"/>
    <w:rsid w:val="00FE46E2"/>
    <w:rsid w:val="00FF1568"/>
    <w:rsid w:val="00FF1B60"/>
    <w:rsid w:val="00FF1C1A"/>
    <w:rsid w:val="00FF33AE"/>
    <w:rsid w:val="00FF4286"/>
    <w:rsid w:val="00FF4C22"/>
    <w:rsid w:val="00FF5571"/>
    <w:rsid w:val="00FF672D"/>
    <w:rsid w:val="00FF7F43"/>
    <w:rsid w:val="02617871"/>
    <w:rsid w:val="02994914"/>
    <w:rsid w:val="03E52BE2"/>
    <w:rsid w:val="04F15F64"/>
    <w:rsid w:val="05BD7A72"/>
    <w:rsid w:val="07C62281"/>
    <w:rsid w:val="08067600"/>
    <w:rsid w:val="08763591"/>
    <w:rsid w:val="097D4E29"/>
    <w:rsid w:val="0AD4126F"/>
    <w:rsid w:val="0B083F80"/>
    <w:rsid w:val="0B603F37"/>
    <w:rsid w:val="0B7B2B4D"/>
    <w:rsid w:val="0BA47DAE"/>
    <w:rsid w:val="0BC35C62"/>
    <w:rsid w:val="0C6D4DE3"/>
    <w:rsid w:val="0C8B3C98"/>
    <w:rsid w:val="0EBB765F"/>
    <w:rsid w:val="0F6A5541"/>
    <w:rsid w:val="1093238D"/>
    <w:rsid w:val="10B7388A"/>
    <w:rsid w:val="116C151F"/>
    <w:rsid w:val="12E37567"/>
    <w:rsid w:val="13B8202B"/>
    <w:rsid w:val="14A03636"/>
    <w:rsid w:val="14C8788B"/>
    <w:rsid w:val="1618143E"/>
    <w:rsid w:val="17192B5A"/>
    <w:rsid w:val="18232526"/>
    <w:rsid w:val="189526A4"/>
    <w:rsid w:val="1A814A63"/>
    <w:rsid w:val="1A886C6B"/>
    <w:rsid w:val="1C313CC8"/>
    <w:rsid w:val="1C675E60"/>
    <w:rsid w:val="1C98557D"/>
    <w:rsid w:val="1F8232BD"/>
    <w:rsid w:val="20664C91"/>
    <w:rsid w:val="21166D8B"/>
    <w:rsid w:val="223C1E72"/>
    <w:rsid w:val="2408373A"/>
    <w:rsid w:val="2542072D"/>
    <w:rsid w:val="256C4E8D"/>
    <w:rsid w:val="258C155A"/>
    <w:rsid w:val="25B462FA"/>
    <w:rsid w:val="25CC52F1"/>
    <w:rsid w:val="26DE7D50"/>
    <w:rsid w:val="26FB2675"/>
    <w:rsid w:val="27206E12"/>
    <w:rsid w:val="27415848"/>
    <w:rsid w:val="289B3D5D"/>
    <w:rsid w:val="28A447A2"/>
    <w:rsid w:val="28FA7441"/>
    <w:rsid w:val="29974DB9"/>
    <w:rsid w:val="29D159CE"/>
    <w:rsid w:val="2AF074B0"/>
    <w:rsid w:val="2CC40BB6"/>
    <w:rsid w:val="2D8D0EE0"/>
    <w:rsid w:val="2DCE4DCF"/>
    <w:rsid w:val="2E182BDB"/>
    <w:rsid w:val="2F5F0721"/>
    <w:rsid w:val="2F870B60"/>
    <w:rsid w:val="306E2E82"/>
    <w:rsid w:val="312D3B04"/>
    <w:rsid w:val="31D41E04"/>
    <w:rsid w:val="32310A83"/>
    <w:rsid w:val="32425871"/>
    <w:rsid w:val="33187858"/>
    <w:rsid w:val="33CD1FB5"/>
    <w:rsid w:val="33E92823"/>
    <w:rsid w:val="35712A07"/>
    <w:rsid w:val="358703B8"/>
    <w:rsid w:val="35B63ECE"/>
    <w:rsid w:val="36196E57"/>
    <w:rsid w:val="36D83BE8"/>
    <w:rsid w:val="380F0AF2"/>
    <w:rsid w:val="39FB6AE9"/>
    <w:rsid w:val="3A106C14"/>
    <w:rsid w:val="3AA3648E"/>
    <w:rsid w:val="3C080FAA"/>
    <w:rsid w:val="3EF00F94"/>
    <w:rsid w:val="3FD67A49"/>
    <w:rsid w:val="40A8677B"/>
    <w:rsid w:val="450A7821"/>
    <w:rsid w:val="452B3D90"/>
    <w:rsid w:val="46070D0F"/>
    <w:rsid w:val="463A0DAE"/>
    <w:rsid w:val="466D4783"/>
    <w:rsid w:val="46BF7A58"/>
    <w:rsid w:val="470E2B61"/>
    <w:rsid w:val="478807B7"/>
    <w:rsid w:val="48B83A3E"/>
    <w:rsid w:val="490B2043"/>
    <w:rsid w:val="490D25EE"/>
    <w:rsid w:val="495F0B7E"/>
    <w:rsid w:val="4A733186"/>
    <w:rsid w:val="4AE80FE3"/>
    <w:rsid w:val="4B1519D8"/>
    <w:rsid w:val="4BDD0EA6"/>
    <w:rsid w:val="4D752F23"/>
    <w:rsid w:val="4D9930F3"/>
    <w:rsid w:val="4DC72ACB"/>
    <w:rsid w:val="50634C97"/>
    <w:rsid w:val="50AA7287"/>
    <w:rsid w:val="50B162DC"/>
    <w:rsid w:val="50E76D52"/>
    <w:rsid w:val="50EC1CC3"/>
    <w:rsid w:val="51EA2F34"/>
    <w:rsid w:val="526B069B"/>
    <w:rsid w:val="538D661B"/>
    <w:rsid w:val="539B5F7C"/>
    <w:rsid w:val="548C775C"/>
    <w:rsid w:val="554050F1"/>
    <w:rsid w:val="56FB0D72"/>
    <w:rsid w:val="58B41CC3"/>
    <w:rsid w:val="59A8490C"/>
    <w:rsid w:val="5A911CB4"/>
    <w:rsid w:val="5B9A1C83"/>
    <w:rsid w:val="5DFE6772"/>
    <w:rsid w:val="5E355374"/>
    <w:rsid w:val="60A14FAC"/>
    <w:rsid w:val="61977A88"/>
    <w:rsid w:val="61DF636B"/>
    <w:rsid w:val="624F488E"/>
    <w:rsid w:val="62E068AD"/>
    <w:rsid w:val="6356442E"/>
    <w:rsid w:val="64066FB3"/>
    <w:rsid w:val="64270C29"/>
    <w:rsid w:val="649945CF"/>
    <w:rsid w:val="64F21BA3"/>
    <w:rsid w:val="66381B1E"/>
    <w:rsid w:val="66924335"/>
    <w:rsid w:val="675B0F67"/>
    <w:rsid w:val="677B5301"/>
    <w:rsid w:val="67FA6E1E"/>
    <w:rsid w:val="687E2F2B"/>
    <w:rsid w:val="68CE2484"/>
    <w:rsid w:val="69106494"/>
    <w:rsid w:val="696D2CAE"/>
    <w:rsid w:val="69C5531F"/>
    <w:rsid w:val="69EB0B75"/>
    <w:rsid w:val="6C2C55AD"/>
    <w:rsid w:val="6C734132"/>
    <w:rsid w:val="6D1157C2"/>
    <w:rsid w:val="6D2E742A"/>
    <w:rsid w:val="6E0A5FEC"/>
    <w:rsid w:val="6F00032C"/>
    <w:rsid w:val="71432FEA"/>
    <w:rsid w:val="71883CC0"/>
    <w:rsid w:val="727A124E"/>
    <w:rsid w:val="74F56D25"/>
    <w:rsid w:val="752C540F"/>
    <w:rsid w:val="774A66AA"/>
    <w:rsid w:val="791A16DD"/>
    <w:rsid w:val="79541359"/>
    <w:rsid w:val="79F608FB"/>
    <w:rsid w:val="7A392CFD"/>
    <w:rsid w:val="7A787D99"/>
    <w:rsid w:val="7B6C778B"/>
    <w:rsid w:val="7CB16679"/>
    <w:rsid w:val="7CF16C60"/>
    <w:rsid w:val="7D11296E"/>
    <w:rsid w:val="7D4D3099"/>
    <w:rsid w:val="7F096B1C"/>
    <w:rsid w:val="7FF3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_GB2312" w:hAnsi="Times New Roman" w:cs="Times New Roman" w:eastAsiaTheme="minorEastAsia"/>
      <w:color w:val="000000"/>
      <w:kern w:val="2"/>
      <w:sz w:val="32"/>
      <w:szCs w:val="28"/>
      <w:lang w:val="en-US" w:eastAsia="zh-CN" w:bidi="ar-SA"/>
    </w:rPr>
  </w:style>
  <w:style w:type="paragraph" w:styleId="2">
    <w:name w:val="heading 1"/>
    <w:basedOn w:val="3"/>
    <w:next w:val="1"/>
    <w:link w:val="46"/>
    <w:qFormat/>
    <w:uiPriority w:val="9"/>
  </w:style>
  <w:style w:type="paragraph" w:styleId="4">
    <w:name w:val="heading 2"/>
    <w:basedOn w:val="1"/>
    <w:next w:val="1"/>
    <w:link w:val="36"/>
    <w:qFormat/>
    <w:uiPriority w:val="0"/>
    <w:pPr>
      <w:ind w:firstLine="0" w:firstLineChars="0"/>
      <w:jc w:val="center"/>
      <w:outlineLvl w:val="1"/>
    </w:pPr>
    <w:rPr>
      <w:sz w:val="30"/>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3">
    <w:name w:val="一级标题-指南一"/>
    <w:basedOn w:val="1"/>
    <w:link w:val="37"/>
    <w:qFormat/>
    <w:uiPriority w:val="0"/>
    <w:pPr>
      <w:ind w:firstLine="0" w:firstLineChars="0"/>
      <w:jc w:val="center"/>
      <w:outlineLvl w:val="0"/>
    </w:pPr>
    <w:rPr>
      <w:rFonts w:ascii="Times New Roman" w:eastAsia="黑体"/>
      <w:bCs/>
      <w:kern w:val="0"/>
    </w:rPr>
  </w:style>
  <w:style w:type="paragraph" w:styleId="5">
    <w:name w:val="Document Map"/>
    <w:basedOn w:val="1"/>
    <w:link w:val="26"/>
    <w:unhideWhenUsed/>
    <w:qFormat/>
    <w:uiPriority w:val="99"/>
    <w:rPr>
      <w:rFonts w:ascii="宋体" w:eastAsia="宋体"/>
      <w:kern w:val="0"/>
      <w:sz w:val="18"/>
      <w:szCs w:val="18"/>
    </w:rPr>
  </w:style>
  <w:style w:type="paragraph" w:styleId="6">
    <w:name w:val="annotation text"/>
    <w:basedOn w:val="1"/>
    <w:link w:val="45"/>
    <w:unhideWhenUsed/>
    <w:qFormat/>
    <w:uiPriority w:val="99"/>
    <w:pPr>
      <w:jc w:val="left"/>
    </w:pPr>
    <w:rPr>
      <w:kern w:val="0"/>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Date"/>
    <w:basedOn w:val="1"/>
    <w:next w:val="1"/>
    <w:link w:val="42"/>
    <w:unhideWhenUsed/>
    <w:qFormat/>
    <w:uiPriority w:val="99"/>
    <w:pPr>
      <w:ind w:left="100" w:leftChars="2500"/>
    </w:pPr>
  </w:style>
  <w:style w:type="paragraph" w:styleId="9">
    <w:name w:val="Balloon Text"/>
    <w:basedOn w:val="1"/>
    <w:link w:val="29"/>
    <w:unhideWhenUsed/>
    <w:qFormat/>
    <w:uiPriority w:val="99"/>
    <w:rPr>
      <w:kern w:val="0"/>
      <w:sz w:val="18"/>
      <w:szCs w:val="18"/>
    </w:rPr>
  </w:style>
  <w:style w:type="paragraph" w:styleId="10">
    <w:name w:val="footer"/>
    <w:basedOn w:val="1"/>
    <w:link w:val="38"/>
    <w:unhideWhenUsed/>
    <w:qFormat/>
    <w:uiPriority w:val="99"/>
    <w:pPr>
      <w:tabs>
        <w:tab w:val="center" w:pos="4153"/>
        <w:tab w:val="right" w:pos="8306"/>
      </w:tabs>
      <w:jc w:val="left"/>
    </w:pPr>
    <w:rPr>
      <w:kern w:val="0"/>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jc w:val="center"/>
    </w:pPr>
    <w:rPr>
      <w:kern w:val="0"/>
      <w:sz w:val="18"/>
      <w:szCs w:val="18"/>
    </w:rPr>
  </w:style>
  <w:style w:type="paragraph" w:styleId="12">
    <w:name w:val="toc 1"/>
    <w:basedOn w:val="1"/>
    <w:next w:val="1"/>
    <w:unhideWhenUsed/>
    <w:qFormat/>
    <w:uiPriority w:val="39"/>
    <w:pPr>
      <w:tabs>
        <w:tab w:val="right" w:leader="dot" w:pos="8296"/>
      </w:tabs>
      <w:overflowPunct w:val="0"/>
      <w:spacing w:line="360" w:lineRule="auto"/>
      <w:ind w:firstLine="482"/>
    </w:pPr>
    <w:rPr>
      <w:b/>
      <w:sz w:val="22"/>
    </w:rPr>
  </w:style>
  <w:style w:type="paragraph" w:styleId="13">
    <w:name w:val="footnote text"/>
    <w:basedOn w:val="1"/>
    <w:link w:val="39"/>
    <w:unhideWhenUsed/>
    <w:qFormat/>
    <w:uiPriority w:val="99"/>
    <w:pPr>
      <w:jc w:val="left"/>
    </w:pPr>
    <w:rPr>
      <w:kern w:val="0"/>
      <w:sz w:val="18"/>
      <w:szCs w:val="18"/>
    </w:rPr>
  </w:style>
  <w:style w:type="paragraph" w:styleId="14">
    <w:name w:val="toc 2"/>
    <w:basedOn w:val="1"/>
    <w:next w:val="1"/>
    <w:unhideWhenUsed/>
    <w:qFormat/>
    <w:uiPriority w:val="39"/>
    <w:pPr>
      <w:tabs>
        <w:tab w:val="left" w:pos="1580"/>
        <w:tab w:val="right" w:leader="dot" w:pos="8296"/>
      </w:tabs>
      <w:spacing w:line="276" w:lineRule="auto"/>
      <w:ind w:left="420" w:leftChars="200"/>
    </w:pPr>
    <w:rPr>
      <w:sz w:val="22"/>
    </w:rPr>
  </w:style>
  <w:style w:type="paragraph" w:styleId="15">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paragraph" w:styleId="16">
    <w:name w:val="annotation subject"/>
    <w:basedOn w:val="6"/>
    <w:next w:val="6"/>
    <w:link w:val="33"/>
    <w:unhideWhenUsed/>
    <w:qFormat/>
    <w:uiPriority w:val="99"/>
    <w:rPr>
      <w:b/>
      <w:bCs/>
    </w:rPr>
  </w:style>
  <w:style w:type="table" w:styleId="18">
    <w:name w:val="Table Grid"/>
    <w:basedOn w:val="17"/>
    <w:qFormat/>
    <w:uiPriority w:val="59"/>
    <w:pPr>
      <w:spacing w:line="276" w:lineRule="auto"/>
    </w:pPr>
    <w:rPr>
      <w:rFonts w:ascii="Times New Roman"/>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tblStylePr w:type="firstRow">
      <w:rPr>
        <w:b/>
      </w:rPr>
      <w:tblPr/>
      <w:trPr>
        <w:cantSplit/>
        <w:tblHeader/>
      </w:trPr>
    </w:tblStylePr>
  </w:style>
  <w:style w:type="character" w:styleId="20">
    <w:name w:val="Hyperlink"/>
    <w:unhideWhenUsed/>
    <w:qFormat/>
    <w:uiPriority w:val="99"/>
    <w:rPr>
      <w:color w:val="0000FF"/>
      <w:u w:val="single"/>
    </w:rPr>
  </w:style>
  <w:style w:type="character" w:styleId="21">
    <w:name w:val="annotation reference"/>
    <w:unhideWhenUsed/>
    <w:qFormat/>
    <w:uiPriority w:val="99"/>
    <w:rPr>
      <w:sz w:val="21"/>
      <w:szCs w:val="21"/>
    </w:rPr>
  </w:style>
  <w:style w:type="character" w:styleId="22">
    <w:name w:val="footnote reference"/>
    <w:unhideWhenUsed/>
    <w:qFormat/>
    <w:uiPriority w:val="99"/>
    <w:rPr>
      <w:vertAlign w:val="superscript"/>
    </w:rPr>
  </w:style>
  <w:style w:type="character" w:customStyle="1" w:styleId="23">
    <w:name w:val="批注文字 字符"/>
    <w:qFormat/>
    <w:uiPriority w:val="99"/>
    <w:rPr>
      <w:rFonts w:ascii="仿宋_GB2312" w:hAnsi="Times New Roman" w:eastAsia="仿宋_GB2312" w:cs="Times New Roman"/>
      <w:color w:val="000000"/>
      <w:sz w:val="32"/>
      <w:szCs w:val="30"/>
    </w:rPr>
  </w:style>
  <w:style w:type="character" w:customStyle="1" w:styleId="24">
    <w:name w:val="二级标题-指南二 Char"/>
    <w:link w:val="25"/>
    <w:qFormat/>
    <w:uiPriority w:val="0"/>
    <w:rPr>
      <w:rFonts w:ascii="Times New Roman" w:hAnsi="Times New Roman" w:eastAsia="楷体_GB2312"/>
      <w:bCs/>
      <w:color w:val="000000"/>
      <w:sz w:val="32"/>
      <w:szCs w:val="30"/>
    </w:rPr>
  </w:style>
  <w:style w:type="paragraph" w:customStyle="1" w:styleId="25">
    <w:name w:val="二级标题-指南二"/>
    <w:basedOn w:val="1"/>
    <w:link w:val="24"/>
    <w:qFormat/>
    <w:uiPriority w:val="0"/>
    <w:pPr>
      <w:adjustRightInd/>
      <w:snapToGrid/>
      <w:ind w:firstLine="0" w:firstLineChars="0"/>
      <w:contextualSpacing/>
      <w:jc w:val="center"/>
    </w:pPr>
    <w:rPr>
      <w:rFonts w:ascii="Times New Roman" w:eastAsia="楷体_GB2312"/>
      <w:bCs/>
      <w:kern w:val="0"/>
    </w:rPr>
  </w:style>
  <w:style w:type="character" w:customStyle="1" w:styleId="26">
    <w:name w:val="文档结构图 Char"/>
    <w:link w:val="5"/>
    <w:semiHidden/>
    <w:qFormat/>
    <w:uiPriority w:val="99"/>
    <w:rPr>
      <w:rFonts w:ascii="宋体" w:hAnsi="Times New Roman" w:eastAsia="宋体" w:cs="Times New Roman"/>
      <w:color w:val="000000"/>
      <w:sz w:val="18"/>
      <w:szCs w:val="18"/>
    </w:rPr>
  </w:style>
  <w:style w:type="character" w:customStyle="1" w:styleId="27">
    <w:name w:val="TOC 标题1 Char"/>
    <w:link w:val="28"/>
    <w:qFormat/>
    <w:uiPriority w:val="99"/>
    <w:rPr>
      <w:rFonts w:ascii="Cambria" w:hAnsi="Cambria" w:eastAsia="宋体"/>
      <w:bCs/>
      <w:color w:val="365F91"/>
      <w:kern w:val="0"/>
      <w:sz w:val="28"/>
      <w:szCs w:val="28"/>
    </w:rPr>
  </w:style>
  <w:style w:type="paragraph" w:customStyle="1" w:styleId="28">
    <w:name w:val="TOC 标题1"/>
    <w:basedOn w:val="2"/>
    <w:next w:val="1"/>
    <w:link w:val="27"/>
    <w:qFormat/>
    <w:uiPriority w:val="39"/>
    <w:pPr>
      <w:widowControl/>
      <w:spacing w:before="480" w:line="276" w:lineRule="auto"/>
      <w:jc w:val="left"/>
      <w:outlineLvl w:val="9"/>
    </w:pPr>
    <w:rPr>
      <w:rFonts w:ascii="Cambria" w:hAnsi="Cambria" w:eastAsia="宋体"/>
      <w:color w:val="365F91"/>
      <w:sz w:val="28"/>
    </w:rPr>
  </w:style>
  <w:style w:type="character" w:customStyle="1" w:styleId="29">
    <w:name w:val="批注框文本 Char"/>
    <w:link w:val="9"/>
    <w:semiHidden/>
    <w:qFormat/>
    <w:uiPriority w:val="99"/>
    <w:rPr>
      <w:rFonts w:ascii="仿宋_GB2312" w:hAnsi="Times New Roman" w:eastAsia="仿宋_GB2312" w:cs="Times New Roman"/>
      <w:color w:val="000000"/>
      <w:sz w:val="18"/>
      <w:szCs w:val="18"/>
    </w:rPr>
  </w:style>
  <w:style w:type="character" w:customStyle="1" w:styleId="30">
    <w:name w:val="页眉 Char"/>
    <w:link w:val="11"/>
    <w:qFormat/>
    <w:uiPriority w:val="99"/>
    <w:rPr>
      <w:rFonts w:ascii="仿宋_GB2312" w:hAnsi="Times New Roman" w:eastAsia="仿宋_GB2312" w:cs="Times New Roman"/>
      <w:color w:val="000000"/>
      <w:sz w:val="18"/>
      <w:szCs w:val="18"/>
    </w:rPr>
  </w:style>
  <w:style w:type="character" w:customStyle="1" w:styleId="31">
    <w:name w:val="附件二级 Char"/>
    <w:link w:val="32"/>
    <w:qFormat/>
    <w:uiPriority w:val="0"/>
    <w:rPr>
      <w:rFonts w:ascii="Times New Roman" w:hAnsi="Times New Roman" w:eastAsia="仿宋_GB2312"/>
      <w:b/>
      <w:color w:val="000000"/>
      <w:sz w:val="32"/>
      <w:szCs w:val="30"/>
      <w:lang w:bidi="en-US"/>
    </w:rPr>
  </w:style>
  <w:style w:type="paragraph" w:customStyle="1" w:styleId="32">
    <w:name w:val="附件二级"/>
    <w:basedOn w:val="3"/>
    <w:link w:val="31"/>
    <w:qFormat/>
    <w:uiPriority w:val="0"/>
    <w:pPr>
      <w:jc w:val="left"/>
    </w:pPr>
    <w:rPr>
      <w:rFonts w:eastAsia="仿宋_GB2312"/>
      <w:b/>
      <w:bCs w:val="0"/>
      <w:lang w:bidi="en-US"/>
    </w:rPr>
  </w:style>
  <w:style w:type="character" w:customStyle="1" w:styleId="33">
    <w:name w:val="批注主题 Char"/>
    <w:link w:val="16"/>
    <w:semiHidden/>
    <w:qFormat/>
    <w:uiPriority w:val="99"/>
    <w:rPr>
      <w:rFonts w:ascii="仿宋_GB2312" w:hAnsi="Times New Roman" w:eastAsia="仿宋_GB2312" w:cs="Times New Roman"/>
      <w:b/>
      <w:bCs/>
      <w:color w:val="000000"/>
      <w:sz w:val="32"/>
      <w:szCs w:val="30"/>
    </w:rPr>
  </w:style>
  <w:style w:type="character" w:customStyle="1" w:styleId="34">
    <w:name w:val="目录样式 Char"/>
    <w:link w:val="35"/>
    <w:qFormat/>
    <w:uiPriority w:val="0"/>
    <w:rPr>
      <w:rFonts w:ascii="仿宋_GB2312" w:hAnsi="Cambria" w:eastAsia="仿宋_GB2312"/>
      <w:bCs/>
      <w:color w:val="365F91"/>
      <w:kern w:val="0"/>
      <w:sz w:val="30"/>
      <w:szCs w:val="30"/>
      <w:lang w:val="zh-CN"/>
    </w:rPr>
  </w:style>
  <w:style w:type="paragraph" w:customStyle="1" w:styleId="35">
    <w:name w:val="目录样式"/>
    <w:basedOn w:val="28"/>
    <w:link w:val="34"/>
    <w:qFormat/>
    <w:uiPriority w:val="0"/>
    <w:pPr>
      <w:widowControl w:val="0"/>
      <w:spacing w:line="560" w:lineRule="exact"/>
      <w:jc w:val="center"/>
    </w:pPr>
    <w:rPr>
      <w:rFonts w:ascii="仿宋_GB2312" w:eastAsia="仿宋_GB2312"/>
      <w:sz w:val="30"/>
      <w:szCs w:val="30"/>
      <w:lang w:val="zh-CN"/>
    </w:rPr>
  </w:style>
  <w:style w:type="character" w:customStyle="1" w:styleId="36">
    <w:name w:val="标题 2 Char"/>
    <w:link w:val="4"/>
    <w:qFormat/>
    <w:uiPriority w:val="0"/>
    <w:rPr>
      <w:rFonts w:ascii="仿宋_GB2312" w:hAnsi="Times New Roman" w:eastAsia="仿宋_GB2312"/>
      <w:color w:val="000000"/>
      <w:kern w:val="2"/>
      <w:sz w:val="30"/>
      <w:szCs w:val="30"/>
    </w:rPr>
  </w:style>
  <w:style w:type="character" w:customStyle="1" w:styleId="37">
    <w:name w:val="一级标题-指南一 Char"/>
    <w:link w:val="3"/>
    <w:qFormat/>
    <w:uiPriority w:val="0"/>
    <w:rPr>
      <w:rFonts w:ascii="Times New Roman" w:hAnsi="Times New Roman" w:eastAsia="黑体"/>
      <w:bCs/>
      <w:color w:val="000000"/>
      <w:sz w:val="32"/>
      <w:szCs w:val="30"/>
    </w:rPr>
  </w:style>
  <w:style w:type="character" w:customStyle="1" w:styleId="38">
    <w:name w:val="页脚 Char"/>
    <w:link w:val="10"/>
    <w:qFormat/>
    <w:uiPriority w:val="99"/>
    <w:rPr>
      <w:rFonts w:ascii="仿宋_GB2312" w:hAnsi="Times New Roman" w:eastAsia="仿宋_GB2312" w:cs="Times New Roman"/>
      <w:color w:val="000000"/>
      <w:sz w:val="18"/>
      <w:szCs w:val="18"/>
    </w:rPr>
  </w:style>
  <w:style w:type="character" w:customStyle="1" w:styleId="39">
    <w:name w:val="脚注文本 Char"/>
    <w:link w:val="13"/>
    <w:qFormat/>
    <w:uiPriority w:val="99"/>
    <w:rPr>
      <w:rFonts w:ascii="仿宋_GB2312" w:hAnsi="Times New Roman" w:eastAsia="仿宋_GB2312" w:cs="Times New Roman"/>
      <w:color w:val="000000"/>
      <w:sz w:val="18"/>
      <w:szCs w:val="18"/>
    </w:rPr>
  </w:style>
  <w:style w:type="character" w:customStyle="1" w:styleId="40">
    <w:name w:val="附件标题 Char"/>
    <w:link w:val="41"/>
    <w:qFormat/>
    <w:uiPriority w:val="0"/>
    <w:rPr>
      <w:rFonts w:ascii="Times New Roman" w:hAnsi="Times New Roman" w:eastAsia="黑体"/>
      <w:color w:val="000000"/>
      <w:sz w:val="32"/>
      <w:szCs w:val="30"/>
    </w:rPr>
  </w:style>
  <w:style w:type="paragraph" w:customStyle="1" w:styleId="41">
    <w:name w:val="附件标题"/>
    <w:basedOn w:val="3"/>
    <w:link w:val="40"/>
    <w:qFormat/>
    <w:uiPriority w:val="0"/>
    <w:rPr>
      <w:bCs w:val="0"/>
    </w:rPr>
  </w:style>
  <w:style w:type="character" w:customStyle="1" w:styleId="42">
    <w:name w:val="日期 Char"/>
    <w:link w:val="8"/>
    <w:semiHidden/>
    <w:qFormat/>
    <w:uiPriority w:val="99"/>
    <w:rPr>
      <w:rFonts w:ascii="仿宋_GB2312" w:hAnsi="Times New Roman" w:eastAsia="仿宋_GB2312"/>
      <w:color w:val="000000"/>
      <w:kern w:val="2"/>
      <w:sz w:val="32"/>
      <w:szCs w:val="30"/>
    </w:rPr>
  </w:style>
  <w:style w:type="character" w:customStyle="1" w:styleId="43">
    <w:name w:val="列出段落 Char"/>
    <w:link w:val="44"/>
    <w:qFormat/>
    <w:locked/>
    <w:uiPriority w:val="34"/>
    <w:rPr>
      <w:rFonts w:ascii="Times New Roman" w:hAnsi="Times New Roman"/>
      <w:kern w:val="2"/>
      <w:sz w:val="21"/>
      <w:szCs w:val="24"/>
    </w:rPr>
  </w:style>
  <w:style w:type="paragraph" w:styleId="44">
    <w:name w:val="List Paragraph"/>
    <w:basedOn w:val="1"/>
    <w:link w:val="43"/>
    <w:qFormat/>
    <w:uiPriority w:val="34"/>
    <w:pPr>
      <w:adjustRightInd/>
      <w:snapToGrid/>
      <w:spacing w:line="240" w:lineRule="auto"/>
      <w:ind w:firstLine="420"/>
    </w:pPr>
    <w:rPr>
      <w:rFonts w:ascii="Times New Roman" w:eastAsia="宋体"/>
      <w:color w:val="auto"/>
      <w:sz w:val="21"/>
      <w:szCs w:val="24"/>
    </w:rPr>
  </w:style>
  <w:style w:type="character" w:customStyle="1" w:styleId="45">
    <w:name w:val="批注文字 Char"/>
    <w:link w:val="6"/>
    <w:qFormat/>
    <w:uiPriority w:val="99"/>
    <w:rPr>
      <w:rFonts w:ascii="仿宋_GB2312" w:hAnsi="Times New Roman" w:eastAsia="仿宋_GB2312" w:cs="Times New Roman"/>
      <w:color w:val="000000"/>
      <w:sz w:val="32"/>
      <w:szCs w:val="30"/>
    </w:rPr>
  </w:style>
  <w:style w:type="character" w:customStyle="1" w:styleId="46">
    <w:name w:val="标题 1 Char"/>
    <w:link w:val="2"/>
    <w:qFormat/>
    <w:uiPriority w:val="9"/>
    <w:rPr>
      <w:rFonts w:ascii="Times New Roman" w:hAnsi="Times New Roman" w:eastAsia="黑体"/>
      <w:bCs/>
      <w:color w:val="000000"/>
      <w:sz w:val="32"/>
      <w:szCs w:val="30"/>
    </w:rPr>
  </w:style>
  <w:style w:type="paragraph" w:customStyle="1" w:styleId="47">
    <w:name w:val="TOC 标题2"/>
    <w:basedOn w:val="2"/>
    <w:next w:val="1"/>
    <w:qFormat/>
    <w:uiPriority w:val="39"/>
    <w:pPr>
      <w:widowControl/>
      <w:spacing w:before="480" w:line="276" w:lineRule="auto"/>
      <w:jc w:val="left"/>
      <w:outlineLvl w:val="9"/>
    </w:pPr>
    <w:rPr>
      <w:rFonts w:ascii="Cambria" w:hAnsi="Cambria" w:eastAsia="宋体"/>
      <w:color w:val="365F91"/>
      <w:sz w:val="28"/>
    </w:rPr>
  </w:style>
  <w:style w:type="paragraph" w:customStyle="1" w:styleId="48">
    <w:name w:val="第一章"/>
    <w:basedOn w:val="1"/>
    <w:qFormat/>
    <w:uiPriority w:val="0"/>
    <w:pPr>
      <w:ind w:firstLine="0" w:firstLineChars="0"/>
      <w:jc w:val="center"/>
    </w:pPr>
    <w:rPr>
      <w:rFonts w:ascii="黑体" w:hAnsi="黑体" w:eastAsia="黑体"/>
      <w:color w:val="auto"/>
    </w:rPr>
  </w:style>
  <w:style w:type="paragraph" w:customStyle="1" w:styleId="49">
    <w:name w:val="_Style 3"/>
    <w:basedOn w:val="1"/>
    <w:qFormat/>
    <w:uiPriority w:val="0"/>
    <w:pPr>
      <w:ind w:firstLine="420"/>
    </w:pPr>
    <w:rPr>
      <w:rFonts w:ascii="Times New Roman" w:eastAsia="宋体"/>
    </w:rPr>
  </w:style>
  <w:style w:type="paragraph" w:styleId="50">
    <w:name w:val="No Spacing"/>
    <w:basedOn w:val="1"/>
    <w:qFormat/>
    <w:uiPriority w:val="1"/>
    <w:pPr>
      <w:spacing w:line="240" w:lineRule="auto"/>
      <w:ind w:firstLine="0" w:firstLineChars="0"/>
    </w:pPr>
    <w:rPr>
      <w:sz w:val="21"/>
    </w:rPr>
  </w:style>
  <w:style w:type="paragraph" w:customStyle="1" w:styleId="51">
    <w:name w:val="列出段落1"/>
    <w:basedOn w:val="1"/>
    <w:qFormat/>
    <w:uiPriority w:val="99"/>
    <w:pPr>
      <w:ind w:firstLine="420"/>
    </w:pPr>
    <w:rPr>
      <w:rFonts w:ascii="Calibri" w:hAnsi="Calibri" w:eastAsia="宋体"/>
    </w:rPr>
  </w:style>
  <w:style w:type="paragraph" w:customStyle="1" w:styleId="52">
    <w:name w:val="修订1"/>
    <w:semiHidden/>
    <w:qFormat/>
    <w:uiPriority w:val="99"/>
    <w:rPr>
      <w:rFonts w:ascii="仿宋_GB2312" w:hAnsi="Times New Roman" w:cs="Times New Roman" w:eastAsiaTheme="minorEastAsia"/>
      <w:color w:val="000000"/>
      <w:kern w:val="2"/>
      <w:sz w:val="21"/>
      <w:szCs w:val="22"/>
      <w:lang w:val="en-US" w:eastAsia="zh-CN" w:bidi="ar-SA"/>
    </w:rPr>
  </w:style>
  <w:style w:type="paragraph" w:customStyle="1" w:styleId="53">
    <w:name w:val="Default"/>
    <w:qFormat/>
    <w:uiPriority w:val="0"/>
    <w:pPr>
      <w:widowControl w:val="0"/>
      <w:autoSpaceDE w:val="0"/>
      <w:autoSpaceDN w:val="0"/>
      <w:adjustRightInd w:val="0"/>
    </w:pPr>
    <w:rPr>
      <w:rFonts w:ascii="仿宋_GB2312" w:hAnsi="Times New Roman" w:cs="仿宋_GB2312" w:eastAsiaTheme="minorEastAsia"/>
      <w:color w:val="000000"/>
      <w:kern w:val="2"/>
      <w:sz w:val="24"/>
      <w:szCs w:val="24"/>
      <w:lang w:val="en-US" w:eastAsia="zh-CN" w:bidi="ar-SA"/>
    </w:rPr>
  </w:style>
  <w:style w:type="paragraph" w:customStyle="1" w:styleId="54">
    <w:name w:val="样式1"/>
    <w:basedOn w:val="1"/>
    <w:qFormat/>
    <w:uiPriority w:val="0"/>
    <w:pPr>
      <w:numPr>
        <w:ilvl w:val="0"/>
        <w:numId w:val="1"/>
      </w:numPr>
      <w:tabs>
        <w:tab w:val="left" w:pos="2127"/>
      </w:tabs>
      <w:spacing w:line="540" w:lineRule="exact"/>
      <w:ind w:left="988" w:firstLine="0" w:firstLineChars="0"/>
    </w:pPr>
    <w:rPr>
      <w:rFonts w:hAnsi="宋体"/>
      <w:color w:val="auto"/>
      <w:kern w:val="0"/>
      <w:sz w:val="3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3BCFA-91EA-4DFA-908E-728A53D3360E}">
  <ds:schemaRefs/>
</ds:datastoreItem>
</file>

<file path=docProps/app.xml><?xml version="1.0" encoding="utf-8"?>
<Properties xmlns="http://schemas.openxmlformats.org/officeDocument/2006/extended-properties" xmlns:vt="http://schemas.openxmlformats.org/officeDocument/2006/docPropsVTypes">
  <Template>Normal</Template>
  <Pages>1</Pages>
  <Words>4411</Words>
  <Characters>25143</Characters>
  <Lines>209</Lines>
  <Paragraphs>58</Paragraphs>
  <TotalTime>8</TotalTime>
  <ScaleCrop>false</ScaleCrop>
  <LinksUpToDate>false</LinksUpToDate>
  <CharactersWithSpaces>29496</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2023-10-19T14:19:00Z</dcterms:created>
  <dc:creator>ffwang</dc:creator>
  <cp:lastModifiedBy>黄燕秋</cp:lastModifiedBy>
  <cp:lastPrinted>2023-04-28T07:00:00Z</cp:lastPrinted>
  <dcterms:modified xsi:type="dcterms:W3CDTF">2023-10-20T09:09:11Z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2B2A520DE0634C3EA96C1BDB63A983DE</vt:lpwstr>
  </property>
</Properties>
</file>