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Times New Roman"/>
          <w:szCs w:val="32"/>
        </w:rPr>
      </w:pPr>
      <w:bookmarkStart w:id="17" w:name="_GoBack"/>
      <w:bookmarkEnd w:id="17"/>
      <w:bookmarkStart w:id="0" w:name="_Toc414522857"/>
      <w:bookmarkStart w:id="1" w:name="_Toc1832762"/>
      <w:bookmarkStart w:id="2" w:name="_Toc37664892"/>
      <w:r>
        <w:rPr>
          <w:rFonts w:hint="eastAsia" w:ascii="黑体" w:hAnsi="黑体" w:eastAsia="黑体" w:cs="Times New Roman"/>
          <w:szCs w:val="32"/>
        </w:rPr>
        <w:t>附件</w:t>
      </w:r>
    </w:p>
    <w:p>
      <w:pPr>
        <w:widowControl/>
        <w:shd w:val="clear" w:color="auto" w:fill="FFFFFF"/>
        <w:spacing w:after="190"/>
        <w:ind w:firstLine="640"/>
        <w:outlineLvl w:val="1"/>
      </w:pPr>
    </w:p>
    <w:p>
      <w:pPr>
        <w:ind w:firstLine="0" w:firstLineChars="0"/>
        <w:jc w:val="center"/>
        <w:rPr>
          <w:rFonts w:ascii="方正小标宋简体" w:eastAsia="方正小标宋简体" w:cs="Times New Roman" w:hAnsiTheme="majorEastAsia"/>
          <w:color w:val="auto"/>
          <w:sz w:val="44"/>
          <w:szCs w:val="44"/>
        </w:rPr>
      </w:pPr>
      <w:r>
        <w:rPr>
          <w:rFonts w:hint="eastAsia" w:ascii="方正小标宋简体" w:eastAsia="方正小标宋简体" w:cs="Times New Roman" w:hAnsiTheme="majorEastAsia"/>
          <w:color w:val="auto"/>
          <w:sz w:val="44"/>
          <w:szCs w:val="44"/>
        </w:rPr>
        <w:t>深圳证券交易所公司债券存续期监管业务指引第</w:t>
      </w:r>
      <w:r>
        <w:rPr>
          <w:rFonts w:ascii="方正小标宋简体" w:eastAsia="方正小标宋简体" w:cs="Times New Roman" w:hAnsiTheme="majorEastAsia"/>
          <w:color w:val="auto"/>
          <w:sz w:val="44"/>
          <w:szCs w:val="44"/>
        </w:rPr>
        <w:t>1号——定期报告</w:t>
      </w:r>
    </w:p>
    <w:p>
      <w:pPr>
        <w:ind w:firstLine="0" w:firstLineChars="0"/>
        <w:jc w:val="center"/>
        <w:rPr>
          <w:rFonts w:ascii="方正小标宋简体" w:eastAsia="方正小标宋简体" w:cs="Times New Roman" w:hAnsiTheme="majorEastAsia"/>
          <w:color w:val="auto"/>
          <w:sz w:val="44"/>
          <w:szCs w:val="44"/>
        </w:rPr>
      </w:pPr>
      <w:r>
        <w:rPr>
          <w:rFonts w:hint="eastAsia" w:ascii="方正小标宋简体" w:eastAsia="方正小标宋简体" w:cs="Times New Roman" w:hAnsiTheme="majorEastAsia"/>
          <w:color w:val="auto"/>
          <w:sz w:val="44"/>
          <w:szCs w:val="44"/>
        </w:rPr>
        <w:t>（</w:t>
      </w:r>
      <w:r>
        <w:rPr>
          <w:rFonts w:ascii="方正小标宋简体" w:eastAsia="方正小标宋简体" w:cs="Times New Roman" w:hAnsiTheme="majorEastAsia"/>
          <w:color w:val="auto"/>
          <w:sz w:val="44"/>
          <w:szCs w:val="44"/>
        </w:rPr>
        <w:t>2023年</w:t>
      </w:r>
      <w:r>
        <w:rPr>
          <w:rFonts w:hint="eastAsia" w:ascii="方正小标宋简体" w:eastAsia="方正小标宋简体" w:cs="Times New Roman" w:hAnsiTheme="majorEastAsia"/>
          <w:color w:val="auto"/>
          <w:sz w:val="44"/>
          <w:szCs w:val="44"/>
        </w:rPr>
        <w:t>10月</w:t>
      </w:r>
      <w:r>
        <w:rPr>
          <w:rFonts w:ascii="方正小标宋简体" w:eastAsia="方正小标宋简体" w:cs="Times New Roman" w:hAnsiTheme="majorEastAsia"/>
          <w:color w:val="auto"/>
          <w:sz w:val="44"/>
          <w:szCs w:val="44"/>
        </w:rPr>
        <w:t>修订）</w:t>
      </w:r>
    </w:p>
    <w:p>
      <w:pPr>
        <w:ind w:firstLine="0" w:firstLineChars="0"/>
        <w:jc w:val="center"/>
      </w:pPr>
    </w:p>
    <w:bookmarkEnd w:id="0"/>
    <w:bookmarkEnd w:id="1"/>
    <w:bookmarkEnd w:id="2"/>
    <w:p>
      <w:pPr>
        <w:pStyle w:val="2"/>
        <w:keepNext/>
        <w:keepLines/>
        <w:spacing w:before="240" w:after="240" w:line="240" w:lineRule="auto"/>
        <w:rPr>
          <w:rFonts w:ascii="黑体" w:hAnsi="黑体" w:cs="Times New Roman"/>
          <w:color w:val="auto"/>
          <w:kern w:val="44"/>
          <w:szCs w:val="32"/>
        </w:rPr>
      </w:pPr>
      <w:bookmarkStart w:id="3" w:name="_Toc68164152"/>
      <w:bookmarkStart w:id="4" w:name="_Toc122426491"/>
      <w:bookmarkStart w:id="5" w:name="_Toc66294742"/>
      <w:r>
        <w:rPr>
          <w:rFonts w:hint="eastAsia" w:ascii="黑体" w:hAnsi="黑体" w:cs="Times New Roman"/>
          <w:color w:val="auto"/>
          <w:kern w:val="44"/>
          <w:szCs w:val="32"/>
        </w:rPr>
        <w:t>第一章</w:t>
      </w:r>
      <w:r>
        <w:rPr>
          <w:rFonts w:ascii="黑体" w:hAnsi="黑体" w:cs="Times New Roman"/>
          <w:color w:val="auto"/>
          <w:kern w:val="44"/>
          <w:szCs w:val="32"/>
        </w:rPr>
        <w:t xml:space="preserve"> </w:t>
      </w:r>
      <w:r>
        <w:rPr>
          <w:rFonts w:hint="eastAsia" w:ascii="黑体" w:hAnsi="黑体" w:cs="Times New Roman"/>
          <w:color w:val="auto"/>
          <w:kern w:val="44"/>
          <w:szCs w:val="32"/>
        </w:rPr>
        <w:t>总则</w:t>
      </w:r>
      <w:bookmarkEnd w:id="3"/>
      <w:bookmarkEnd w:id="4"/>
    </w:p>
    <w:p>
      <w:pPr>
        <w:numPr>
          <w:ilvl w:val="0"/>
          <w:numId w:val="1"/>
        </w:numPr>
        <w:ind w:left="0" w:firstLine="640"/>
        <w:rPr>
          <w:rFonts w:ascii="仿宋" w:hAnsi="仿宋" w:eastAsia="仿宋"/>
          <w:szCs w:val="32"/>
        </w:rPr>
      </w:pPr>
      <w:r>
        <w:rPr>
          <w:rFonts w:ascii="仿宋" w:hAnsi="仿宋" w:eastAsia="仿宋"/>
          <w:szCs w:val="32"/>
        </w:rPr>
        <w:t xml:space="preserve"> </w:t>
      </w:r>
      <w:r>
        <w:rPr>
          <w:rFonts w:hint="eastAsia" w:ascii="仿宋" w:hAnsi="仿宋" w:eastAsia="仿宋"/>
          <w:szCs w:val="32"/>
        </w:rPr>
        <w:t>为了规范深圳证券交易所（以下简称本所）公司债券（含企业债券）定期报告披露行为，保护债券投资者合法权益，依据《深圳证券交易所公司债券上市规则》《深圳证券交易所非公开发行公司债券挂牌规则》等有关业务规则的规定，制定本指引。</w:t>
      </w:r>
    </w:p>
    <w:p>
      <w:pPr>
        <w:numPr>
          <w:ilvl w:val="0"/>
          <w:numId w:val="1"/>
        </w:numPr>
        <w:ind w:left="0" w:firstLine="640"/>
        <w:rPr>
          <w:rFonts w:ascii="仿宋" w:hAnsi="仿宋" w:eastAsia="仿宋"/>
          <w:szCs w:val="32"/>
        </w:rPr>
      </w:pPr>
      <w:r>
        <w:rPr>
          <w:rFonts w:ascii="仿宋" w:hAnsi="仿宋" w:eastAsia="仿宋"/>
          <w:szCs w:val="32"/>
        </w:rPr>
        <w:t xml:space="preserve"> </w:t>
      </w:r>
      <w:r>
        <w:rPr>
          <w:rFonts w:hint="eastAsia" w:ascii="仿宋" w:hAnsi="仿宋" w:eastAsia="仿宋"/>
          <w:szCs w:val="32"/>
        </w:rPr>
        <w:t>本指引适用于公司债券在本所上市交易或者挂牌转让</w:t>
      </w:r>
      <w:r>
        <w:rPr>
          <w:rStyle w:val="45"/>
          <w:rFonts w:hint="eastAsia"/>
        </w:rPr>
        <w:t>（</w:t>
      </w:r>
      <w:r>
        <w:rPr>
          <w:rFonts w:hint="eastAsia" w:ascii="仿宋" w:hAnsi="仿宋" w:eastAsia="仿宋"/>
          <w:szCs w:val="32"/>
        </w:rPr>
        <w:t>以下统称上市挂牌）期间，发行人、担保机构（以下统称信息披露义务人）的定期报告编制以及披露事宜。</w:t>
      </w:r>
    </w:p>
    <w:p>
      <w:pPr>
        <w:ind w:firstLine="640"/>
        <w:rPr>
          <w:rFonts w:ascii="仿宋" w:hAnsi="仿宋" w:eastAsia="仿宋"/>
          <w:szCs w:val="32"/>
        </w:rPr>
      </w:pPr>
      <w:r>
        <w:rPr>
          <w:rFonts w:hint="eastAsia" w:ascii="仿宋" w:hAnsi="仿宋" w:eastAsia="仿宋"/>
          <w:szCs w:val="32"/>
        </w:rPr>
        <w:t>本所上市公司发行的可转换公司债券的定期报告披露，不适用本指引。</w:t>
      </w:r>
    </w:p>
    <w:p>
      <w:pPr>
        <w:numPr>
          <w:ilvl w:val="0"/>
          <w:numId w:val="1"/>
        </w:numPr>
        <w:ind w:left="0" w:firstLine="640"/>
        <w:rPr>
          <w:rFonts w:ascii="仿宋" w:hAnsi="仿宋" w:eastAsia="仿宋"/>
          <w:szCs w:val="32"/>
        </w:rPr>
      </w:pPr>
      <w:r>
        <w:rPr>
          <w:rFonts w:ascii="仿宋" w:hAnsi="仿宋" w:eastAsia="仿宋"/>
          <w:szCs w:val="32"/>
        </w:rPr>
        <w:t xml:space="preserve"> </w:t>
      </w:r>
      <w:r>
        <w:rPr>
          <w:rFonts w:hint="eastAsia" w:ascii="仿宋" w:hAnsi="仿宋" w:eastAsia="仿宋"/>
          <w:szCs w:val="32"/>
        </w:rPr>
        <w:t>上市公司、全国中小企业股份转让系统挂牌公司发行的公司债券在本所上市挂牌的，应当按照《公开发行证券的公司信息披露内容与格式准则第</w:t>
      </w:r>
      <w:r>
        <w:rPr>
          <w:rFonts w:ascii="仿宋" w:hAnsi="仿宋" w:eastAsia="仿宋"/>
          <w:szCs w:val="32"/>
        </w:rPr>
        <w:t>2号—</w:t>
      </w:r>
      <w:r>
        <w:rPr>
          <w:rFonts w:hint="eastAsia" w:ascii="仿宋" w:hAnsi="仿宋" w:eastAsia="仿宋"/>
          <w:szCs w:val="32"/>
        </w:rPr>
        <w:t>年度报告的内容与格式》《公开发行证券的公司信息披露内容与格式准则第</w:t>
      </w:r>
      <w:r>
        <w:rPr>
          <w:rFonts w:ascii="仿宋" w:hAnsi="仿宋" w:eastAsia="仿宋"/>
          <w:szCs w:val="32"/>
        </w:rPr>
        <w:t>3号—</w:t>
      </w:r>
      <w:r>
        <w:rPr>
          <w:rFonts w:hint="eastAsia" w:ascii="仿宋" w:hAnsi="仿宋" w:eastAsia="仿宋"/>
          <w:szCs w:val="32"/>
        </w:rPr>
        <w:t>半年度报告的内容与格式》等中国证券监督管理委员会（以下简称中国证监会）以及有关证券交易场所的规定编制和披露定期报告，并同时将定期报告在本所网站、本所指定信息披露网站和符合中国证监会或者国务院授权部门规定条件的信息披露媒体披露。</w:t>
      </w:r>
    </w:p>
    <w:p>
      <w:pPr>
        <w:numPr>
          <w:ilvl w:val="0"/>
          <w:numId w:val="1"/>
        </w:numPr>
        <w:ind w:left="0" w:firstLine="640"/>
        <w:rPr>
          <w:rFonts w:ascii="仿宋" w:hAnsi="仿宋" w:eastAsia="仿宋"/>
          <w:szCs w:val="32"/>
        </w:rPr>
      </w:pPr>
      <w:r>
        <w:rPr>
          <w:rFonts w:ascii="仿宋" w:hAnsi="仿宋" w:eastAsia="仿宋"/>
          <w:szCs w:val="32"/>
        </w:rPr>
        <w:t xml:space="preserve"> 发行人应当制定信息披露事务管理制度，</w:t>
      </w:r>
      <w:r>
        <w:rPr>
          <w:rFonts w:hint="eastAsia" w:ascii="仿宋" w:hAnsi="仿宋" w:eastAsia="仿宋"/>
          <w:szCs w:val="32"/>
        </w:rPr>
        <w:t>健全完善信息披露业务流程，配备必要人员和资源，加强业务操作的风险控制，保障合规履行信息披露义务，并及时关注文件的披露状态。</w:t>
      </w:r>
    </w:p>
    <w:p>
      <w:pPr>
        <w:ind w:firstLine="640"/>
        <w:rPr>
          <w:rFonts w:ascii="仿宋" w:hAnsi="仿宋" w:eastAsia="仿宋"/>
          <w:szCs w:val="32"/>
        </w:rPr>
      </w:pPr>
      <w:r>
        <w:rPr>
          <w:rFonts w:hint="eastAsia" w:ascii="仿宋" w:hAnsi="仿宋" w:eastAsia="仿宋"/>
          <w:szCs w:val="32"/>
        </w:rPr>
        <w:t>发行人的董事、监事、高级管理人员应当严格遵守法律、行政法规、部门规章、规范性文件（以下统称法律法规）、本所业务规则的规定及发行人内部规章制度的约定，保证发行人及时、公平、合规地披露信息，确保信息披露内容的真实、准确、完整，没有虚假记载、误导性陈述或者重大遗漏。</w:t>
      </w:r>
    </w:p>
    <w:p>
      <w:pPr>
        <w:ind w:firstLine="640"/>
        <w:rPr>
          <w:rFonts w:ascii="仿宋" w:hAnsi="仿宋" w:eastAsia="仿宋"/>
          <w:szCs w:val="32"/>
        </w:rPr>
      </w:pPr>
      <w:r>
        <w:rPr>
          <w:rFonts w:hint="eastAsia" w:ascii="仿宋" w:hAnsi="仿宋" w:eastAsia="仿宋"/>
          <w:szCs w:val="32"/>
        </w:rPr>
        <w:t>发行人的信息披露事务负责人组织和协调债券信息披露相关工作，应当勤勉履职，负责信息披露文件质量把关。</w:t>
      </w:r>
    </w:p>
    <w:p>
      <w:pPr>
        <w:numPr>
          <w:ilvl w:val="0"/>
          <w:numId w:val="1"/>
        </w:numPr>
        <w:ind w:left="0" w:firstLine="640"/>
        <w:rPr>
          <w:rFonts w:ascii="仿宋" w:hAnsi="仿宋" w:eastAsia="仿宋"/>
          <w:szCs w:val="32"/>
        </w:rPr>
      </w:pPr>
      <w:r>
        <w:rPr>
          <w:rFonts w:hint="eastAsia" w:ascii="仿宋" w:hAnsi="仿宋" w:eastAsia="仿宋"/>
          <w:szCs w:val="32"/>
        </w:rPr>
        <w:t xml:space="preserve"> 发行人、增信主体等信息披露义务人委托受托管理人等机构办理信息披露业务的，应当及时、公平地向受托管理人等机构提交符合规定的信息披露文件。相关委托不能免除或者减轻其法律法规以及本所规定的信息披露义务。</w:t>
      </w:r>
    </w:p>
    <w:p>
      <w:pPr>
        <w:ind w:firstLine="640"/>
        <w:rPr>
          <w:rFonts w:ascii="仿宋" w:hAnsi="仿宋" w:eastAsia="仿宋"/>
          <w:szCs w:val="32"/>
        </w:rPr>
      </w:pPr>
      <w:r>
        <w:rPr>
          <w:rFonts w:hint="eastAsia" w:ascii="仿宋" w:hAnsi="仿宋" w:eastAsia="仿宋"/>
          <w:szCs w:val="32"/>
        </w:rPr>
        <w:t>受托管理人等机构应当完善内部工作流程，加强业务操作的风险控制，确保信息披露业务办理质量，并及时关注文件的披露状态。</w:t>
      </w:r>
    </w:p>
    <w:p>
      <w:pPr>
        <w:ind w:firstLine="640"/>
        <w:rPr>
          <w:rFonts w:ascii="仿宋" w:hAnsi="仿宋" w:eastAsia="仿宋"/>
          <w:szCs w:val="32"/>
        </w:rPr>
      </w:pPr>
      <w:r>
        <w:rPr>
          <w:rFonts w:hint="eastAsia" w:ascii="仿宋" w:hAnsi="仿宋" w:eastAsia="仿宋"/>
          <w:szCs w:val="32"/>
        </w:rPr>
        <w:t>受托管理人应当勤勉尽责，在债券存续期内持续督导发行人履行信息披露义务。</w:t>
      </w:r>
    </w:p>
    <w:p>
      <w:pPr>
        <w:numPr>
          <w:ilvl w:val="0"/>
          <w:numId w:val="1"/>
        </w:numPr>
        <w:ind w:left="0" w:firstLine="640"/>
        <w:rPr>
          <w:rFonts w:ascii="仿宋" w:hAnsi="仿宋" w:eastAsia="仿宋"/>
          <w:szCs w:val="32"/>
        </w:rPr>
      </w:pPr>
      <w:r>
        <w:rPr>
          <w:rFonts w:hint="eastAsia" w:ascii="仿宋" w:hAnsi="仿宋" w:eastAsia="仿宋"/>
          <w:szCs w:val="32"/>
        </w:rPr>
        <w:t>本指引是对定期报告信息披露的最低要求</w:t>
      </w:r>
      <w:r>
        <w:rPr>
          <w:rFonts w:ascii="仿宋" w:hAnsi="仿宋" w:eastAsia="仿宋"/>
          <w:szCs w:val="32"/>
        </w:rPr>
        <w:t>,不论本指引是否明确规定，凡对发行人偿债能力、增</w:t>
      </w:r>
      <w:r>
        <w:rPr>
          <w:rFonts w:hint="eastAsia" w:ascii="仿宋" w:hAnsi="仿宋" w:eastAsia="仿宋"/>
          <w:szCs w:val="32"/>
        </w:rPr>
        <w:t>信主体代偿能力、债券交易价格或者投资者合法权益等可能产生重大影响的信息，发行人均应当及时披露。</w:t>
      </w:r>
    </w:p>
    <w:p>
      <w:pPr>
        <w:numPr>
          <w:ilvl w:val="0"/>
          <w:numId w:val="1"/>
        </w:numPr>
        <w:ind w:left="0" w:firstLine="640"/>
        <w:rPr>
          <w:rFonts w:ascii="仿宋" w:hAnsi="仿宋" w:eastAsia="仿宋"/>
          <w:szCs w:val="32"/>
        </w:rPr>
      </w:pPr>
      <w:r>
        <w:rPr>
          <w:rFonts w:hint="eastAsia" w:ascii="仿宋" w:hAnsi="仿宋" w:eastAsia="仿宋"/>
          <w:szCs w:val="32"/>
        </w:rPr>
        <w:t>本所可以根据发行人的持续经营情况、资信状况、规范运作情况和信息披露质量等事项，结合公司债券适用的交易机制以及投资者适当性情况，在保障投资者知情权等合法权益的情况下，对定期报告信息披露实施分类管理。</w:t>
      </w:r>
    </w:p>
    <w:p>
      <w:pPr>
        <w:pStyle w:val="2"/>
        <w:keepNext/>
        <w:keepLines/>
        <w:spacing w:before="240" w:after="240" w:line="240" w:lineRule="auto"/>
        <w:rPr>
          <w:rFonts w:ascii="黑体" w:hAnsi="黑体" w:cs="Times New Roman"/>
          <w:color w:val="auto"/>
          <w:kern w:val="44"/>
          <w:szCs w:val="32"/>
        </w:rPr>
      </w:pPr>
      <w:bookmarkStart w:id="6" w:name="_Toc68164156"/>
      <w:bookmarkStart w:id="7" w:name="_Toc122426492"/>
      <w:r>
        <w:rPr>
          <w:rFonts w:hint="eastAsia" w:ascii="黑体" w:hAnsi="黑体" w:cs="Times New Roman"/>
          <w:color w:val="auto"/>
          <w:kern w:val="44"/>
          <w:szCs w:val="32"/>
        </w:rPr>
        <w:t>第二章</w:t>
      </w:r>
      <w:r>
        <w:rPr>
          <w:rFonts w:ascii="黑体" w:hAnsi="黑体" w:cs="Times New Roman"/>
          <w:color w:val="auto"/>
          <w:kern w:val="44"/>
          <w:szCs w:val="32"/>
        </w:rPr>
        <w:t xml:space="preserve"> </w:t>
      </w:r>
      <w:bookmarkEnd w:id="6"/>
      <w:r>
        <w:rPr>
          <w:rFonts w:hint="eastAsia" w:ascii="黑体" w:hAnsi="黑体" w:cs="Times New Roman"/>
          <w:color w:val="auto"/>
          <w:kern w:val="44"/>
          <w:szCs w:val="32"/>
        </w:rPr>
        <w:t>一般规定</w:t>
      </w:r>
      <w:bookmarkEnd w:id="7"/>
    </w:p>
    <w:p>
      <w:pPr>
        <w:numPr>
          <w:ilvl w:val="0"/>
          <w:numId w:val="1"/>
        </w:numPr>
        <w:ind w:left="0" w:firstLine="640"/>
        <w:rPr>
          <w:rFonts w:ascii="仿宋" w:hAnsi="仿宋" w:eastAsia="仿宋"/>
          <w:szCs w:val="32"/>
        </w:rPr>
      </w:pPr>
      <w:r>
        <w:rPr>
          <w:rFonts w:hint="eastAsia" w:ascii="仿宋" w:hAnsi="仿宋" w:eastAsia="仿宋"/>
          <w:szCs w:val="32"/>
        </w:rPr>
        <w:t>发行人在编制定期报告时应当遵循下列要求：</w:t>
      </w:r>
    </w:p>
    <w:p>
      <w:pPr>
        <w:ind w:firstLine="640"/>
        <w:rPr>
          <w:rFonts w:ascii="仿宋" w:hAnsi="仿宋" w:eastAsia="仿宋"/>
          <w:szCs w:val="32"/>
        </w:rPr>
      </w:pPr>
      <w:r>
        <w:rPr>
          <w:rFonts w:hint="eastAsia" w:ascii="仿宋" w:hAnsi="仿宋" w:eastAsia="仿宋"/>
          <w:szCs w:val="32"/>
        </w:rPr>
        <w:t>（一）使用通俗易懂的事实性描述语言，不得有祝贺性、广告性、恭维性或者诋毁性的词句，并尽量采用图表或者其他较为直观的方式准确披露发行人以及公司债券的情况；</w:t>
      </w:r>
    </w:p>
    <w:p>
      <w:pPr>
        <w:ind w:firstLine="640"/>
        <w:rPr>
          <w:rFonts w:ascii="仿宋" w:hAnsi="仿宋" w:eastAsia="仿宋"/>
          <w:szCs w:val="32"/>
        </w:rPr>
      </w:pPr>
      <w:r>
        <w:rPr>
          <w:rFonts w:hint="eastAsia" w:ascii="仿宋" w:hAnsi="仿宋" w:eastAsia="仿宋"/>
          <w:szCs w:val="32"/>
        </w:rPr>
        <w:t>（二）引用的信息应当有明确的时间范围和资料来源，应当有充分、客观、公正的证据；</w:t>
      </w:r>
    </w:p>
    <w:p>
      <w:pPr>
        <w:ind w:firstLine="640"/>
        <w:rPr>
          <w:rFonts w:ascii="仿宋" w:hAnsi="仿宋" w:eastAsia="仿宋"/>
          <w:szCs w:val="32"/>
        </w:rPr>
      </w:pPr>
      <w:r>
        <w:rPr>
          <w:rFonts w:hint="eastAsia" w:ascii="仿宋" w:hAnsi="仿宋" w:eastAsia="仿宋"/>
          <w:szCs w:val="32"/>
        </w:rPr>
        <w:t>（三）引用的数字应当采用阿拉伯数字，货币金额除特别说明外，应当指人民币金额，并注明金额单位；</w:t>
      </w:r>
    </w:p>
    <w:p>
      <w:pPr>
        <w:ind w:firstLine="640"/>
        <w:rPr>
          <w:rFonts w:ascii="仿宋" w:hAnsi="仿宋" w:eastAsia="仿宋"/>
          <w:szCs w:val="32"/>
        </w:rPr>
      </w:pPr>
      <w:r>
        <w:rPr>
          <w:rFonts w:hint="eastAsia" w:ascii="仿宋" w:hAnsi="仿宋" w:eastAsia="仿宋"/>
          <w:szCs w:val="32"/>
        </w:rPr>
        <w:t>（四）发行人可编制定期报告外文译本，但应当保证中、外文文本的一致性，并应当分别在中、外文本中声明“在对中外文本的理解上发生歧义时，以中文文本为准”。</w:t>
      </w:r>
    </w:p>
    <w:p>
      <w:pPr>
        <w:numPr>
          <w:ilvl w:val="0"/>
          <w:numId w:val="1"/>
        </w:numPr>
        <w:ind w:left="0" w:firstLine="640"/>
        <w:rPr>
          <w:rFonts w:ascii="仿宋" w:hAnsi="仿宋" w:eastAsia="仿宋"/>
          <w:szCs w:val="32"/>
        </w:rPr>
      </w:pPr>
      <w:r>
        <w:rPr>
          <w:rFonts w:hint="eastAsia" w:ascii="仿宋" w:hAnsi="仿宋" w:eastAsia="仿宋"/>
          <w:szCs w:val="32"/>
        </w:rPr>
        <w:t>发行人应当客观、全面披露报告期内生产经营、财务管理、公司治理等方面的实际情况，重点突出重大变化情况，并深入分析导致相关变化的内外部原因以及对公司资信状况和偿债能力的具体影响。相关变化可能对发行人资信状况和偿债能力产生不利影响的，发行人应当进一步披露为了修复、改善公司信用已采取或者拟采取的措施及其成效。</w:t>
      </w:r>
    </w:p>
    <w:p>
      <w:pPr>
        <w:numPr>
          <w:ilvl w:val="0"/>
          <w:numId w:val="1"/>
        </w:numPr>
        <w:ind w:left="0" w:firstLine="640"/>
        <w:rPr>
          <w:rFonts w:ascii="仿宋" w:hAnsi="仿宋" w:eastAsia="仿宋"/>
          <w:szCs w:val="32"/>
        </w:rPr>
      </w:pPr>
      <w:r>
        <w:rPr>
          <w:rFonts w:hint="eastAsia" w:ascii="仿宋" w:hAnsi="仿宋" w:eastAsia="仿宋"/>
          <w:szCs w:val="32"/>
        </w:rPr>
        <w:t>公司债券上市挂牌期间，发行人应当在每一会计年度结束之日起四个月内和每一会计年度的上半年结束之日起二个月内，分别向本所提交并披露上一年度年度报告和本年度中期报告。</w:t>
      </w:r>
    </w:p>
    <w:p>
      <w:pPr>
        <w:ind w:firstLine="640"/>
        <w:rPr>
          <w:rFonts w:ascii="仿宋" w:hAnsi="仿宋" w:eastAsia="仿宋"/>
          <w:szCs w:val="32"/>
        </w:rPr>
      </w:pPr>
      <w:r>
        <w:rPr>
          <w:rFonts w:hint="eastAsia" w:ascii="仿宋" w:hAnsi="仿宋" w:eastAsia="仿宋"/>
          <w:szCs w:val="32"/>
        </w:rPr>
        <w:t>定期报告的内容与格式应当符合法律法规、本指引和其他有关业务规则的规定。</w:t>
      </w:r>
    </w:p>
    <w:p>
      <w:pPr>
        <w:numPr>
          <w:ilvl w:val="0"/>
          <w:numId w:val="1"/>
        </w:numPr>
        <w:ind w:left="0" w:firstLine="640"/>
        <w:rPr>
          <w:rFonts w:ascii="仿宋" w:hAnsi="仿宋" w:eastAsia="仿宋"/>
          <w:szCs w:val="32"/>
        </w:rPr>
      </w:pPr>
      <w:r>
        <w:rPr>
          <w:rFonts w:hint="eastAsia" w:ascii="仿宋" w:hAnsi="仿宋" w:eastAsia="仿宋"/>
          <w:szCs w:val="32"/>
        </w:rPr>
        <w:t>发行人无法按时披露定期报告的，应当在第十条规定的披露截止时间前披露公告，说明未按期披露的原因、应对措施以及预计披露时间等情况。</w:t>
      </w:r>
    </w:p>
    <w:p>
      <w:pPr>
        <w:ind w:firstLine="640"/>
        <w:rPr>
          <w:rFonts w:ascii="仿宋" w:hAnsi="仿宋" w:eastAsia="仿宋"/>
          <w:szCs w:val="32"/>
        </w:rPr>
      </w:pPr>
      <w:r>
        <w:rPr>
          <w:rFonts w:hint="eastAsia" w:ascii="仿宋" w:hAnsi="仿宋" w:eastAsia="仿宋"/>
          <w:szCs w:val="32"/>
        </w:rPr>
        <w:t>发行人披露前款公告的，不代表豁免其定期报告的按时披露义务。</w:t>
      </w:r>
    </w:p>
    <w:p>
      <w:pPr>
        <w:numPr>
          <w:ilvl w:val="0"/>
          <w:numId w:val="1"/>
        </w:numPr>
        <w:ind w:left="0" w:firstLine="640"/>
        <w:rPr>
          <w:rFonts w:ascii="仿宋" w:hAnsi="仿宋" w:eastAsia="仿宋"/>
          <w:szCs w:val="32"/>
        </w:rPr>
      </w:pPr>
      <w:r>
        <w:rPr>
          <w:rFonts w:hint="eastAsia" w:ascii="仿宋" w:hAnsi="仿宋" w:eastAsia="仿宋"/>
          <w:szCs w:val="32"/>
        </w:rPr>
        <w:t>发行人、担保机构更正定期报告相关信息的，应当及时披露更正公告和更正后的定期报告。</w:t>
      </w:r>
    </w:p>
    <w:p>
      <w:pPr>
        <w:ind w:firstLine="640"/>
        <w:rPr>
          <w:rFonts w:ascii="仿宋" w:hAnsi="仿宋" w:eastAsia="仿宋"/>
          <w:szCs w:val="32"/>
        </w:rPr>
      </w:pPr>
      <w:r>
        <w:rPr>
          <w:rFonts w:hint="eastAsia" w:ascii="仿宋" w:hAnsi="仿宋" w:eastAsia="仿宋"/>
          <w:szCs w:val="32"/>
        </w:rPr>
        <w:t>更正定期报告中经审计财务信息的，发行人、担保机构应当聘请会计师事务所对更正事项出具专项鉴证报告并及时披露。前述更正事项对经审计的财务报表具有广泛性影响或者导致公司相关年度盈亏性质发生改变的，发行人、担保机构应当聘请会计师事务所对更正后的财务报表进行全面审计，出具新的审计报告并及时披露。</w:t>
      </w:r>
    </w:p>
    <w:p>
      <w:pPr>
        <w:ind w:firstLine="640"/>
        <w:rPr>
          <w:rFonts w:ascii="仿宋" w:hAnsi="仿宋" w:eastAsia="仿宋"/>
          <w:szCs w:val="32"/>
        </w:rPr>
      </w:pPr>
      <w:r>
        <w:rPr>
          <w:rFonts w:hint="eastAsia" w:ascii="仿宋" w:hAnsi="仿宋" w:eastAsia="仿宋"/>
          <w:szCs w:val="32"/>
        </w:rPr>
        <w:t>前款所述的广泛性影响以及盈亏性质发生改变，按照中国证监会有关规则予以认定。</w:t>
      </w:r>
    </w:p>
    <w:p>
      <w:pPr>
        <w:numPr>
          <w:ilvl w:val="0"/>
          <w:numId w:val="1"/>
        </w:numPr>
        <w:ind w:left="0" w:firstLine="640"/>
        <w:rPr>
          <w:rFonts w:ascii="仿宋" w:hAnsi="仿宋" w:eastAsia="仿宋"/>
          <w:szCs w:val="32"/>
        </w:rPr>
      </w:pPr>
      <w:r>
        <w:rPr>
          <w:rFonts w:hint="eastAsia" w:ascii="仿宋" w:hAnsi="仿宋" w:eastAsia="仿宋"/>
          <w:szCs w:val="32"/>
        </w:rPr>
        <w:t>发行人的董事、高级管理人员应当对定期报告签署书面确认意见。发行人的监事会应当对董事会编制的定期报告进行审核并提出书面审核意见。监事应当签署书面确认意见。</w:t>
      </w:r>
    </w:p>
    <w:p>
      <w:pPr>
        <w:ind w:firstLine="640"/>
        <w:rPr>
          <w:rFonts w:ascii="仿宋" w:hAnsi="仿宋" w:eastAsia="仿宋"/>
          <w:szCs w:val="32"/>
        </w:rPr>
      </w:pPr>
      <w:r>
        <w:rPr>
          <w:rFonts w:hint="eastAsia" w:ascii="仿宋" w:hAnsi="仿宋" w:eastAsia="仿宋"/>
          <w:szCs w:val="32"/>
        </w:rPr>
        <w:t>发行人的董事、监事和高级管理人员无法保证定期报告内容的真实性、准确性、完整性或者有异议的，应当在书面确认意见中发表意见并陈述理由，发行人应当披露。发行人不予披露的，相关人员可以直接或者通过受托管理人向本所申请披露。</w:t>
      </w:r>
    </w:p>
    <w:p>
      <w:pPr>
        <w:ind w:firstLine="640"/>
        <w:rPr>
          <w:rFonts w:ascii="仿宋" w:hAnsi="仿宋" w:eastAsia="仿宋"/>
          <w:szCs w:val="32"/>
        </w:rPr>
      </w:pPr>
      <w:r>
        <w:rPr>
          <w:rFonts w:hint="eastAsia" w:ascii="仿宋" w:hAnsi="仿宋" w:eastAsia="仿宋"/>
          <w:szCs w:val="32"/>
        </w:rPr>
        <w:t>发行人及其董事、监事、高级管理人员应当保留书面确认意见备查。</w:t>
      </w:r>
    </w:p>
    <w:p>
      <w:pPr>
        <w:numPr>
          <w:ilvl w:val="0"/>
          <w:numId w:val="1"/>
        </w:numPr>
        <w:ind w:left="0" w:firstLine="640"/>
        <w:rPr>
          <w:rFonts w:ascii="仿宋" w:hAnsi="仿宋" w:eastAsia="仿宋"/>
          <w:szCs w:val="32"/>
        </w:rPr>
      </w:pPr>
      <w:r>
        <w:rPr>
          <w:rFonts w:hint="eastAsia" w:ascii="仿宋" w:hAnsi="仿宋" w:eastAsia="仿宋"/>
          <w:szCs w:val="32"/>
        </w:rPr>
        <w:t>发行人的董事、监事、高级管理人员应当及时关注发行人定期报告披露内容，发现与其据以签署书面确认意见的内容存在重大不一致或者未能真实、准确、完整披露其意见的，应当立即通知受托管理人并向本所报告。</w:t>
      </w:r>
    </w:p>
    <w:p>
      <w:pPr>
        <w:numPr>
          <w:ilvl w:val="0"/>
          <w:numId w:val="1"/>
        </w:numPr>
        <w:ind w:left="0" w:firstLine="640"/>
        <w:rPr>
          <w:szCs w:val="32"/>
        </w:rPr>
      </w:pPr>
      <w:r>
        <w:rPr>
          <w:rFonts w:hint="eastAsia" w:ascii="仿宋" w:hAnsi="仿宋" w:eastAsia="仿宋"/>
          <w:szCs w:val="32"/>
        </w:rPr>
        <w:t>发行人转移债券清偿义务的，定期报告披露义务由承继方承担。</w:t>
      </w:r>
    </w:p>
    <w:p>
      <w:pPr>
        <w:pStyle w:val="2"/>
        <w:keepNext/>
        <w:keepLines/>
        <w:spacing w:before="240" w:after="240" w:line="240" w:lineRule="auto"/>
        <w:rPr>
          <w:rFonts w:ascii="黑体" w:hAnsi="黑体" w:cs="Times New Roman"/>
          <w:color w:val="auto"/>
          <w:kern w:val="44"/>
          <w:szCs w:val="32"/>
        </w:rPr>
      </w:pPr>
      <w:bookmarkStart w:id="8" w:name="_Toc122426493"/>
      <w:r>
        <w:rPr>
          <w:rFonts w:hint="eastAsia" w:ascii="黑体" w:hAnsi="黑体" w:cs="Times New Roman"/>
          <w:color w:val="auto"/>
          <w:kern w:val="44"/>
          <w:szCs w:val="32"/>
        </w:rPr>
        <w:t>第三章</w:t>
      </w:r>
      <w:r>
        <w:rPr>
          <w:rFonts w:ascii="黑体" w:hAnsi="黑体" w:cs="Times New Roman"/>
          <w:color w:val="auto"/>
          <w:kern w:val="44"/>
          <w:szCs w:val="32"/>
        </w:rPr>
        <w:t xml:space="preserve"> </w:t>
      </w:r>
      <w:r>
        <w:rPr>
          <w:rFonts w:hint="eastAsia" w:ascii="黑体" w:hAnsi="黑体" w:cs="Times New Roman"/>
          <w:color w:val="auto"/>
          <w:kern w:val="44"/>
          <w:szCs w:val="32"/>
        </w:rPr>
        <w:t>重要提示、目录和释义</w:t>
      </w:r>
      <w:bookmarkEnd w:id="8"/>
    </w:p>
    <w:p>
      <w:pPr>
        <w:numPr>
          <w:ilvl w:val="0"/>
          <w:numId w:val="1"/>
        </w:numPr>
        <w:ind w:left="0" w:firstLine="640"/>
        <w:rPr>
          <w:rFonts w:ascii="仿宋" w:hAnsi="仿宋" w:eastAsia="仿宋"/>
          <w:szCs w:val="32"/>
        </w:rPr>
      </w:pPr>
      <w:r>
        <w:rPr>
          <w:rFonts w:hint="eastAsia" w:ascii="仿宋" w:hAnsi="仿宋" w:eastAsia="仿宋"/>
          <w:szCs w:val="32"/>
        </w:rPr>
        <w:t>定期报告封面应当载明发行人的名称、定期报告类型、报告期以及披露时间。</w:t>
      </w:r>
    </w:p>
    <w:p>
      <w:pPr>
        <w:numPr>
          <w:ilvl w:val="0"/>
          <w:numId w:val="1"/>
        </w:numPr>
        <w:ind w:left="0" w:firstLine="640"/>
        <w:rPr>
          <w:rFonts w:ascii="仿宋" w:hAnsi="仿宋" w:eastAsia="仿宋"/>
          <w:szCs w:val="32"/>
        </w:rPr>
      </w:pPr>
      <w:r>
        <w:rPr>
          <w:rFonts w:hint="eastAsia" w:ascii="仿宋" w:hAnsi="仿宋" w:eastAsia="仿宋"/>
          <w:szCs w:val="32"/>
        </w:rPr>
        <w:t>发行人应当在定期报告扉页刊登如下重要提示：发行人承诺将及时、公平地履行信息披露义务，发行人及其董事、监事、高级管理人员保证定期报告信息披露的真实、准确、完整，不存在虚假记载、误导性陈述或者重大遗漏。</w:t>
      </w:r>
    </w:p>
    <w:p>
      <w:pPr>
        <w:ind w:firstLine="640"/>
        <w:rPr>
          <w:rFonts w:ascii="仿宋" w:hAnsi="仿宋" w:eastAsia="仿宋"/>
          <w:szCs w:val="32"/>
        </w:rPr>
      </w:pPr>
      <w:r>
        <w:rPr>
          <w:rFonts w:hint="eastAsia" w:ascii="仿宋" w:hAnsi="仿宋" w:eastAsia="仿宋"/>
          <w:bCs/>
          <w:szCs w:val="32"/>
        </w:rPr>
        <w:t>发行人的董事、监事、高级管理人员</w:t>
      </w:r>
      <w:r>
        <w:rPr>
          <w:rFonts w:hint="eastAsia" w:ascii="仿宋" w:hAnsi="仿宋" w:eastAsia="仿宋"/>
          <w:szCs w:val="32"/>
        </w:rPr>
        <w:t>不能保证报告内容的真实、准确、完整或者有异议的，发行人应当披露相关人员的姓名及其理由。</w:t>
      </w:r>
    </w:p>
    <w:p>
      <w:pPr>
        <w:ind w:firstLine="640"/>
        <w:rPr>
          <w:rFonts w:ascii="仿宋" w:hAnsi="仿宋" w:eastAsia="仿宋"/>
          <w:szCs w:val="32"/>
        </w:rPr>
      </w:pPr>
      <w:r>
        <w:rPr>
          <w:rFonts w:hint="eastAsia" w:ascii="仿宋" w:hAnsi="仿宋" w:eastAsia="仿宋"/>
          <w:szCs w:val="32"/>
        </w:rPr>
        <w:t>如执行审计的会计师事务所出具了非标准意见审计报告，发行人应当在重要事项提示中就相关事项对发行人生产经营和偿债能力的影响进行说明，并提醒投资者予以关注。</w:t>
      </w:r>
    </w:p>
    <w:p>
      <w:pPr>
        <w:numPr>
          <w:ilvl w:val="0"/>
          <w:numId w:val="1"/>
        </w:numPr>
        <w:ind w:left="0" w:firstLine="640"/>
        <w:rPr>
          <w:rFonts w:ascii="仿宋" w:hAnsi="仿宋" w:eastAsia="仿宋"/>
          <w:szCs w:val="32"/>
        </w:rPr>
      </w:pPr>
      <w:r>
        <w:rPr>
          <w:rFonts w:hint="eastAsia" w:ascii="仿宋" w:hAnsi="仿宋" w:eastAsia="仿宋"/>
          <w:szCs w:val="32"/>
        </w:rPr>
        <w:t>发行人应当刊登风险提示，披露可能直接或者间接对发行人生产经营状况、财务状况、经营业绩、债券偿付能力和投资者权益保护产生重大不利影响的风险。发行人对风险因素的描述应当遵循关联性和重要性原则，重点说明与上一期定期报告或者募集说明书所提示风险因素的变化。</w:t>
      </w:r>
    </w:p>
    <w:p>
      <w:pPr>
        <w:numPr>
          <w:ilvl w:val="0"/>
          <w:numId w:val="1"/>
        </w:numPr>
        <w:ind w:left="0" w:firstLine="640"/>
        <w:rPr>
          <w:rFonts w:ascii="仿宋" w:hAnsi="仿宋" w:eastAsia="仿宋"/>
          <w:szCs w:val="32"/>
        </w:rPr>
      </w:pPr>
      <w:r>
        <w:rPr>
          <w:rFonts w:hint="eastAsia" w:ascii="仿宋" w:hAnsi="仿宋" w:eastAsia="仿宋"/>
          <w:szCs w:val="32"/>
        </w:rPr>
        <w:t>在不影响信息披露完整性，并保证阅读方便的前提下，对于可公开获得且内容未发生变化的信息披露事项，发行人可以采用索引的方式进行披露。索引内容也是定期报告的组成部分，发行人及其相关人员应当对索引内容承担相应的法律责任。</w:t>
      </w:r>
    </w:p>
    <w:p>
      <w:pPr>
        <w:numPr>
          <w:ilvl w:val="0"/>
          <w:numId w:val="1"/>
        </w:numPr>
        <w:ind w:left="0" w:firstLine="640"/>
        <w:rPr>
          <w:rFonts w:ascii="仿宋" w:hAnsi="仿宋" w:eastAsia="仿宋"/>
          <w:szCs w:val="32"/>
        </w:rPr>
      </w:pPr>
      <w:r>
        <w:rPr>
          <w:rFonts w:hint="eastAsia" w:ascii="仿宋" w:hAnsi="仿宋" w:eastAsia="仿宋"/>
          <w:szCs w:val="32"/>
        </w:rPr>
        <w:t>目录应当标明各章节的标题及其对应的页码，内容编排应当逻辑清晰。发行人应当对有助于投资者理解和有特定含义的术语（包括但不限于名称缩写、专有名词等）做出释义。定期报告的释义应当在目录次页排印。</w:t>
      </w:r>
    </w:p>
    <w:p>
      <w:pPr>
        <w:pStyle w:val="2"/>
        <w:keepNext/>
        <w:keepLines/>
        <w:spacing w:before="240" w:after="240" w:line="240" w:lineRule="auto"/>
        <w:rPr>
          <w:rFonts w:ascii="黑体" w:hAnsi="黑体" w:cs="Times New Roman"/>
          <w:color w:val="auto"/>
          <w:kern w:val="44"/>
          <w:szCs w:val="32"/>
        </w:rPr>
      </w:pPr>
      <w:bookmarkStart w:id="9" w:name="_Toc122426494"/>
      <w:r>
        <w:rPr>
          <w:rFonts w:hint="eastAsia" w:ascii="黑体" w:hAnsi="黑体" w:cs="Times New Roman"/>
          <w:color w:val="auto"/>
          <w:kern w:val="44"/>
          <w:szCs w:val="32"/>
        </w:rPr>
        <w:t>第四章</w:t>
      </w:r>
      <w:r>
        <w:rPr>
          <w:rFonts w:ascii="黑体" w:hAnsi="黑体" w:cs="Times New Roman"/>
          <w:color w:val="auto"/>
          <w:kern w:val="44"/>
          <w:szCs w:val="32"/>
        </w:rPr>
        <w:t xml:space="preserve"> </w:t>
      </w:r>
      <w:r>
        <w:rPr>
          <w:rFonts w:hint="eastAsia" w:ascii="黑体" w:hAnsi="黑体" w:cs="Times New Roman"/>
          <w:color w:val="auto"/>
          <w:kern w:val="44"/>
          <w:szCs w:val="32"/>
        </w:rPr>
        <w:t>发行人情况</w:t>
      </w:r>
      <w:bookmarkEnd w:id="9"/>
    </w:p>
    <w:p>
      <w:pPr>
        <w:numPr>
          <w:ilvl w:val="0"/>
          <w:numId w:val="1"/>
        </w:numPr>
        <w:ind w:left="0" w:firstLine="640"/>
        <w:rPr>
          <w:rFonts w:ascii="仿宋" w:hAnsi="仿宋" w:eastAsia="仿宋"/>
          <w:szCs w:val="32"/>
        </w:rPr>
      </w:pPr>
      <w:r>
        <w:rPr>
          <w:rFonts w:hint="eastAsia" w:ascii="仿宋" w:hAnsi="仿宋" w:eastAsia="仿宋"/>
          <w:szCs w:val="32"/>
        </w:rPr>
        <w:t>发行人应当披露中文名称以及简称、外文名称以及缩写、公司法定代表人、注册资本、实缴资本、注册地址、办公地址、企业网址（如有）、电子信箱等信息，以及信息披露事务负责人姓名、职务、联系地址、电话、传真、邮箱等。</w:t>
      </w:r>
    </w:p>
    <w:p>
      <w:pPr>
        <w:numPr>
          <w:ilvl w:val="0"/>
          <w:numId w:val="1"/>
        </w:numPr>
        <w:ind w:left="0" w:firstLine="640"/>
        <w:rPr>
          <w:rFonts w:ascii="仿宋" w:hAnsi="仿宋" w:eastAsia="仿宋"/>
          <w:szCs w:val="32"/>
        </w:rPr>
      </w:pPr>
      <w:r>
        <w:rPr>
          <w:rFonts w:hint="eastAsia" w:ascii="仿宋" w:hAnsi="仿宋" w:eastAsia="仿宋"/>
          <w:szCs w:val="32"/>
        </w:rPr>
        <w:t>发行人应当披露报告期内控股股东、实际控制人的变更情况。</w:t>
      </w:r>
    </w:p>
    <w:p>
      <w:pPr>
        <w:ind w:firstLine="640"/>
        <w:rPr>
          <w:rFonts w:ascii="仿宋" w:hAnsi="仿宋" w:eastAsia="仿宋"/>
          <w:szCs w:val="32"/>
        </w:rPr>
      </w:pPr>
      <w:r>
        <w:rPr>
          <w:rFonts w:hint="eastAsia" w:ascii="仿宋" w:hAnsi="仿宋" w:eastAsia="仿宋"/>
          <w:szCs w:val="32"/>
        </w:rPr>
        <w:t>发行人应当披露</w:t>
      </w:r>
      <w:r>
        <w:rPr>
          <w:rFonts w:ascii="仿宋" w:hAnsi="仿宋" w:eastAsia="仿宋"/>
          <w:szCs w:val="32"/>
        </w:rPr>
        <w:t>报告期末控股股东、实际控制人</w:t>
      </w:r>
      <w:r>
        <w:rPr>
          <w:rFonts w:hint="eastAsia" w:ascii="仿宋" w:hAnsi="仿宋" w:eastAsia="仿宋"/>
          <w:szCs w:val="32"/>
        </w:rPr>
        <w:t>的下列事项，并重点说明与上一期定期报告或者募集说明书披露内容的变化之处：</w:t>
      </w:r>
    </w:p>
    <w:p>
      <w:pPr>
        <w:ind w:firstLine="640"/>
        <w:rPr>
          <w:rFonts w:ascii="仿宋" w:hAnsi="仿宋" w:eastAsia="仿宋"/>
          <w:szCs w:val="32"/>
        </w:rPr>
      </w:pPr>
      <w:r>
        <w:rPr>
          <w:rFonts w:hint="eastAsia" w:ascii="仿宋" w:hAnsi="仿宋" w:eastAsia="仿宋"/>
          <w:szCs w:val="32"/>
        </w:rPr>
        <w:t>（一）控股股东、实际控制人姓名或者名称、对发行人的持股比例、持股结构以及相应股权（股份）受限情况；</w:t>
      </w:r>
    </w:p>
    <w:p>
      <w:pPr>
        <w:ind w:firstLine="640"/>
        <w:rPr>
          <w:rFonts w:ascii="仿宋" w:hAnsi="仿宋" w:eastAsia="仿宋"/>
          <w:szCs w:val="32"/>
        </w:rPr>
      </w:pPr>
      <w:r>
        <w:rPr>
          <w:rFonts w:hint="eastAsia" w:ascii="仿宋" w:hAnsi="仿宋" w:eastAsia="仿宋"/>
          <w:szCs w:val="32"/>
        </w:rPr>
        <w:t>（二）控股股东为机关法人、国务院部委或者直属机构代表国务院履行出资人职责的企业以外主体的，发行人还应当披露控股股东的资信情况，所持有的除发行人股权（股份）外的其他主要资产及其受限情况；</w:t>
      </w:r>
    </w:p>
    <w:p>
      <w:pPr>
        <w:ind w:firstLine="640"/>
        <w:rPr>
          <w:rFonts w:ascii="仿宋" w:hAnsi="仿宋" w:eastAsia="仿宋"/>
          <w:szCs w:val="32"/>
        </w:rPr>
      </w:pPr>
      <w:r>
        <w:rPr>
          <w:rFonts w:hint="eastAsia" w:ascii="仿宋" w:hAnsi="仿宋" w:eastAsia="仿宋"/>
          <w:szCs w:val="32"/>
        </w:rPr>
        <w:t>（三）实际控制人为自然人的，发行人还应当披露实际控制人的资信情况，所持有的除发行人股权（股份）外的其他主要资产及其受限情况。</w:t>
      </w:r>
    </w:p>
    <w:p>
      <w:pPr>
        <w:numPr>
          <w:ilvl w:val="0"/>
          <w:numId w:val="1"/>
        </w:numPr>
        <w:ind w:left="0" w:firstLine="640"/>
        <w:rPr>
          <w:rFonts w:ascii="仿宋" w:hAnsi="仿宋" w:eastAsia="仿宋"/>
          <w:szCs w:val="32"/>
        </w:rPr>
      </w:pPr>
      <w:r>
        <w:rPr>
          <w:rFonts w:hint="eastAsia" w:ascii="仿宋" w:hAnsi="仿宋" w:eastAsia="仿宋"/>
          <w:szCs w:val="32"/>
        </w:rPr>
        <w:t>发行人应当披露截至报告批准报出日董事、监事、高级管理人员的姓名及其职务。</w:t>
      </w:r>
    </w:p>
    <w:p>
      <w:pPr>
        <w:ind w:firstLine="640"/>
        <w:rPr>
          <w:rFonts w:ascii="仿宋" w:hAnsi="仿宋" w:eastAsia="仿宋"/>
          <w:szCs w:val="32"/>
        </w:rPr>
      </w:pPr>
      <w:r>
        <w:rPr>
          <w:rFonts w:hint="eastAsia" w:ascii="仿宋" w:hAnsi="仿宋" w:eastAsia="仿宋"/>
          <w:szCs w:val="32"/>
        </w:rPr>
        <w:t>发行人应当披露报告期内董事、监事、高级管理人员的变更情况，说明相关人员姓名、职务、变更时间以及离任人数占报告期初总人数的比例。</w:t>
      </w:r>
    </w:p>
    <w:p>
      <w:pPr>
        <w:numPr>
          <w:ilvl w:val="0"/>
          <w:numId w:val="1"/>
        </w:numPr>
        <w:ind w:left="0" w:firstLine="640"/>
        <w:rPr>
          <w:rFonts w:ascii="仿宋" w:hAnsi="仿宋" w:eastAsia="仿宋"/>
          <w:szCs w:val="32"/>
        </w:rPr>
      </w:pPr>
      <w:r>
        <w:rPr>
          <w:rFonts w:hint="eastAsia" w:ascii="仿宋" w:hAnsi="仿宋" w:eastAsia="仿宋"/>
          <w:szCs w:val="32"/>
        </w:rPr>
        <w:t>发行人应当披露报告期内与控股股东、实际控制人以及其他关联方之间在资产、人员、机构、财务、业务经营等方面的相互独立情况，并披露关联交易的决策权限、决策程序、定价机制和信息披露安排等内容。</w:t>
      </w:r>
    </w:p>
    <w:p>
      <w:pPr>
        <w:numPr>
          <w:ilvl w:val="0"/>
          <w:numId w:val="1"/>
        </w:numPr>
        <w:ind w:left="0" w:firstLine="640"/>
        <w:rPr>
          <w:rFonts w:ascii="仿宋" w:hAnsi="仿宋" w:eastAsia="仿宋"/>
          <w:szCs w:val="32"/>
        </w:rPr>
      </w:pPr>
      <w:r>
        <w:rPr>
          <w:rFonts w:hint="eastAsia" w:ascii="仿宋" w:hAnsi="仿宋" w:eastAsia="仿宋"/>
          <w:szCs w:val="32"/>
        </w:rPr>
        <w:t>发行人应当在年度报告中披露发行人与关联方之间关联担保的金额，以及发行人与合并报表范围外关联方之间购买、出售、借款等其他各类关联交易的金额。发行人与同一关联方发生前述关联交易累计占发行人上年末净资产</w:t>
      </w:r>
      <w:r>
        <w:rPr>
          <w:rFonts w:ascii="仿宋" w:hAnsi="仿宋" w:eastAsia="仿宋"/>
          <w:szCs w:val="32"/>
        </w:rPr>
        <w:t>100%以上的，应当披露交易对方名称、交易类型以及各类交易累计发生额。</w:t>
      </w:r>
    </w:p>
    <w:p>
      <w:pPr>
        <w:numPr>
          <w:ilvl w:val="0"/>
          <w:numId w:val="1"/>
        </w:numPr>
        <w:ind w:left="0" w:firstLine="640"/>
        <w:rPr>
          <w:rFonts w:ascii="仿宋" w:hAnsi="仿宋" w:eastAsia="仿宋"/>
          <w:szCs w:val="32"/>
        </w:rPr>
      </w:pPr>
      <w:r>
        <w:rPr>
          <w:rFonts w:hint="eastAsia" w:ascii="仿宋" w:hAnsi="仿宋" w:eastAsia="仿宋"/>
          <w:szCs w:val="32"/>
        </w:rPr>
        <w:t>发行人应当披露报告期内是否存在违反法律法规、自律规则、公司章程、信息披露事务管理制度等规定的情况以及相关文件约定或者承诺的情况，并披露相关情况对债券投资者合法权益的影响。</w:t>
      </w:r>
    </w:p>
    <w:p>
      <w:pPr>
        <w:numPr>
          <w:ilvl w:val="0"/>
          <w:numId w:val="1"/>
        </w:numPr>
        <w:ind w:left="0" w:firstLine="640"/>
        <w:rPr>
          <w:rFonts w:ascii="仿宋" w:hAnsi="仿宋" w:eastAsia="仿宋"/>
          <w:szCs w:val="32"/>
        </w:rPr>
      </w:pPr>
      <w:r>
        <w:rPr>
          <w:rFonts w:hint="eastAsia" w:ascii="仿宋" w:hAnsi="仿宋" w:eastAsia="仿宋"/>
          <w:szCs w:val="32"/>
        </w:rPr>
        <w:t>发行人应当披露报告期内发行人合并报表业务范围、主营业务情况、经营模式、业务发展目标、行业状况、行业地位以及面临的主要竞争状况，重点突出报告期内发生的重大变化以及有关变化对公司经营情况和偿债能力的影响。</w:t>
      </w:r>
    </w:p>
    <w:p>
      <w:pPr>
        <w:numPr>
          <w:ilvl w:val="0"/>
          <w:numId w:val="1"/>
        </w:numPr>
        <w:ind w:left="0" w:firstLine="640"/>
        <w:rPr>
          <w:rFonts w:ascii="仿宋" w:hAnsi="仿宋" w:eastAsia="仿宋"/>
          <w:b/>
          <w:bCs/>
          <w:szCs w:val="32"/>
        </w:rPr>
      </w:pPr>
      <w:r>
        <w:rPr>
          <w:rFonts w:hint="eastAsia" w:ascii="仿宋" w:hAnsi="仿宋" w:eastAsia="仿宋"/>
          <w:szCs w:val="32"/>
        </w:rPr>
        <w:t>发行人应当根据自身实际情况，在定期报告中按照不同的业务板块或者产品分析报告期内收入、成本和利润等的构成和比例及其变动情况。</w:t>
      </w:r>
    </w:p>
    <w:p>
      <w:pPr>
        <w:ind w:firstLine="640"/>
        <w:rPr>
          <w:rFonts w:ascii="仿宋" w:hAnsi="仿宋" w:eastAsia="仿宋"/>
          <w:bCs/>
          <w:szCs w:val="32"/>
        </w:rPr>
      </w:pPr>
      <w:r>
        <w:rPr>
          <w:rFonts w:hint="eastAsia" w:ascii="仿宋" w:hAnsi="仿宋" w:eastAsia="仿宋"/>
          <w:color w:val="auto"/>
          <w:szCs w:val="32"/>
        </w:rPr>
        <w:t>报告期内发行人合并报表范围新增收入或者利润占发行人合并报表相应数据</w:t>
      </w:r>
      <w:r>
        <w:rPr>
          <w:rFonts w:ascii="仿宋" w:hAnsi="仿宋" w:eastAsia="仿宋"/>
          <w:color w:val="auto"/>
          <w:szCs w:val="32"/>
        </w:rPr>
        <w:t>10%以上业务板块的，发行人应当在年度报告中披露该业务板块的经营情况、主要产品以及与原业务的关联性等情况。</w:t>
      </w:r>
    </w:p>
    <w:p>
      <w:pPr>
        <w:ind w:firstLine="640"/>
        <w:rPr>
          <w:rFonts w:ascii="仿宋" w:hAnsi="仿宋" w:eastAsia="仿宋"/>
          <w:bCs/>
          <w:szCs w:val="32"/>
        </w:rPr>
      </w:pPr>
      <w:r>
        <w:rPr>
          <w:rFonts w:hint="eastAsia" w:ascii="仿宋" w:hAnsi="仿宋" w:eastAsia="仿宋"/>
          <w:bCs/>
          <w:szCs w:val="32"/>
        </w:rPr>
        <w:t>发行人应当在年度报告中披露占其合并报表范围营业收入或者毛利润</w:t>
      </w:r>
      <w:r>
        <w:rPr>
          <w:rFonts w:ascii="仿宋" w:hAnsi="仿宋" w:eastAsia="仿宋"/>
          <w:bCs/>
          <w:szCs w:val="32"/>
        </w:rPr>
        <w:t>10%以上的产品或者服务的经营情况，说明相关产品或者服务所属业务板块，收入、成本金额及其构成比例，以及收入、成本较上年同期的变动情况。如不</w:t>
      </w:r>
      <w:r>
        <w:rPr>
          <w:rFonts w:hint="eastAsia" w:ascii="仿宋" w:hAnsi="仿宋" w:eastAsia="仿宋"/>
          <w:bCs/>
          <w:szCs w:val="32"/>
        </w:rPr>
        <w:t>存在占其合并报表范围营业收入或者毛利润</w:t>
      </w:r>
      <w:r>
        <w:rPr>
          <w:rFonts w:ascii="仿宋" w:hAnsi="仿宋" w:eastAsia="仿宋"/>
          <w:bCs/>
          <w:szCs w:val="32"/>
        </w:rPr>
        <w:t>10%以上的产品或者服务，发行人应当披露营业收入或者毛利润占比最高的产品或者服务的经营情况，说明相关产品或者服务所属业务板块，收入、成本金额及其构成比例，以及收入、成本较上年同期的变动情况。</w:t>
      </w:r>
    </w:p>
    <w:p>
      <w:pPr>
        <w:ind w:firstLine="640"/>
        <w:rPr>
          <w:rFonts w:ascii="仿宋" w:hAnsi="仿宋" w:eastAsia="仿宋"/>
          <w:bCs/>
          <w:szCs w:val="32"/>
        </w:rPr>
      </w:pPr>
      <w:r>
        <w:rPr>
          <w:rFonts w:hint="eastAsia" w:ascii="仿宋" w:hAnsi="仿宋" w:eastAsia="仿宋"/>
          <w:bCs/>
          <w:szCs w:val="32"/>
        </w:rPr>
        <w:t>发行人合并报表范围的业务收入、成本等指标同比变动达</w:t>
      </w:r>
      <w:r>
        <w:rPr>
          <w:rFonts w:ascii="仿宋" w:hAnsi="仿宋" w:eastAsia="仿宋"/>
          <w:bCs/>
          <w:szCs w:val="32"/>
        </w:rPr>
        <w:t>30%以上的，还应当结合所属行业整体情况、经营模式、业务开展实际情况等，进一步说明相关变动的原因及其合理性。</w:t>
      </w:r>
    </w:p>
    <w:p>
      <w:pPr>
        <w:ind w:firstLine="640"/>
        <w:rPr>
          <w:rFonts w:ascii="仿宋" w:hAnsi="仿宋" w:eastAsia="仿宋"/>
          <w:szCs w:val="32"/>
        </w:rPr>
      </w:pPr>
      <w:r>
        <w:rPr>
          <w:rFonts w:hint="eastAsia" w:ascii="仿宋" w:hAnsi="仿宋" w:eastAsia="仿宋"/>
          <w:szCs w:val="32"/>
        </w:rPr>
        <w:t>报告期内发行人非主要经营业务收入占合并报表范围营业收入</w:t>
      </w:r>
      <w:r>
        <w:rPr>
          <w:rFonts w:ascii="仿宋" w:hAnsi="仿宋" w:eastAsia="仿宋"/>
          <w:szCs w:val="32"/>
        </w:rPr>
        <w:t>30%</w:t>
      </w:r>
      <w:r>
        <w:rPr>
          <w:rFonts w:hint="eastAsia" w:ascii="仿宋" w:hAnsi="仿宋" w:eastAsia="仿宋"/>
          <w:szCs w:val="32"/>
        </w:rPr>
        <w:t>以上的，应当详细说明非主要经营业务收入涉及金额、形成原因、是否具有可持续性等情况。</w:t>
      </w:r>
    </w:p>
    <w:p>
      <w:pPr>
        <w:pStyle w:val="2"/>
        <w:keepNext/>
        <w:keepLines/>
        <w:spacing w:before="240" w:after="240" w:line="240" w:lineRule="auto"/>
        <w:rPr>
          <w:rFonts w:ascii="黑体" w:hAnsi="黑体" w:cs="Times New Roman"/>
          <w:color w:val="auto"/>
          <w:kern w:val="44"/>
          <w:szCs w:val="32"/>
        </w:rPr>
      </w:pPr>
      <w:bookmarkStart w:id="10" w:name="_Toc122426495"/>
      <w:r>
        <w:rPr>
          <w:rFonts w:hint="eastAsia" w:ascii="黑体" w:hAnsi="黑体" w:cs="Times New Roman"/>
          <w:color w:val="auto"/>
          <w:kern w:val="44"/>
          <w:szCs w:val="32"/>
        </w:rPr>
        <w:t>第五章</w:t>
      </w:r>
      <w:r>
        <w:rPr>
          <w:rFonts w:ascii="黑体" w:hAnsi="黑体" w:cs="Times New Roman"/>
          <w:color w:val="auto"/>
          <w:kern w:val="44"/>
          <w:szCs w:val="32"/>
        </w:rPr>
        <w:t xml:space="preserve"> </w:t>
      </w:r>
      <w:r>
        <w:rPr>
          <w:rFonts w:hint="eastAsia" w:ascii="黑体" w:hAnsi="黑体" w:cs="Times New Roman"/>
          <w:color w:val="auto"/>
          <w:kern w:val="44"/>
          <w:szCs w:val="32"/>
        </w:rPr>
        <w:t>债券事项</w:t>
      </w:r>
      <w:bookmarkEnd w:id="10"/>
    </w:p>
    <w:p>
      <w:pPr>
        <w:numPr>
          <w:ilvl w:val="0"/>
          <w:numId w:val="1"/>
        </w:numPr>
        <w:ind w:left="0" w:firstLine="640"/>
        <w:rPr>
          <w:rFonts w:ascii="仿宋" w:hAnsi="仿宋" w:eastAsia="仿宋"/>
          <w:szCs w:val="32"/>
        </w:rPr>
      </w:pPr>
      <w:r>
        <w:rPr>
          <w:rFonts w:hint="eastAsia" w:ascii="仿宋" w:hAnsi="仿宋" w:eastAsia="仿宋"/>
          <w:szCs w:val="32"/>
        </w:rPr>
        <w:t>发行人应当以列表形式披露所有在定期报告批准报出日未到期或者已到期未能全额兑付的公司债券的情况，包括</w:t>
      </w:r>
      <w:r>
        <w:rPr>
          <w:rFonts w:ascii="仿宋" w:hAnsi="仿宋" w:eastAsia="仿宋"/>
          <w:szCs w:val="32"/>
        </w:rPr>
        <w:t>债券名称、简称、代码、发行日、起息日、到期日、债券余额、利率、还本付息方式、主承销商、受托管理人</w:t>
      </w:r>
      <w:r>
        <w:rPr>
          <w:rFonts w:hint="eastAsia" w:ascii="仿宋" w:hAnsi="仿宋" w:eastAsia="仿宋"/>
          <w:szCs w:val="32"/>
        </w:rPr>
        <w:t>、交易场所、投资者适当性安排、适用的交易机制、是否存在终止上市交易或者挂牌转让的风险和应对措施等。</w:t>
      </w:r>
    </w:p>
    <w:p>
      <w:pPr>
        <w:numPr>
          <w:ilvl w:val="0"/>
          <w:numId w:val="1"/>
        </w:numPr>
        <w:ind w:left="0" w:firstLine="640"/>
        <w:rPr>
          <w:rFonts w:ascii="仿宋" w:hAnsi="仿宋" w:eastAsia="仿宋"/>
          <w:szCs w:val="32"/>
        </w:rPr>
      </w:pPr>
      <w:r>
        <w:rPr>
          <w:rFonts w:hint="eastAsia" w:ascii="仿宋" w:hAnsi="仿宋" w:eastAsia="仿宋"/>
          <w:szCs w:val="32"/>
        </w:rPr>
        <w:t>公司债券附选择权条款、投资者保护条款等特殊条款的，发行人应当披露相关条款的名称以及报告期内是否触发执行。触发执行的，发行人应当披露报告期内相关条款的约定内容、触发和执行情况。</w:t>
      </w:r>
    </w:p>
    <w:p>
      <w:pPr>
        <w:numPr>
          <w:ilvl w:val="0"/>
          <w:numId w:val="1"/>
        </w:numPr>
        <w:ind w:left="0" w:firstLine="640"/>
        <w:rPr>
          <w:rFonts w:ascii="仿宋" w:hAnsi="仿宋" w:eastAsia="仿宋"/>
          <w:szCs w:val="32"/>
        </w:rPr>
      </w:pPr>
      <w:r>
        <w:rPr>
          <w:rFonts w:hint="eastAsia" w:ascii="仿宋" w:hAnsi="仿宋" w:eastAsia="仿宋"/>
          <w:szCs w:val="32"/>
        </w:rPr>
        <w:t>发行人应当按债项以列表形式逐一披露下列截至报告期末未到期公司债券募集资金使用和整改情况：</w:t>
      </w:r>
    </w:p>
    <w:p>
      <w:pPr>
        <w:ind w:firstLine="640" w:firstLineChars="0"/>
        <w:rPr>
          <w:rFonts w:ascii="仿宋" w:hAnsi="仿宋" w:eastAsia="仿宋"/>
          <w:szCs w:val="32"/>
        </w:rPr>
      </w:pPr>
      <w:r>
        <w:rPr>
          <w:rFonts w:hint="eastAsia" w:ascii="仿宋" w:hAnsi="仿宋" w:eastAsia="仿宋"/>
          <w:szCs w:val="32"/>
        </w:rPr>
        <w:t>（一）募集资金总额、已使用金额、未使用金额；</w:t>
      </w:r>
    </w:p>
    <w:p>
      <w:pPr>
        <w:ind w:firstLine="640" w:firstLineChars="0"/>
        <w:rPr>
          <w:rFonts w:ascii="仿宋" w:hAnsi="仿宋" w:eastAsia="仿宋"/>
          <w:szCs w:val="32"/>
        </w:rPr>
      </w:pPr>
      <w:r>
        <w:rPr>
          <w:rFonts w:hint="eastAsia" w:ascii="仿宋" w:hAnsi="仿宋" w:eastAsia="仿宋"/>
          <w:szCs w:val="32"/>
        </w:rPr>
        <w:t>（二）募集说明书等约定的募集资金用途、截至报告期末募集资金实际用途、实际用途是否与募集说明书约定或者其他文件的约定一致，不一致的，应当说明原因；</w:t>
      </w:r>
    </w:p>
    <w:p>
      <w:pPr>
        <w:ind w:firstLine="640" w:firstLineChars="0"/>
        <w:rPr>
          <w:rFonts w:ascii="仿宋" w:hAnsi="仿宋" w:eastAsia="仿宋"/>
          <w:szCs w:val="32"/>
        </w:rPr>
      </w:pPr>
      <w:r>
        <w:rPr>
          <w:rFonts w:hint="eastAsia" w:ascii="仿宋" w:hAnsi="仿宋" w:eastAsia="仿宋"/>
          <w:szCs w:val="32"/>
        </w:rPr>
        <w:t>（三）募集资金专项账户运作情况（如有）；</w:t>
      </w:r>
    </w:p>
    <w:p>
      <w:pPr>
        <w:ind w:firstLine="640"/>
        <w:rPr>
          <w:rFonts w:ascii="仿宋" w:hAnsi="仿宋" w:eastAsia="仿宋"/>
          <w:szCs w:val="32"/>
        </w:rPr>
      </w:pPr>
      <w:r>
        <w:rPr>
          <w:rFonts w:hint="eastAsia" w:ascii="仿宋" w:hAnsi="仿宋" w:eastAsia="仿宋"/>
          <w:szCs w:val="32"/>
        </w:rPr>
        <w:t>（四）募集资金用途发生变更的，应当披露变更履行的程序、信息披露情况、变更后的用途及其合法合规性；</w:t>
      </w:r>
    </w:p>
    <w:p>
      <w:pPr>
        <w:ind w:firstLine="640" w:firstLineChars="0"/>
        <w:rPr>
          <w:rFonts w:ascii="仿宋" w:hAnsi="仿宋" w:eastAsia="仿宋"/>
          <w:szCs w:val="32"/>
        </w:rPr>
      </w:pPr>
      <w:r>
        <w:rPr>
          <w:rFonts w:hint="eastAsia" w:ascii="仿宋" w:hAnsi="仿宋" w:eastAsia="仿宋"/>
          <w:szCs w:val="32"/>
        </w:rPr>
        <w:t>（五）募集资金违规使用的，应当披露整改措施、整改进展、整改后募集资金实际用途及其合法合规性等。</w:t>
      </w:r>
    </w:p>
    <w:p>
      <w:pPr>
        <w:numPr>
          <w:ilvl w:val="0"/>
          <w:numId w:val="1"/>
        </w:numPr>
        <w:ind w:left="0" w:firstLine="640"/>
        <w:rPr>
          <w:rFonts w:ascii="仿宋" w:hAnsi="仿宋" w:eastAsia="仿宋"/>
          <w:szCs w:val="32"/>
        </w:rPr>
      </w:pPr>
      <w:r>
        <w:rPr>
          <w:rFonts w:hint="eastAsia" w:ascii="仿宋" w:hAnsi="仿宋" w:eastAsia="仿宋"/>
          <w:szCs w:val="32"/>
        </w:rPr>
        <w:t>募集资金用于固定资产投资项目或者股权投资、债权投资等其他特定项目的，发行人应当披露项目的进展情况、运营效益、抵押或者质押事项办理情况（如有）。</w:t>
      </w:r>
    </w:p>
    <w:p>
      <w:pPr>
        <w:numPr>
          <w:ilvl w:val="255"/>
          <w:numId w:val="0"/>
        </w:numPr>
        <w:ind w:firstLine="640" w:firstLineChars="200"/>
        <w:rPr>
          <w:rFonts w:ascii="仿宋" w:hAnsi="仿宋" w:eastAsia="仿宋"/>
          <w:szCs w:val="32"/>
        </w:rPr>
      </w:pPr>
      <w:r>
        <w:rPr>
          <w:rFonts w:hint="eastAsia" w:ascii="仿宋" w:hAnsi="仿宋" w:eastAsia="仿宋"/>
          <w:szCs w:val="32"/>
        </w:rPr>
        <w:t>报告期内项目发生重大变化，可能影响募集资金投入和使用计划的，发行人应当披露变化情况、程序履行情况和募集资金用途的变更情况（如有）。</w:t>
      </w:r>
    </w:p>
    <w:p>
      <w:pPr>
        <w:numPr>
          <w:ilvl w:val="255"/>
          <w:numId w:val="0"/>
        </w:numPr>
        <w:ind w:firstLine="640"/>
        <w:rPr>
          <w:rFonts w:ascii="仿宋" w:hAnsi="仿宋" w:eastAsia="仿宋"/>
          <w:szCs w:val="32"/>
        </w:rPr>
      </w:pPr>
      <w:r>
        <w:rPr>
          <w:rFonts w:hint="eastAsia" w:ascii="仿宋" w:hAnsi="仿宋" w:eastAsia="仿宋"/>
          <w:szCs w:val="32"/>
        </w:rPr>
        <w:t>报告期末项目净收益与募集说明书等披露相比下降</w:t>
      </w:r>
      <w:r>
        <w:rPr>
          <w:rFonts w:ascii="仿宋" w:hAnsi="仿宋" w:eastAsia="仿宋"/>
          <w:szCs w:val="32"/>
        </w:rPr>
        <w:t>50%</w:t>
      </w:r>
      <w:r>
        <w:rPr>
          <w:rFonts w:hint="eastAsia" w:ascii="仿宋" w:hAnsi="仿宋" w:eastAsia="仿宋"/>
          <w:szCs w:val="32"/>
        </w:rPr>
        <w:t>以上，或者报告期内发生其他可能影响项目运营效益的重大不利变化的，发行人应当在定期报告中披露变化情况、对发行人偿债能力和投资者权益的影响、应对措施等。</w:t>
      </w:r>
    </w:p>
    <w:p>
      <w:pPr>
        <w:numPr>
          <w:ilvl w:val="0"/>
          <w:numId w:val="1"/>
        </w:numPr>
        <w:ind w:left="0" w:firstLine="640"/>
        <w:rPr>
          <w:rFonts w:ascii="仿宋" w:hAnsi="仿宋" w:eastAsia="仿宋"/>
          <w:szCs w:val="32"/>
        </w:rPr>
      </w:pPr>
      <w:r>
        <w:rPr>
          <w:rFonts w:hint="eastAsia" w:ascii="仿宋" w:hAnsi="仿宋" w:eastAsia="仿宋"/>
          <w:szCs w:val="32"/>
        </w:rPr>
        <w:t>报告期内资信评级机构对发行人或者公司信用类债券作出评级调整（如有）的，发行人应当披露评级机构名称、评级调整时间、信用评级级别、评级展望变动以及信用评级结果变化的原因等。</w:t>
      </w:r>
    </w:p>
    <w:p>
      <w:pPr>
        <w:numPr>
          <w:ilvl w:val="0"/>
          <w:numId w:val="1"/>
        </w:numPr>
        <w:ind w:left="0" w:firstLine="640"/>
        <w:rPr>
          <w:rFonts w:ascii="仿宋" w:hAnsi="仿宋" w:eastAsia="仿宋"/>
          <w:bCs/>
          <w:szCs w:val="32"/>
        </w:rPr>
      </w:pPr>
      <w:r>
        <w:rPr>
          <w:rFonts w:hint="eastAsia" w:ascii="仿宋" w:hAnsi="仿宋" w:eastAsia="仿宋"/>
          <w:szCs w:val="32"/>
        </w:rPr>
        <w:t>发行人应当披露公司债券增信机制、偿债计划以及其他偿债保障措施在报告期内的执行、变化情况和截至报告期末的情况，以及</w:t>
      </w:r>
      <w:r>
        <w:rPr>
          <w:rFonts w:hint="eastAsia" w:ascii="仿宋" w:hAnsi="仿宋" w:eastAsia="仿宋"/>
          <w:bCs/>
          <w:szCs w:val="32"/>
        </w:rPr>
        <w:t>变化情况对债券投资者合法权益的影响。</w:t>
      </w:r>
    </w:p>
    <w:p>
      <w:pPr>
        <w:ind w:firstLine="640"/>
        <w:rPr>
          <w:rFonts w:ascii="仿宋" w:hAnsi="仿宋" w:eastAsia="仿宋"/>
          <w:szCs w:val="32"/>
        </w:rPr>
      </w:pPr>
      <w:r>
        <w:rPr>
          <w:rFonts w:hint="eastAsia" w:ascii="仿宋" w:hAnsi="仿宋" w:eastAsia="仿宋"/>
          <w:szCs w:val="32"/>
        </w:rPr>
        <w:t>报告期内增信机制、偿债计划以及其他偿债保障措施发生变更的，发行人应当披露变更后情况，说明变更原因，变更是否已取得有权机构批准，以及相关变更对债券投资者合法权益的影响。</w:t>
      </w:r>
    </w:p>
    <w:p>
      <w:pPr>
        <w:numPr>
          <w:ilvl w:val="0"/>
          <w:numId w:val="1"/>
        </w:numPr>
        <w:ind w:left="0" w:firstLine="640"/>
        <w:rPr>
          <w:rFonts w:ascii="仿宋" w:hAnsi="仿宋" w:eastAsia="仿宋"/>
          <w:szCs w:val="32"/>
        </w:rPr>
      </w:pPr>
      <w:r>
        <w:rPr>
          <w:rFonts w:hint="eastAsia" w:ascii="仿宋" w:hAnsi="仿宋" w:eastAsia="仿宋"/>
          <w:szCs w:val="32"/>
        </w:rPr>
        <w:t>发行人应当在年度报告披露下列中介机构情况：</w:t>
      </w:r>
    </w:p>
    <w:p>
      <w:pPr>
        <w:ind w:firstLine="640"/>
        <w:rPr>
          <w:rFonts w:ascii="仿宋" w:hAnsi="仿宋" w:eastAsia="仿宋"/>
          <w:szCs w:val="32"/>
        </w:rPr>
      </w:pPr>
      <w:r>
        <w:rPr>
          <w:rFonts w:hint="eastAsia" w:ascii="仿宋" w:hAnsi="仿宋" w:eastAsia="仿宋"/>
          <w:szCs w:val="32"/>
        </w:rPr>
        <w:t>（一）为发行人提供审计服务的会计师事务所名称、办公地址和签字会计师姓名；</w:t>
      </w:r>
    </w:p>
    <w:p>
      <w:pPr>
        <w:ind w:firstLine="640"/>
        <w:rPr>
          <w:rFonts w:ascii="仿宋" w:hAnsi="仿宋" w:eastAsia="仿宋"/>
          <w:szCs w:val="32"/>
        </w:rPr>
      </w:pPr>
      <w:r>
        <w:rPr>
          <w:rFonts w:hint="eastAsia" w:ascii="仿宋" w:hAnsi="仿宋" w:eastAsia="仿宋"/>
          <w:szCs w:val="32"/>
        </w:rPr>
        <w:t>（二）受托管理人名称、办公地址、联系人以及联系电话；</w:t>
      </w:r>
    </w:p>
    <w:p>
      <w:pPr>
        <w:ind w:firstLine="640"/>
        <w:rPr>
          <w:rFonts w:ascii="仿宋" w:hAnsi="仿宋" w:eastAsia="仿宋"/>
          <w:szCs w:val="32"/>
        </w:rPr>
      </w:pPr>
      <w:r>
        <w:rPr>
          <w:rFonts w:hint="eastAsia" w:ascii="仿宋" w:hAnsi="仿宋" w:eastAsia="仿宋"/>
          <w:szCs w:val="32"/>
        </w:rPr>
        <w:t>（三）报告期内对公司债券进行跟踪评级的评级机构（如有）名称、办公地址。</w:t>
      </w:r>
    </w:p>
    <w:p>
      <w:pPr>
        <w:ind w:firstLine="640"/>
        <w:rPr>
          <w:rFonts w:ascii="仿宋" w:hAnsi="仿宋" w:eastAsia="仿宋"/>
          <w:szCs w:val="32"/>
        </w:rPr>
      </w:pPr>
      <w:r>
        <w:rPr>
          <w:rFonts w:hint="eastAsia" w:ascii="仿宋" w:hAnsi="仿宋" w:eastAsia="仿宋"/>
          <w:szCs w:val="32"/>
        </w:rPr>
        <w:t>报告期内前款中介机构发生变更的，发行人应当披露变更情况、履行的程序以及对债券投资者合法权益的影响。</w:t>
      </w:r>
    </w:p>
    <w:p>
      <w:pPr>
        <w:pStyle w:val="2"/>
        <w:keepNext/>
        <w:keepLines/>
        <w:spacing w:before="240" w:after="240" w:line="240" w:lineRule="auto"/>
        <w:rPr>
          <w:rFonts w:ascii="黑体" w:hAnsi="黑体" w:cs="Times New Roman"/>
          <w:color w:val="auto"/>
          <w:kern w:val="44"/>
          <w:szCs w:val="32"/>
        </w:rPr>
      </w:pPr>
      <w:bookmarkStart w:id="11" w:name="_Toc122426496"/>
      <w:r>
        <w:rPr>
          <w:rFonts w:hint="eastAsia" w:ascii="黑体" w:hAnsi="黑体" w:cs="Times New Roman"/>
          <w:color w:val="auto"/>
          <w:kern w:val="44"/>
          <w:szCs w:val="32"/>
        </w:rPr>
        <w:t>第六章</w:t>
      </w:r>
      <w:r>
        <w:rPr>
          <w:rFonts w:ascii="黑体" w:hAnsi="黑体" w:cs="Times New Roman"/>
          <w:color w:val="auto"/>
          <w:kern w:val="44"/>
          <w:szCs w:val="32"/>
        </w:rPr>
        <w:t xml:space="preserve"> </w:t>
      </w:r>
      <w:r>
        <w:rPr>
          <w:rFonts w:hint="eastAsia" w:ascii="黑体" w:hAnsi="黑体" w:cs="Times New Roman"/>
          <w:color w:val="auto"/>
          <w:kern w:val="44"/>
          <w:szCs w:val="32"/>
        </w:rPr>
        <w:t>重大事项</w:t>
      </w:r>
      <w:bookmarkEnd w:id="11"/>
    </w:p>
    <w:p>
      <w:pPr>
        <w:numPr>
          <w:ilvl w:val="0"/>
          <w:numId w:val="1"/>
        </w:numPr>
        <w:ind w:left="0" w:firstLine="640"/>
        <w:rPr>
          <w:rFonts w:ascii="仿宋" w:hAnsi="仿宋" w:eastAsia="仿宋"/>
          <w:szCs w:val="32"/>
        </w:rPr>
      </w:pPr>
      <w:r>
        <w:rPr>
          <w:rFonts w:hint="eastAsia" w:ascii="仿宋" w:hAnsi="仿宋" w:eastAsia="仿宋"/>
          <w:szCs w:val="32"/>
        </w:rPr>
        <w:t>报告期内作出会计政策、会计估计变更或者会计差错更正的，发行人应当披露变更、更正的原因以及影响。涉及追溯调整或者重述的，应当披露对以往报告期经营成果和财务状况的影响。</w:t>
      </w:r>
    </w:p>
    <w:p>
      <w:pPr>
        <w:numPr>
          <w:ilvl w:val="0"/>
          <w:numId w:val="1"/>
        </w:numPr>
        <w:ind w:left="0" w:firstLine="640"/>
        <w:rPr>
          <w:rFonts w:ascii="仿宋" w:hAnsi="仿宋" w:eastAsia="仿宋"/>
          <w:szCs w:val="32"/>
        </w:rPr>
      </w:pPr>
      <w:r>
        <w:rPr>
          <w:rFonts w:hint="eastAsia" w:ascii="仿宋" w:hAnsi="仿宋" w:eastAsia="仿宋"/>
          <w:szCs w:val="32"/>
        </w:rPr>
        <w:t>财务报告被会计师事务所出具了非标准意见审计报告的，发行人应当就所涉及事项作出说明，并分析相关事项对公司生产经营和偿债能力的影响。</w:t>
      </w:r>
    </w:p>
    <w:p>
      <w:pPr>
        <w:numPr>
          <w:ilvl w:val="0"/>
          <w:numId w:val="1"/>
        </w:numPr>
        <w:ind w:left="0" w:firstLine="640"/>
        <w:rPr>
          <w:rFonts w:ascii="仿宋" w:hAnsi="仿宋" w:eastAsia="仿宋"/>
          <w:szCs w:val="32"/>
        </w:rPr>
      </w:pPr>
      <w:r>
        <w:rPr>
          <w:rFonts w:hint="eastAsia" w:ascii="仿宋" w:hAnsi="仿宋" w:eastAsia="仿宋"/>
          <w:szCs w:val="32"/>
        </w:rPr>
        <w:t>报告期内发行人合并报表范围发生重大变化，且新增或者减少的子公司的收入、利润、总资产或者净资产占发行人合并报表相应数据</w:t>
      </w:r>
      <w:r>
        <w:rPr>
          <w:rFonts w:ascii="仿宋" w:hAnsi="仿宋" w:eastAsia="仿宋"/>
          <w:szCs w:val="32"/>
        </w:rPr>
        <w:t>10%以上的，发行人应当披露变动原因、</w:t>
      </w:r>
      <w:r>
        <w:rPr>
          <w:rFonts w:hint="eastAsia" w:ascii="仿宋" w:hAnsi="仿宋" w:eastAsia="仿宋"/>
          <w:bCs/>
          <w:szCs w:val="32"/>
        </w:rPr>
        <w:t>纳入或者移出合并报表范围子公司的经营和财务状况，</w:t>
      </w:r>
      <w:r>
        <w:rPr>
          <w:rFonts w:hint="eastAsia" w:ascii="仿宋" w:hAnsi="仿宋" w:eastAsia="仿宋"/>
          <w:szCs w:val="32"/>
        </w:rPr>
        <w:t>以及相关事项对发行人生产经营和偿债能力的影响。</w:t>
      </w:r>
    </w:p>
    <w:p>
      <w:pPr>
        <w:numPr>
          <w:ilvl w:val="0"/>
          <w:numId w:val="1"/>
        </w:numPr>
        <w:ind w:left="0" w:firstLine="640"/>
        <w:rPr>
          <w:rFonts w:ascii="仿宋" w:hAnsi="仿宋" w:eastAsia="仿宋"/>
          <w:szCs w:val="32"/>
        </w:rPr>
      </w:pPr>
      <w:r>
        <w:rPr>
          <w:rFonts w:hint="eastAsia" w:ascii="仿宋" w:hAnsi="仿宋" w:eastAsia="仿宋"/>
          <w:szCs w:val="32"/>
        </w:rPr>
        <w:t>发行人应当在定期报告中披露占报告期末发行人合并报表范围总资产</w:t>
      </w:r>
      <w:r>
        <w:rPr>
          <w:rFonts w:ascii="仿宋" w:hAnsi="仿宋" w:eastAsia="仿宋"/>
          <w:szCs w:val="32"/>
        </w:rPr>
        <w:t>10%以上的资产类报表项目的项目名称和主要构成。</w:t>
      </w:r>
    </w:p>
    <w:p>
      <w:pPr>
        <w:ind w:firstLine="640"/>
        <w:rPr>
          <w:rFonts w:ascii="仿宋" w:hAnsi="仿宋" w:eastAsia="仿宋"/>
          <w:szCs w:val="32"/>
        </w:rPr>
      </w:pPr>
      <w:r>
        <w:rPr>
          <w:rFonts w:hint="eastAsia" w:ascii="仿宋" w:hAnsi="仿宋" w:eastAsia="仿宋"/>
          <w:szCs w:val="32"/>
        </w:rPr>
        <w:t>报告期末发行人合并报表范围主要资产项目同比变动超过</w:t>
      </w:r>
      <w:r>
        <w:rPr>
          <w:rFonts w:ascii="仿宋" w:hAnsi="仿宋" w:eastAsia="仿宋"/>
          <w:szCs w:val="32"/>
        </w:rPr>
        <w:t>30%的，应当披露项目名称、变动比例以及原因。</w:t>
      </w:r>
    </w:p>
    <w:p>
      <w:pPr>
        <w:numPr>
          <w:ilvl w:val="0"/>
          <w:numId w:val="1"/>
        </w:numPr>
        <w:ind w:left="0" w:firstLine="640"/>
        <w:rPr>
          <w:rFonts w:ascii="仿宋" w:hAnsi="仿宋" w:eastAsia="仿宋"/>
          <w:szCs w:val="32"/>
        </w:rPr>
      </w:pPr>
      <w:r>
        <w:rPr>
          <w:rFonts w:hint="eastAsia" w:ascii="仿宋" w:hAnsi="仿宋" w:eastAsia="仿宋"/>
          <w:szCs w:val="32"/>
        </w:rPr>
        <w:t>发行人报告期内合并报表范围亏损超过合并报表范围上年末净资产</w:t>
      </w:r>
      <w:r>
        <w:rPr>
          <w:rFonts w:ascii="仿宋" w:hAnsi="仿宋" w:eastAsia="仿宋"/>
          <w:szCs w:val="32"/>
        </w:rPr>
        <w:t>10%的，应当披露亏损情况、亏损原因以及对公司生产经营和偿债能力的影响。</w:t>
      </w:r>
    </w:p>
    <w:p>
      <w:pPr>
        <w:numPr>
          <w:ilvl w:val="0"/>
          <w:numId w:val="1"/>
        </w:numPr>
        <w:ind w:left="0" w:firstLine="640"/>
        <w:rPr>
          <w:rFonts w:ascii="仿宋" w:hAnsi="仿宋" w:eastAsia="仿宋"/>
          <w:szCs w:val="32"/>
        </w:rPr>
      </w:pPr>
      <w:r>
        <w:rPr>
          <w:rFonts w:hint="eastAsia" w:ascii="仿宋" w:hAnsi="仿宋" w:eastAsia="仿宋"/>
          <w:szCs w:val="32"/>
        </w:rPr>
        <w:t>发行人应当在定期报告中披露截至报告期末合并报表范围内的资产抵押、质押、被查封、扣押、冻结、必须具备一定条件才能变现、无法变现、无法用于抵偿债务的情况和其他权利受限制的情况，</w:t>
      </w:r>
      <w:r>
        <w:rPr>
          <w:rFonts w:hint="eastAsia" w:ascii="仿宋" w:hAnsi="仿宋" w:eastAsia="仿宋"/>
          <w:bCs/>
          <w:szCs w:val="32"/>
        </w:rPr>
        <w:t>说明受限总额、受限资产类型明细，并就受限金额超过报告期末合并报表范围净资产</w:t>
      </w:r>
      <w:r>
        <w:rPr>
          <w:rFonts w:ascii="仿宋" w:hAnsi="仿宋" w:eastAsia="仿宋"/>
          <w:bCs/>
          <w:szCs w:val="32"/>
        </w:rPr>
        <w:t>10%</w:t>
      </w:r>
      <w:r>
        <w:rPr>
          <w:rFonts w:hint="eastAsia" w:ascii="仿宋" w:hAnsi="仿宋" w:eastAsia="仿宋"/>
          <w:bCs/>
          <w:szCs w:val="32"/>
        </w:rPr>
        <w:t>的单项资产</w:t>
      </w:r>
      <w:r>
        <w:rPr>
          <w:rFonts w:hint="eastAsia" w:ascii="仿宋" w:hAnsi="仿宋" w:eastAsia="仿宋"/>
          <w:szCs w:val="32"/>
        </w:rPr>
        <w:t>披露资产情况、受限原因、受限情况和对公司可能产生的影响。</w:t>
      </w:r>
    </w:p>
    <w:p>
      <w:pPr>
        <w:ind w:firstLine="640"/>
        <w:rPr>
          <w:rFonts w:ascii="仿宋" w:hAnsi="仿宋" w:eastAsia="仿宋"/>
          <w:szCs w:val="32"/>
        </w:rPr>
      </w:pPr>
      <w:r>
        <w:rPr>
          <w:rFonts w:hint="eastAsia" w:ascii="仿宋" w:hAnsi="仿宋" w:eastAsia="仿宋"/>
          <w:szCs w:val="32"/>
        </w:rPr>
        <w:t>发行人直接或者间接持有的重要子公司股权存在权利受限情况的，还应当披露子公司名称、子公司主要财务情况、发行人持股比例以及受限数量、发行人股权受限的原因等。</w:t>
      </w:r>
    </w:p>
    <w:p>
      <w:pPr>
        <w:numPr>
          <w:ilvl w:val="0"/>
          <w:numId w:val="1"/>
        </w:numPr>
        <w:ind w:left="0" w:firstLine="640"/>
        <w:rPr>
          <w:rFonts w:ascii="仿宋" w:hAnsi="仿宋" w:eastAsia="仿宋"/>
          <w:szCs w:val="32"/>
        </w:rPr>
      </w:pPr>
      <w:r>
        <w:rPr>
          <w:rFonts w:hint="eastAsia" w:ascii="仿宋" w:hAnsi="仿宋" w:eastAsia="仿宋"/>
          <w:szCs w:val="32"/>
        </w:rPr>
        <w:t>报告期末发行人及其子公司存在可对抗第三人的优先偿付负债情况的，发行人应当披露该负债的发生原因、到期时间（如有）、目前的状态以及对公司偿债能力可能产生的影响。</w:t>
      </w:r>
    </w:p>
    <w:p>
      <w:pPr>
        <w:numPr>
          <w:ilvl w:val="0"/>
          <w:numId w:val="1"/>
        </w:numPr>
        <w:ind w:left="0" w:firstLine="640"/>
        <w:rPr>
          <w:rFonts w:ascii="仿宋" w:hAnsi="仿宋" w:eastAsia="仿宋"/>
          <w:b/>
          <w:bCs/>
          <w:szCs w:val="32"/>
        </w:rPr>
      </w:pPr>
      <w:r>
        <w:rPr>
          <w:rFonts w:hint="eastAsia" w:ascii="仿宋" w:hAnsi="仿宋" w:eastAsia="仿宋"/>
          <w:szCs w:val="32"/>
        </w:rPr>
        <w:t>发行人应当披露报告期内合并报表范围非经营性往来占款和资金拆借的期初余额、期末余额以及是否存在违反募集说明书相关约定或者承诺的情况。报告期末未收回的非经营性往来占款和资金拆借总额超过合并报表范围净资产</w:t>
      </w:r>
      <w:r>
        <w:rPr>
          <w:rFonts w:ascii="仿宋" w:hAnsi="仿宋" w:eastAsia="仿宋"/>
          <w:szCs w:val="32"/>
        </w:rPr>
        <w:t>10%的，发行人应当披露截至报告期末未收回的非经营性往来占款和资金拆借的金额、主要构成、形成原因、账龄结构、回款相关安排和履行的程序,</w:t>
      </w:r>
      <w:r>
        <w:rPr>
          <w:rFonts w:hint="eastAsia" w:ascii="仿宋" w:hAnsi="仿宋" w:eastAsia="仿宋"/>
          <w:szCs w:val="32"/>
        </w:rPr>
        <w:t>并按债务人</w:t>
      </w:r>
      <w:r>
        <w:rPr>
          <w:rFonts w:ascii="仿宋" w:hAnsi="仿宋" w:eastAsia="仿宋"/>
          <w:szCs w:val="32"/>
        </w:rPr>
        <w:t>说明</w:t>
      </w:r>
      <w:r>
        <w:rPr>
          <w:rFonts w:hint="eastAsia" w:ascii="仿宋" w:hAnsi="仿宋" w:eastAsia="仿宋"/>
          <w:szCs w:val="32"/>
        </w:rPr>
        <w:t>截至报告</w:t>
      </w:r>
      <w:r>
        <w:rPr>
          <w:rFonts w:ascii="仿宋" w:hAnsi="仿宋" w:eastAsia="仿宋"/>
          <w:szCs w:val="32"/>
        </w:rPr>
        <w:t>期末占款和拆借</w:t>
      </w:r>
      <w:r>
        <w:rPr>
          <w:rFonts w:hint="eastAsia" w:ascii="仿宋" w:hAnsi="仿宋" w:eastAsia="仿宋"/>
          <w:szCs w:val="32"/>
        </w:rPr>
        <w:t>余</w:t>
      </w:r>
      <w:r>
        <w:rPr>
          <w:rFonts w:ascii="仿宋" w:hAnsi="仿宋" w:eastAsia="仿宋"/>
          <w:szCs w:val="32"/>
        </w:rPr>
        <w:t>额前5</w:t>
      </w:r>
      <w:r>
        <w:rPr>
          <w:rFonts w:hint="eastAsia" w:ascii="仿宋" w:hAnsi="仿宋" w:eastAsia="仿宋"/>
          <w:szCs w:val="32"/>
        </w:rPr>
        <w:t>名的</w:t>
      </w:r>
      <w:r>
        <w:rPr>
          <w:rFonts w:ascii="仿宋" w:hAnsi="仿宋" w:eastAsia="仿宋"/>
          <w:szCs w:val="32"/>
        </w:rPr>
        <w:t>债务</w:t>
      </w:r>
      <w:r>
        <w:rPr>
          <w:rFonts w:hint="eastAsia" w:ascii="仿宋" w:hAnsi="仿宋" w:eastAsia="仿宋"/>
          <w:szCs w:val="32"/>
        </w:rPr>
        <w:t>人</w:t>
      </w:r>
      <w:r>
        <w:rPr>
          <w:rFonts w:ascii="仿宋" w:hAnsi="仿宋" w:eastAsia="仿宋"/>
          <w:szCs w:val="32"/>
        </w:rPr>
        <w:t>名称、资信状况</w:t>
      </w:r>
      <w:r>
        <w:rPr>
          <w:rFonts w:hint="eastAsia" w:ascii="仿宋" w:hAnsi="仿宋" w:eastAsia="仿宋"/>
          <w:szCs w:val="32"/>
        </w:rPr>
        <w:t>、</w:t>
      </w:r>
      <w:r>
        <w:rPr>
          <w:rFonts w:ascii="仿宋" w:hAnsi="仿宋" w:eastAsia="仿宋"/>
          <w:szCs w:val="32"/>
        </w:rPr>
        <w:t>报告期</w:t>
      </w:r>
      <w:r>
        <w:rPr>
          <w:rFonts w:hint="eastAsia" w:ascii="仿宋" w:hAnsi="仿宋" w:eastAsia="仿宋"/>
          <w:szCs w:val="32"/>
        </w:rPr>
        <w:t>内</w:t>
      </w:r>
      <w:r>
        <w:rPr>
          <w:rFonts w:ascii="仿宋" w:hAnsi="仿宋" w:eastAsia="仿宋"/>
          <w:szCs w:val="32"/>
        </w:rPr>
        <w:t>发生额</w:t>
      </w:r>
      <w:r>
        <w:rPr>
          <w:rFonts w:hint="eastAsia" w:ascii="仿宋" w:hAnsi="仿宋" w:eastAsia="仿宋"/>
          <w:szCs w:val="32"/>
        </w:rPr>
        <w:t>、报告</w:t>
      </w:r>
      <w:r>
        <w:rPr>
          <w:rFonts w:ascii="仿宋" w:hAnsi="仿宋" w:eastAsia="仿宋"/>
          <w:szCs w:val="32"/>
        </w:rPr>
        <w:t>期末</w:t>
      </w:r>
      <w:r>
        <w:rPr>
          <w:rFonts w:hint="eastAsia" w:ascii="仿宋" w:hAnsi="仿宋" w:eastAsia="仿宋"/>
          <w:szCs w:val="32"/>
        </w:rPr>
        <w:t>未收回</w:t>
      </w:r>
      <w:r>
        <w:rPr>
          <w:rFonts w:ascii="仿宋" w:hAnsi="仿宋" w:eastAsia="仿宋"/>
          <w:szCs w:val="32"/>
        </w:rPr>
        <w:t>金额、</w:t>
      </w:r>
      <w:r>
        <w:rPr>
          <w:rFonts w:hint="eastAsia" w:ascii="仿宋" w:hAnsi="仿宋" w:eastAsia="仿宋"/>
          <w:szCs w:val="32"/>
        </w:rPr>
        <w:t>未收回</w:t>
      </w:r>
      <w:r>
        <w:rPr>
          <w:rFonts w:ascii="仿宋" w:hAnsi="仿宋" w:eastAsia="仿宋"/>
          <w:szCs w:val="32"/>
        </w:rPr>
        <w:t>原因</w:t>
      </w:r>
      <w:r>
        <w:rPr>
          <w:rFonts w:hint="eastAsia" w:ascii="仿宋" w:hAnsi="仿宋" w:eastAsia="仿宋"/>
          <w:szCs w:val="32"/>
        </w:rPr>
        <w:t>和未来</w:t>
      </w:r>
      <w:r>
        <w:rPr>
          <w:rFonts w:ascii="仿宋" w:hAnsi="仿宋" w:eastAsia="仿宋"/>
          <w:szCs w:val="32"/>
        </w:rPr>
        <w:t>回款安排</w:t>
      </w:r>
      <w:r>
        <w:rPr>
          <w:rFonts w:hint="eastAsia" w:ascii="仿宋" w:hAnsi="仿宋" w:eastAsia="仿宋"/>
          <w:szCs w:val="32"/>
        </w:rPr>
        <w:t>等。</w:t>
      </w:r>
    </w:p>
    <w:p>
      <w:pPr>
        <w:numPr>
          <w:ilvl w:val="0"/>
          <w:numId w:val="1"/>
        </w:numPr>
        <w:ind w:left="0" w:firstLine="640"/>
        <w:rPr>
          <w:rFonts w:ascii="仿宋" w:hAnsi="仿宋" w:eastAsia="仿宋"/>
          <w:bCs/>
          <w:szCs w:val="32"/>
        </w:rPr>
      </w:pPr>
      <w:r>
        <w:rPr>
          <w:rFonts w:hint="eastAsia" w:ascii="仿宋" w:hAnsi="仿宋" w:eastAsia="仿宋"/>
          <w:bCs/>
          <w:szCs w:val="32"/>
        </w:rPr>
        <w:t>报告期末发行人及其合并报表范围主要负债项目同比变动超过</w:t>
      </w:r>
      <w:r>
        <w:rPr>
          <w:rFonts w:ascii="仿宋" w:hAnsi="仿宋" w:eastAsia="仿宋"/>
          <w:bCs/>
          <w:szCs w:val="32"/>
        </w:rPr>
        <w:t>30%的，应当披露项目名称、变动比例以及原因。</w:t>
      </w:r>
    </w:p>
    <w:p>
      <w:pPr>
        <w:numPr>
          <w:ilvl w:val="0"/>
          <w:numId w:val="1"/>
        </w:numPr>
        <w:ind w:left="0" w:firstLine="640"/>
        <w:rPr>
          <w:rFonts w:ascii="仿宋" w:hAnsi="仿宋" w:eastAsia="仿宋"/>
          <w:szCs w:val="32"/>
        </w:rPr>
      </w:pPr>
      <w:r>
        <w:rPr>
          <w:rFonts w:hint="eastAsia" w:ascii="仿宋" w:hAnsi="仿宋" w:eastAsia="仿宋"/>
          <w:szCs w:val="32"/>
        </w:rPr>
        <w:t>发行人应当披露报告期末发行人合并报表范围有息债务总额及其同比变动比例、有息债务类别和期限结构等情况。</w:t>
      </w:r>
    </w:p>
    <w:p>
      <w:pPr>
        <w:numPr>
          <w:ilvl w:val="0"/>
          <w:numId w:val="1"/>
        </w:numPr>
        <w:ind w:left="0" w:firstLine="640"/>
        <w:rPr>
          <w:rFonts w:ascii="仿宋" w:hAnsi="仿宋" w:eastAsia="仿宋"/>
          <w:szCs w:val="32"/>
        </w:rPr>
      </w:pPr>
      <w:r>
        <w:rPr>
          <w:rFonts w:hint="eastAsia" w:ascii="仿宋" w:hAnsi="仿宋" w:eastAsia="仿宋"/>
          <w:szCs w:val="32"/>
        </w:rPr>
        <w:t>报告期末发行人及其子公司存在公司信用类债券或其他有息债务重大逾期的，说明逾期金额、逾期时间、逾期原因、截至报告期末的未偿还余额、处置进展和未来处置计划等情况。</w:t>
      </w:r>
    </w:p>
    <w:p>
      <w:pPr>
        <w:numPr>
          <w:ilvl w:val="0"/>
          <w:numId w:val="1"/>
        </w:numPr>
        <w:ind w:left="0" w:firstLine="640"/>
        <w:rPr>
          <w:rFonts w:ascii="仿宋" w:hAnsi="仿宋" w:eastAsia="仿宋"/>
          <w:b/>
          <w:bCs/>
          <w:szCs w:val="32"/>
        </w:rPr>
      </w:pPr>
      <w:r>
        <w:rPr>
          <w:rFonts w:hint="eastAsia" w:ascii="仿宋" w:hAnsi="仿宋" w:eastAsia="仿宋"/>
          <w:szCs w:val="32"/>
        </w:rPr>
        <w:t>单个子公司的净利润或者对单个参股公司的投资收益占发行人合并报表范围净利润达到</w:t>
      </w:r>
      <w:r>
        <w:rPr>
          <w:rFonts w:ascii="仿宋" w:hAnsi="仿宋" w:eastAsia="仿宋"/>
          <w:szCs w:val="32"/>
        </w:rPr>
        <w:t>20%以上的，发行人应当披露公司名称、发行人持股比例，该公司主营业务运营情况和总资产、净资产、主营业务收入、主营业务利润等财务数据。</w:t>
      </w:r>
    </w:p>
    <w:p>
      <w:pPr>
        <w:numPr>
          <w:ilvl w:val="0"/>
          <w:numId w:val="1"/>
        </w:numPr>
        <w:ind w:left="0" w:firstLine="640"/>
        <w:rPr>
          <w:rFonts w:ascii="仿宋" w:hAnsi="仿宋" w:eastAsia="仿宋"/>
          <w:szCs w:val="32"/>
        </w:rPr>
      </w:pPr>
      <w:r>
        <w:rPr>
          <w:rFonts w:hint="eastAsia" w:ascii="仿宋" w:hAnsi="仿宋" w:eastAsia="仿宋"/>
          <w:szCs w:val="32"/>
        </w:rPr>
        <w:t>发行人应当披露截至报告期末的对外担保总额。</w:t>
      </w:r>
    </w:p>
    <w:p>
      <w:pPr>
        <w:ind w:firstLine="640"/>
        <w:rPr>
          <w:rFonts w:ascii="仿宋" w:hAnsi="仿宋" w:eastAsia="仿宋"/>
          <w:szCs w:val="32"/>
        </w:rPr>
      </w:pPr>
      <w:r>
        <w:rPr>
          <w:rFonts w:hint="eastAsia" w:ascii="仿宋" w:hAnsi="仿宋" w:eastAsia="仿宋"/>
          <w:szCs w:val="32"/>
        </w:rPr>
        <w:t>报告期末尚未履行以及未履行完毕的单笔对外担保金额或者对同一担保对象的对外担保金额超过报告期末合并报表范围净资产</w:t>
      </w:r>
      <w:r>
        <w:rPr>
          <w:rFonts w:ascii="仿宋" w:hAnsi="仿宋" w:eastAsia="仿宋"/>
          <w:szCs w:val="32"/>
        </w:rPr>
        <w:t>10%的，发行人应当披露被担保人的基本情况和资信状况、担保的类型、担保的金额、被担保债务的到期时间等，并分析担保事项对发行人偿债能力的影响。</w:t>
      </w:r>
    </w:p>
    <w:p>
      <w:pPr>
        <w:numPr>
          <w:ilvl w:val="0"/>
          <w:numId w:val="1"/>
        </w:numPr>
        <w:ind w:left="0" w:firstLine="640"/>
        <w:rPr>
          <w:rFonts w:ascii="仿宋" w:hAnsi="仿宋" w:eastAsia="仿宋"/>
          <w:szCs w:val="32"/>
        </w:rPr>
      </w:pPr>
      <w:r>
        <w:rPr>
          <w:rFonts w:hint="eastAsia" w:ascii="仿宋" w:hAnsi="仿宋" w:eastAsia="仿宋"/>
          <w:szCs w:val="32"/>
        </w:rPr>
        <w:t>发行人应当披露截至报告期末的重大未决诉讼情况。</w:t>
      </w:r>
    </w:p>
    <w:p>
      <w:pPr>
        <w:numPr>
          <w:ilvl w:val="0"/>
          <w:numId w:val="1"/>
        </w:numPr>
        <w:ind w:left="0" w:firstLine="640"/>
        <w:rPr>
          <w:rFonts w:ascii="仿宋" w:hAnsi="仿宋" w:eastAsia="仿宋"/>
          <w:szCs w:val="32"/>
        </w:rPr>
      </w:pPr>
      <w:r>
        <w:rPr>
          <w:rFonts w:hint="eastAsia" w:ascii="仿宋" w:hAnsi="仿宋" w:eastAsia="仿宋"/>
          <w:szCs w:val="32"/>
        </w:rPr>
        <w:t>发行人应当在年度报告中说明其是否属于应当履行环境信息披露义务的主体；属于应当履行环境信息披露义务的主体的，应当披露年度环境信息的索引链接。</w:t>
      </w:r>
    </w:p>
    <w:p>
      <w:pPr>
        <w:numPr>
          <w:ilvl w:val="0"/>
          <w:numId w:val="1"/>
        </w:numPr>
        <w:ind w:left="0" w:firstLine="640"/>
        <w:rPr>
          <w:rFonts w:ascii="仿宋" w:hAnsi="仿宋" w:eastAsia="仿宋"/>
          <w:szCs w:val="32"/>
        </w:rPr>
      </w:pPr>
      <w:r>
        <w:rPr>
          <w:rFonts w:hint="eastAsia" w:ascii="仿宋" w:hAnsi="仿宋" w:eastAsia="仿宋"/>
          <w:szCs w:val="32"/>
        </w:rPr>
        <w:t>发行人在报告期内变更信息披露事务管理制度的，应当说明变更内容以及对债券投资者合法权益的影响，并披露变更后制度的主要内容。</w:t>
      </w:r>
    </w:p>
    <w:p>
      <w:pPr>
        <w:numPr>
          <w:ilvl w:val="0"/>
          <w:numId w:val="1"/>
        </w:numPr>
        <w:ind w:left="0" w:firstLine="640"/>
        <w:rPr>
          <w:rFonts w:ascii="仿宋" w:hAnsi="仿宋" w:eastAsia="仿宋"/>
          <w:szCs w:val="32"/>
        </w:rPr>
      </w:pPr>
      <w:r>
        <w:rPr>
          <w:rFonts w:hint="eastAsia" w:ascii="仿宋" w:hAnsi="仿宋" w:eastAsia="仿宋"/>
          <w:szCs w:val="32"/>
        </w:rPr>
        <w:t>在定期报告批准报出日存续有面向普通投资者交易债券的，发行人</w:t>
      </w:r>
      <w:r>
        <w:rPr>
          <w:rFonts w:ascii="仿宋" w:hAnsi="仿宋" w:eastAsia="仿宋"/>
          <w:szCs w:val="32"/>
        </w:rPr>
        <w:t>应当采用数据列表方式，</w:t>
      </w:r>
      <w:r>
        <w:rPr>
          <w:rFonts w:hint="eastAsia" w:ascii="仿宋" w:hAnsi="仿宋" w:eastAsia="仿宋"/>
          <w:szCs w:val="32"/>
        </w:rPr>
        <w:t>披露合并报表范围</w:t>
      </w:r>
      <w:r>
        <w:rPr>
          <w:rFonts w:ascii="仿宋" w:hAnsi="仿宋" w:eastAsia="仿宋"/>
          <w:szCs w:val="32"/>
        </w:rPr>
        <w:t>近两年</w:t>
      </w:r>
      <w:r>
        <w:rPr>
          <w:rFonts w:hint="eastAsia" w:ascii="仿宋" w:hAnsi="仿宋" w:eastAsia="仿宋"/>
          <w:szCs w:val="32"/>
        </w:rPr>
        <w:t>下列</w:t>
      </w:r>
      <w:r>
        <w:rPr>
          <w:rFonts w:ascii="仿宋" w:hAnsi="仿宋" w:eastAsia="仿宋"/>
          <w:szCs w:val="32"/>
        </w:rPr>
        <w:t>会计数据和财务指标</w:t>
      </w:r>
      <w:r>
        <w:rPr>
          <w:rFonts w:hint="eastAsia" w:ascii="仿宋" w:hAnsi="仿宋" w:eastAsia="仿宋"/>
          <w:szCs w:val="32"/>
        </w:rPr>
        <w:t>：</w:t>
      </w:r>
    </w:p>
    <w:p>
      <w:pPr>
        <w:numPr>
          <w:ilvl w:val="0"/>
          <w:numId w:val="2"/>
        </w:numPr>
        <w:ind w:left="0" w:firstLine="640"/>
        <w:rPr>
          <w:rFonts w:ascii="仿宋" w:hAnsi="仿宋" w:eastAsia="仿宋"/>
          <w:szCs w:val="32"/>
        </w:rPr>
      </w:pPr>
      <w:r>
        <w:rPr>
          <w:rFonts w:hint="eastAsia" w:ascii="仿宋" w:hAnsi="仿宋" w:eastAsia="仿宋"/>
          <w:szCs w:val="32"/>
        </w:rPr>
        <w:t>扣除非经常性损益后净利润；</w:t>
      </w:r>
    </w:p>
    <w:p>
      <w:pPr>
        <w:numPr>
          <w:ilvl w:val="0"/>
          <w:numId w:val="2"/>
        </w:numPr>
        <w:ind w:left="0" w:firstLine="640"/>
        <w:rPr>
          <w:rFonts w:ascii="仿宋" w:hAnsi="仿宋" w:eastAsia="仿宋"/>
          <w:szCs w:val="32"/>
        </w:rPr>
      </w:pPr>
      <w:r>
        <w:rPr>
          <w:rFonts w:ascii="仿宋" w:hAnsi="仿宋" w:eastAsia="仿宋"/>
          <w:szCs w:val="32"/>
        </w:rPr>
        <w:t>EBITDA全部债务比（EBITDA/全部债务）；</w:t>
      </w:r>
    </w:p>
    <w:p>
      <w:pPr>
        <w:numPr>
          <w:ilvl w:val="0"/>
          <w:numId w:val="2"/>
        </w:numPr>
        <w:ind w:left="0" w:firstLine="640"/>
        <w:rPr>
          <w:rFonts w:ascii="仿宋" w:hAnsi="仿宋" w:eastAsia="仿宋"/>
          <w:szCs w:val="32"/>
        </w:rPr>
      </w:pPr>
      <w:r>
        <w:rPr>
          <w:rFonts w:hint="eastAsia" w:ascii="仿宋" w:hAnsi="仿宋" w:eastAsia="仿宋"/>
          <w:szCs w:val="32"/>
        </w:rPr>
        <w:t>利息保障倍数</w:t>
      </w:r>
      <w:r>
        <w:rPr>
          <w:rFonts w:ascii="仿宋" w:hAnsi="仿宋" w:eastAsia="仿宋"/>
          <w:szCs w:val="32"/>
        </w:rPr>
        <w:t>[息税前利润/（计入财务费用的利息支出＋资本化的利息支出）]；</w:t>
      </w:r>
    </w:p>
    <w:p>
      <w:pPr>
        <w:numPr>
          <w:ilvl w:val="0"/>
          <w:numId w:val="2"/>
        </w:numPr>
        <w:ind w:left="0" w:firstLine="640"/>
        <w:rPr>
          <w:rFonts w:ascii="仿宋" w:hAnsi="仿宋" w:eastAsia="仿宋"/>
          <w:szCs w:val="32"/>
        </w:rPr>
      </w:pPr>
      <w:r>
        <w:rPr>
          <w:rFonts w:hint="eastAsia" w:ascii="仿宋" w:hAnsi="仿宋" w:eastAsia="仿宋"/>
          <w:szCs w:val="32"/>
        </w:rPr>
        <w:t>现金利息保障倍数</w:t>
      </w:r>
      <w:r>
        <w:rPr>
          <w:rFonts w:ascii="仿宋" w:hAnsi="仿宋" w:eastAsia="仿宋"/>
          <w:szCs w:val="32"/>
        </w:rPr>
        <w:t>[（经营活动产生的现金流量净额＋现金利息支出＋所得税付现）/现金利息支出]；</w:t>
      </w:r>
    </w:p>
    <w:p>
      <w:pPr>
        <w:numPr>
          <w:ilvl w:val="0"/>
          <w:numId w:val="2"/>
        </w:numPr>
        <w:ind w:left="0" w:firstLine="640"/>
        <w:rPr>
          <w:rFonts w:ascii="仿宋" w:hAnsi="仿宋" w:eastAsia="仿宋"/>
          <w:szCs w:val="32"/>
        </w:rPr>
      </w:pPr>
      <w:r>
        <w:rPr>
          <w:rFonts w:ascii="仿宋" w:hAnsi="仿宋" w:eastAsia="仿宋"/>
          <w:szCs w:val="32"/>
        </w:rPr>
        <w:t>EBITDA利息保障倍数[EBITDA/（计入财务费用的利息支出＋资本化的利息支出）]；</w:t>
      </w:r>
    </w:p>
    <w:p>
      <w:pPr>
        <w:numPr>
          <w:ilvl w:val="0"/>
          <w:numId w:val="2"/>
        </w:numPr>
        <w:ind w:left="0" w:firstLine="640"/>
        <w:rPr>
          <w:rFonts w:ascii="仿宋" w:hAnsi="仿宋" w:eastAsia="仿宋"/>
          <w:szCs w:val="32"/>
        </w:rPr>
      </w:pPr>
      <w:r>
        <w:rPr>
          <w:rFonts w:hint="eastAsia" w:ascii="仿宋" w:hAnsi="仿宋" w:eastAsia="仿宋"/>
          <w:szCs w:val="32"/>
        </w:rPr>
        <w:t>贷款偿还率（实际贷款偿还额</w:t>
      </w:r>
      <w:r>
        <w:rPr>
          <w:rFonts w:ascii="仿宋" w:hAnsi="仿宋" w:eastAsia="仿宋"/>
          <w:szCs w:val="32"/>
        </w:rPr>
        <w:t>/应偿还贷款额）；</w:t>
      </w:r>
    </w:p>
    <w:p>
      <w:pPr>
        <w:numPr>
          <w:ilvl w:val="0"/>
          <w:numId w:val="2"/>
        </w:numPr>
        <w:ind w:left="0" w:firstLine="640"/>
        <w:rPr>
          <w:rFonts w:ascii="仿宋" w:hAnsi="仿宋" w:eastAsia="仿宋"/>
          <w:szCs w:val="32"/>
        </w:rPr>
      </w:pPr>
      <w:r>
        <w:rPr>
          <w:rFonts w:ascii="仿宋" w:hAnsi="仿宋" w:eastAsia="仿宋"/>
          <w:szCs w:val="32"/>
        </w:rPr>
        <w:t>利息偿付率（实际支付利息/应付利息）</w:t>
      </w:r>
      <w:r>
        <w:rPr>
          <w:rFonts w:hint="eastAsia" w:ascii="仿宋" w:hAnsi="仿宋" w:eastAsia="仿宋"/>
          <w:szCs w:val="32"/>
        </w:rPr>
        <w:t>。</w:t>
      </w:r>
    </w:p>
    <w:p>
      <w:pPr>
        <w:pStyle w:val="2"/>
        <w:keepNext/>
        <w:keepLines/>
        <w:spacing w:before="240" w:after="240" w:line="240" w:lineRule="auto"/>
        <w:rPr>
          <w:rFonts w:ascii="黑体" w:hAnsi="黑体" w:cs="Times New Roman"/>
          <w:color w:val="auto"/>
          <w:kern w:val="44"/>
          <w:szCs w:val="32"/>
        </w:rPr>
      </w:pPr>
      <w:bookmarkStart w:id="12" w:name="_Toc122426497"/>
      <w:r>
        <w:rPr>
          <w:rFonts w:hint="eastAsia" w:ascii="黑体" w:hAnsi="黑体" w:cs="Times New Roman"/>
          <w:color w:val="auto"/>
          <w:kern w:val="44"/>
          <w:szCs w:val="32"/>
        </w:rPr>
        <w:t>第七章</w:t>
      </w:r>
      <w:r>
        <w:rPr>
          <w:rFonts w:ascii="黑体" w:hAnsi="黑体" w:cs="Times New Roman"/>
          <w:color w:val="auto"/>
          <w:kern w:val="44"/>
          <w:szCs w:val="32"/>
        </w:rPr>
        <w:t xml:space="preserve"> </w:t>
      </w:r>
      <w:r>
        <w:rPr>
          <w:rFonts w:hint="eastAsia" w:ascii="黑体" w:hAnsi="黑体" w:cs="Times New Roman"/>
          <w:color w:val="auto"/>
          <w:kern w:val="44"/>
          <w:szCs w:val="32"/>
        </w:rPr>
        <w:t>财务报告</w:t>
      </w:r>
      <w:bookmarkEnd w:id="12"/>
    </w:p>
    <w:p>
      <w:pPr>
        <w:numPr>
          <w:ilvl w:val="0"/>
          <w:numId w:val="1"/>
        </w:numPr>
        <w:ind w:left="0" w:firstLine="640"/>
        <w:rPr>
          <w:rFonts w:ascii="仿宋" w:hAnsi="仿宋" w:eastAsia="仿宋"/>
          <w:szCs w:val="32"/>
        </w:rPr>
      </w:pPr>
      <w:r>
        <w:rPr>
          <w:rFonts w:hint="eastAsia" w:ascii="仿宋" w:hAnsi="仿宋" w:eastAsia="仿宋"/>
          <w:szCs w:val="32"/>
        </w:rPr>
        <w:t>发行人年度财务报告应当由符合法律规定的会计师事务所审计，审计报告应由会计师事务所和至少两名注册会计师签章。</w:t>
      </w:r>
    </w:p>
    <w:p>
      <w:pPr>
        <w:numPr>
          <w:ilvl w:val="0"/>
          <w:numId w:val="1"/>
        </w:numPr>
        <w:ind w:left="0" w:firstLine="640"/>
        <w:rPr>
          <w:rFonts w:ascii="仿宋" w:hAnsi="仿宋" w:eastAsia="仿宋"/>
          <w:szCs w:val="32"/>
        </w:rPr>
      </w:pPr>
      <w:r>
        <w:rPr>
          <w:rFonts w:hint="eastAsia" w:ascii="仿宋" w:hAnsi="仿宋" w:eastAsia="仿宋"/>
          <w:szCs w:val="32"/>
        </w:rPr>
        <w:t>发行人应当在年度报告中披露审计报告和财务报告，在中期报告中披露财务报告。</w:t>
      </w:r>
    </w:p>
    <w:p>
      <w:pPr>
        <w:ind w:firstLine="640"/>
        <w:rPr>
          <w:rFonts w:ascii="仿宋" w:hAnsi="仿宋" w:eastAsia="仿宋"/>
          <w:szCs w:val="32"/>
        </w:rPr>
      </w:pPr>
      <w:r>
        <w:rPr>
          <w:rFonts w:hint="eastAsia" w:ascii="仿宋" w:hAnsi="仿宋" w:eastAsia="仿宋"/>
          <w:szCs w:val="32"/>
        </w:rPr>
        <w:t>财务报告应当按照《企业会计准则》的规定编制。法律法规、其他有关业务规则规定可采用其他会计准则（制度）编制的，从其规定。</w:t>
      </w:r>
    </w:p>
    <w:p>
      <w:pPr>
        <w:numPr>
          <w:ilvl w:val="0"/>
          <w:numId w:val="1"/>
        </w:numPr>
        <w:ind w:left="0" w:firstLine="640"/>
        <w:rPr>
          <w:rFonts w:ascii="仿宋" w:hAnsi="仿宋" w:eastAsia="仿宋"/>
          <w:szCs w:val="32"/>
        </w:rPr>
      </w:pPr>
      <w:r>
        <w:rPr>
          <w:rFonts w:hint="eastAsia" w:ascii="仿宋" w:hAnsi="仿宋" w:eastAsia="仿宋"/>
          <w:szCs w:val="32"/>
        </w:rPr>
        <w:t>发行人应当在定期报告尾页列明备查文件、查询地址、查询网站。备查文件包括但不限于财务报告、审计报告（如有）、信息披露文件原件等。</w:t>
      </w:r>
      <w:bookmarkEnd w:id="5"/>
    </w:p>
    <w:p>
      <w:pPr>
        <w:numPr>
          <w:ilvl w:val="0"/>
          <w:numId w:val="1"/>
        </w:numPr>
        <w:ind w:left="0" w:firstLine="640"/>
        <w:rPr>
          <w:rFonts w:ascii="仿宋" w:hAnsi="仿宋" w:eastAsia="仿宋"/>
          <w:szCs w:val="32"/>
        </w:rPr>
      </w:pPr>
      <w:r>
        <w:rPr>
          <w:rFonts w:hint="eastAsia" w:ascii="仿宋" w:hAnsi="仿宋" w:eastAsia="仿宋"/>
          <w:szCs w:val="32"/>
        </w:rPr>
        <w:t>债券存在担保增信的，担保机构应当在债券上市挂牌期间每个会计年度结束之日起四个月内</w:t>
      </w:r>
      <w:r>
        <w:rPr>
          <w:rFonts w:hint="eastAsia" w:ascii="仿宋" w:hAnsi="仿宋" w:eastAsia="仿宋"/>
          <w:color w:val="auto"/>
          <w:szCs w:val="32"/>
        </w:rPr>
        <w:t>披露</w:t>
      </w:r>
      <w:r>
        <w:rPr>
          <w:rFonts w:hint="eastAsia" w:ascii="仿宋" w:hAnsi="仿宋" w:eastAsia="仿宋"/>
          <w:szCs w:val="32"/>
        </w:rPr>
        <w:t>财务报告，并注明财务报告是否经审计。</w:t>
      </w:r>
    </w:p>
    <w:p>
      <w:pPr>
        <w:ind w:firstLine="640"/>
        <w:rPr>
          <w:rFonts w:ascii="仿宋" w:hAnsi="仿宋" w:eastAsia="仿宋"/>
          <w:szCs w:val="32"/>
        </w:rPr>
      </w:pPr>
      <w:r>
        <w:rPr>
          <w:rFonts w:hint="eastAsia" w:ascii="仿宋" w:hAnsi="仿宋" w:eastAsia="仿宋"/>
          <w:szCs w:val="32"/>
        </w:rPr>
        <w:t>年度财务报告应当按照《企业会计准则》的规定编制。但法律法规、其他有关业务规则规定可采用其他会计准则（制度）编制的，从其规定。</w:t>
      </w:r>
    </w:p>
    <w:p>
      <w:pPr>
        <w:numPr>
          <w:ilvl w:val="0"/>
          <w:numId w:val="1"/>
        </w:numPr>
        <w:ind w:left="0" w:firstLine="640"/>
        <w:rPr>
          <w:rFonts w:ascii="仿宋" w:hAnsi="仿宋" w:eastAsia="仿宋"/>
          <w:szCs w:val="32"/>
        </w:rPr>
      </w:pPr>
      <w:r>
        <w:rPr>
          <w:rFonts w:hint="eastAsia" w:ascii="仿宋" w:hAnsi="仿宋" w:eastAsia="仿宋"/>
          <w:szCs w:val="32"/>
        </w:rPr>
        <w:t>担保机构无法按时披露年度财务报告的，应当于披露截止时间前披露公告，说明未按期披露的原因、应对措施、预计披露时间等情况。</w:t>
      </w:r>
    </w:p>
    <w:p>
      <w:pPr>
        <w:ind w:firstLine="640"/>
        <w:rPr>
          <w:rFonts w:ascii="仿宋" w:hAnsi="仿宋" w:eastAsia="仿宋"/>
          <w:szCs w:val="32"/>
        </w:rPr>
      </w:pPr>
      <w:r>
        <w:rPr>
          <w:rFonts w:hint="eastAsia" w:ascii="仿宋" w:hAnsi="仿宋" w:eastAsia="仿宋"/>
          <w:szCs w:val="32"/>
        </w:rPr>
        <w:t>担保机构披露前款公告的，不代表豁免其财务报告的按时披露义务。</w:t>
      </w:r>
    </w:p>
    <w:p>
      <w:pPr>
        <w:pStyle w:val="2"/>
        <w:keepNext/>
        <w:keepLines/>
        <w:spacing w:before="240" w:after="240" w:line="240" w:lineRule="auto"/>
        <w:rPr>
          <w:rFonts w:ascii="黑体" w:hAnsi="黑体" w:cs="Times New Roman"/>
          <w:color w:val="auto"/>
          <w:kern w:val="44"/>
          <w:szCs w:val="32"/>
        </w:rPr>
      </w:pPr>
      <w:bookmarkStart w:id="13" w:name="_Toc122426498"/>
      <w:r>
        <w:rPr>
          <w:rFonts w:hint="eastAsia" w:ascii="黑体" w:hAnsi="黑体" w:cs="Times New Roman"/>
          <w:color w:val="auto"/>
          <w:kern w:val="44"/>
          <w:szCs w:val="32"/>
        </w:rPr>
        <w:t>第八章</w:t>
      </w:r>
      <w:r>
        <w:rPr>
          <w:rFonts w:ascii="黑体" w:hAnsi="黑体" w:cs="Times New Roman"/>
          <w:color w:val="auto"/>
          <w:kern w:val="44"/>
          <w:szCs w:val="32"/>
        </w:rPr>
        <w:t xml:space="preserve"> </w:t>
      </w:r>
      <w:r>
        <w:rPr>
          <w:rFonts w:hint="eastAsia" w:ascii="黑体" w:hAnsi="黑体" w:cs="Times New Roman"/>
          <w:color w:val="auto"/>
          <w:kern w:val="44"/>
          <w:szCs w:val="32"/>
        </w:rPr>
        <w:t>特殊规定</w:t>
      </w:r>
      <w:bookmarkEnd w:id="13"/>
    </w:p>
    <w:p>
      <w:pPr>
        <w:numPr>
          <w:ilvl w:val="0"/>
          <w:numId w:val="1"/>
        </w:numPr>
        <w:ind w:left="0" w:firstLine="640"/>
        <w:rPr>
          <w:rFonts w:ascii="仿宋" w:hAnsi="仿宋" w:eastAsia="仿宋"/>
          <w:szCs w:val="32"/>
        </w:rPr>
      </w:pPr>
      <w:r>
        <w:rPr>
          <w:rFonts w:hint="eastAsia" w:ascii="仿宋" w:hAnsi="仿宋" w:eastAsia="仿宋"/>
          <w:szCs w:val="32"/>
        </w:rPr>
        <w:t>发行人进入破产程序的，定期报告披露义务由破产管理人承担，发行人自行管理财产或者营业事务的除外。</w:t>
      </w:r>
    </w:p>
    <w:p>
      <w:pPr>
        <w:ind w:firstLine="640"/>
        <w:rPr>
          <w:rFonts w:ascii="仿宋" w:hAnsi="仿宋" w:eastAsia="仿宋"/>
          <w:szCs w:val="32"/>
        </w:rPr>
      </w:pPr>
      <w:r>
        <w:rPr>
          <w:rFonts w:hint="eastAsia" w:ascii="仿宋" w:hAnsi="仿宋" w:eastAsia="仿宋"/>
          <w:szCs w:val="32"/>
        </w:rPr>
        <w:t>破产管理人应当按照法律法规以及本指引的要求履行信息披露义务。</w:t>
      </w:r>
    </w:p>
    <w:p>
      <w:pPr>
        <w:numPr>
          <w:ilvl w:val="0"/>
          <w:numId w:val="1"/>
        </w:numPr>
        <w:ind w:left="0" w:firstLine="640"/>
        <w:rPr>
          <w:rFonts w:ascii="仿宋" w:hAnsi="仿宋" w:eastAsia="仿宋"/>
          <w:szCs w:val="32"/>
        </w:rPr>
      </w:pPr>
      <w:r>
        <w:rPr>
          <w:rFonts w:hint="eastAsia" w:ascii="仿宋" w:hAnsi="仿宋" w:eastAsia="仿宋"/>
          <w:szCs w:val="32"/>
        </w:rPr>
        <w:t>发行人或者破产管理人编制的定期报告应当充分考虑破产程序对发行人及其子公司在生产经营、财务状况、公司治理、持续经营能力等方面的影响。</w:t>
      </w:r>
    </w:p>
    <w:p>
      <w:pPr>
        <w:ind w:firstLine="640"/>
        <w:rPr>
          <w:rFonts w:ascii="仿宋" w:hAnsi="仿宋" w:eastAsia="仿宋"/>
          <w:szCs w:val="32"/>
        </w:rPr>
      </w:pPr>
      <w:r>
        <w:rPr>
          <w:rFonts w:hint="eastAsia" w:ascii="仿宋" w:hAnsi="仿宋" w:eastAsia="仿宋"/>
          <w:szCs w:val="32"/>
        </w:rPr>
        <w:t>破产管理人承担信息披露义务的，破产管理人应当保证定期报告披露的真实、准确、完整，如无法保证或者存在异议的，破产管理人应当在定期报告中声明前述事项并说明理由。</w:t>
      </w:r>
    </w:p>
    <w:p>
      <w:pPr>
        <w:ind w:firstLine="640"/>
        <w:rPr>
          <w:rFonts w:ascii="仿宋" w:hAnsi="仿宋" w:eastAsia="仿宋"/>
          <w:szCs w:val="32"/>
        </w:rPr>
      </w:pPr>
      <w:r>
        <w:rPr>
          <w:rFonts w:hint="eastAsia" w:ascii="仿宋" w:hAnsi="仿宋" w:eastAsia="仿宋"/>
          <w:szCs w:val="32"/>
        </w:rPr>
        <w:t>发行人承担信息披露义务的，发行人全体董事、监事、高级管理人员应当保证定期报告披露的真实、准确、完整，如无法保证或者存在异议的，发行人应当在定期报告中声明前述事项并说明理由。</w:t>
      </w:r>
    </w:p>
    <w:p>
      <w:pPr>
        <w:numPr>
          <w:ilvl w:val="0"/>
          <w:numId w:val="1"/>
        </w:numPr>
        <w:ind w:left="0" w:firstLine="640"/>
        <w:rPr>
          <w:rFonts w:ascii="仿宋" w:hAnsi="仿宋" w:eastAsia="仿宋"/>
          <w:szCs w:val="32"/>
        </w:rPr>
      </w:pPr>
      <w:r>
        <w:rPr>
          <w:rFonts w:hint="eastAsia" w:ascii="仿宋" w:hAnsi="仿宋" w:eastAsia="仿宋" w:cs="Times New Roman"/>
          <w:szCs w:val="32"/>
        </w:rPr>
        <w:t>发行人及其关联企业被裁定实质合并破产后，无法合理区分本章所规定的信息披露事项涉及主体是否为发行人的，可以将发行人及其关联企业视为本章所称的发行人。</w:t>
      </w:r>
    </w:p>
    <w:p>
      <w:pPr>
        <w:numPr>
          <w:ilvl w:val="0"/>
          <w:numId w:val="1"/>
        </w:numPr>
        <w:ind w:left="0" w:firstLine="640"/>
        <w:rPr>
          <w:rFonts w:ascii="仿宋" w:hAnsi="仿宋" w:eastAsia="仿宋"/>
          <w:szCs w:val="32"/>
        </w:rPr>
      </w:pPr>
      <w:r>
        <w:rPr>
          <w:rFonts w:hint="eastAsia" w:ascii="仿宋" w:hAnsi="仿宋" w:eastAsia="仿宋"/>
          <w:szCs w:val="32"/>
        </w:rPr>
        <w:t>发行人进入破产程序的，定期报告应当包括下列事项：</w:t>
      </w:r>
    </w:p>
    <w:p>
      <w:pPr>
        <w:ind w:firstLine="640"/>
        <w:rPr>
          <w:rFonts w:ascii="仿宋" w:hAnsi="仿宋" w:eastAsia="仿宋"/>
          <w:szCs w:val="32"/>
        </w:rPr>
      </w:pPr>
      <w:r>
        <w:rPr>
          <w:rFonts w:hint="eastAsia" w:ascii="仿宋" w:hAnsi="仿宋" w:eastAsia="仿宋"/>
          <w:szCs w:val="32"/>
        </w:rPr>
        <w:t>（一）发行人和定期报告基本信息，包括发行人名称，定期报告名称、类型、报告期和披露时间，报告期末信息披露义务承担主体及其联系方式。</w:t>
      </w:r>
    </w:p>
    <w:p>
      <w:pPr>
        <w:ind w:firstLine="640"/>
        <w:rPr>
          <w:rFonts w:ascii="仿宋" w:hAnsi="仿宋" w:eastAsia="仿宋"/>
          <w:szCs w:val="32"/>
        </w:rPr>
      </w:pPr>
      <w:r>
        <w:rPr>
          <w:rFonts w:hint="eastAsia" w:ascii="仿宋" w:hAnsi="仿宋" w:eastAsia="仿宋"/>
          <w:szCs w:val="32"/>
        </w:rPr>
        <w:t>（二）公司债券情况，包括报告期末公司债券存续情况，截至报告期末未到期的公司债券募集资金使用和整改情况（如有），特殊条款的约定和执行情况。</w:t>
      </w:r>
    </w:p>
    <w:p>
      <w:pPr>
        <w:ind w:firstLine="640"/>
        <w:rPr>
          <w:rFonts w:ascii="仿宋" w:hAnsi="仿宋" w:eastAsia="仿宋"/>
          <w:szCs w:val="32"/>
        </w:rPr>
      </w:pPr>
      <w:r>
        <w:rPr>
          <w:rFonts w:hint="eastAsia" w:ascii="仿宋" w:hAnsi="仿宋" w:eastAsia="仿宋"/>
          <w:szCs w:val="32"/>
        </w:rPr>
        <w:t>（三）经营状况，包括发行人合并报表范围内主营业务开展情况，是否出现生产经营相关事项的重大不利变化及其具体情况。</w:t>
      </w:r>
    </w:p>
    <w:p>
      <w:pPr>
        <w:ind w:firstLine="640"/>
        <w:rPr>
          <w:rFonts w:ascii="仿宋" w:hAnsi="仿宋" w:eastAsia="仿宋"/>
          <w:szCs w:val="32"/>
        </w:rPr>
      </w:pPr>
      <w:r>
        <w:rPr>
          <w:rFonts w:hint="eastAsia" w:ascii="仿宋" w:hAnsi="仿宋" w:eastAsia="仿宋"/>
          <w:szCs w:val="32"/>
        </w:rPr>
        <w:t>（四）资产和现金流情况，包括报告期末发行人合并报表范围资产总额，对生产经营或者偿债能力具有重要影响的资产金额、明细、运营、处置或者丧失情况、权利受限情况，追回、追缴债务人财产情况，以及报告期内现金流和盈利情况及其稳定性。</w:t>
      </w:r>
    </w:p>
    <w:p>
      <w:pPr>
        <w:ind w:firstLine="640"/>
        <w:rPr>
          <w:rFonts w:ascii="仿宋" w:hAnsi="仿宋" w:eastAsia="仿宋"/>
          <w:szCs w:val="32"/>
        </w:rPr>
      </w:pPr>
      <w:r>
        <w:rPr>
          <w:rFonts w:hint="eastAsia" w:ascii="仿宋" w:hAnsi="仿宋" w:eastAsia="仿宋"/>
          <w:szCs w:val="32"/>
        </w:rPr>
        <w:t>（五）负债情况，包括报告期末发行人及其合并报表范围的负债总额，有息债务金额及其种类结构，报告期末已经确认和尚未确认的债权金额，债务优先清偿情况，有息债务逾期、重组情况，大额增信新增和执行情况，大额有息债务的新增、抵销、诉讼等反映负债情况的重要事项。</w:t>
      </w:r>
    </w:p>
    <w:p>
      <w:pPr>
        <w:ind w:firstLine="640"/>
        <w:rPr>
          <w:rFonts w:ascii="仿宋" w:hAnsi="仿宋" w:eastAsia="仿宋"/>
          <w:szCs w:val="32"/>
        </w:rPr>
      </w:pPr>
      <w:r>
        <w:rPr>
          <w:rFonts w:hint="eastAsia" w:ascii="仿宋" w:hAnsi="仿宋" w:eastAsia="仿宋"/>
          <w:szCs w:val="32"/>
        </w:rPr>
        <w:t>（六）公司治理及资信情况，包括发行人和重要子公司及其治理、管理团队的稳定性和资信情况，重要子公司解散、被托管或者接管、经营权或者股权被委托管理等情况。</w:t>
      </w:r>
    </w:p>
    <w:p>
      <w:pPr>
        <w:ind w:firstLine="640"/>
        <w:rPr>
          <w:rFonts w:ascii="仿宋" w:hAnsi="仿宋" w:eastAsia="仿宋"/>
          <w:szCs w:val="32"/>
        </w:rPr>
      </w:pPr>
      <w:r>
        <w:rPr>
          <w:rFonts w:hint="eastAsia" w:ascii="仿宋" w:hAnsi="仿宋" w:eastAsia="仿宋"/>
          <w:szCs w:val="32"/>
        </w:rPr>
        <w:t>（七）财务报告，信息披露义务人应当根据自身财务实际情况选择适用的会计准则编制财务报告，以确保客观、公允、真实地反映企业的财务状况，并勤勉尽责地推动相关审计工作，最大限度维护债券投资者合法权益。</w:t>
      </w:r>
    </w:p>
    <w:p>
      <w:pPr>
        <w:ind w:firstLine="640"/>
        <w:rPr>
          <w:rFonts w:ascii="仿宋" w:hAnsi="仿宋" w:eastAsia="仿宋"/>
          <w:szCs w:val="32"/>
        </w:rPr>
      </w:pPr>
      <w:r>
        <w:rPr>
          <w:rFonts w:hint="eastAsia" w:ascii="仿宋" w:hAnsi="仿宋" w:eastAsia="仿宋"/>
          <w:szCs w:val="32"/>
        </w:rPr>
        <w:t>（八）其他本所和信息披露义务人认为应当披露的事项。</w:t>
      </w:r>
    </w:p>
    <w:p>
      <w:pPr>
        <w:ind w:firstLine="640"/>
        <w:rPr>
          <w:rFonts w:ascii="仿宋" w:hAnsi="仿宋" w:eastAsia="仿宋"/>
          <w:szCs w:val="32"/>
        </w:rPr>
      </w:pPr>
      <w:r>
        <w:rPr>
          <w:rFonts w:hint="eastAsia" w:ascii="仿宋" w:hAnsi="仿宋" w:eastAsia="仿宋"/>
          <w:szCs w:val="32"/>
        </w:rPr>
        <w:t>破产管理人承担破产信息披露义务，且不管理发行人合并报表范围内子公司的，可以仅披露发行人涉及的前款规定事项。</w:t>
      </w:r>
    </w:p>
    <w:p>
      <w:pPr>
        <w:numPr>
          <w:ilvl w:val="0"/>
          <w:numId w:val="1"/>
        </w:numPr>
        <w:ind w:left="0" w:firstLine="640"/>
        <w:rPr>
          <w:rFonts w:ascii="仿宋" w:hAnsi="仿宋" w:eastAsia="仿宋"/>
          <w:szCs w:val="32"/>
        </w:rPr>
      </w:pPr>
      <w:r>
        <w:rPr>
          <w:rFonts w:hint="eastAsia" w:ascii="仿宋" w:hAnsi="仿宋" w:eastAsia="仿宋"/>
          <w:szCs w:val="32"/>
        </w:rPr>
        <w:t>发行人存在被国务院部委或者直属机构、省级人民政府、计划单列市人民政府（以下统称有关政府部门）决定托管、接管，有关政府部门因信用风险化解处置需要向发行人派驻工作组，或者在根据《系统重要性银行评估办法》评估认定的系统重要性银行名单中位列第三组、第四组和第五组的银行总部层面组建针对发行人的债权人委员会等情形的，定期报告应当包括下列事项：</w:t>
      </w:r>
      <w:r>
        <w:rPr>
          <w:rFonts w:ascii="仿宋" w:hAnsi="仿宋" w:eastAsia="仿宋"/>
          <w:szCs w:val="32"/>
        </w:rPr>
        <w:t xml:space="preserve"> </w:t>
      </w:r>
    </w:p>
    <w:p>
      <w:pPr>
        <w:ind w:firstLine="640"/>
        <w:rPr>
          <w:rFonts w:ascii="仿宋" w:hAnsi="仿宋" w:eastAsia="仿宋"/>
          <w:szCs w:val="32"/>
        </w:rPr>
      </w:pPr>
      <w:r>
        <w:rPr>
          <w:rFonts w:hint="eastAsia" w:ascii="仿宋" w:hAnsi="仿宋" w:eastAsia="仿宋"/>
          <w:szCs w:val="32"/>
        </w:rPr>
        <w:t>（一）发行人和定期报告基本信息，包括发行人名称，定期报告名称、类型、报告期和披露时间，报告期末信息披露义务承担主体及其联系方式。</w:t>
      </w:r>
    </w:p>
    <w:p>
      <w:pPr>
        <w:ind w:firstLine="640"/>
        <w:rPr>
          <w:rFonts w:ascii="仿宋" w:hAnsi="仿宋" w:eastAsia="仿宋"/>
          <w:szCs w:val="32"/>
        </w:rPr>
      </w:pPr>
      <w:r>
        <w:rPr>
          <w:rFonts w:hint="eastAsia" w:ascii="仿宋" w:hAnsi="仿宋" w:eastAsia="仿宋"/>
          <w:szCs w:val="32"/>
        </w:rPr>
        <w:t>（二）公司债券情况，包括报告期末公司债券存续情况，截至报告期末未到期的公司债券募集资金使用和整改情况（如有），特殊条款的约定和执行情况。</w:t>
      </w:r>
    </w:p>
    <w:p>
      <w:pPr>
        <w:ind w:firstLine="640"/>
        <w:rPr>
          <w:rFonts w:ascii="仿宋" w:hAnsi="仿宋" w:eastAsia="仿宋"/>
          <w:szCs w:val="32"/>
        </w:rPr>
      </w:pPr>
      <w:r>
        <w:rPr>
          <w:rFonts w:hint="eastAsia" w:ascii="仿宋" w:hAnsi="仿宋" w:eastAsia="仿宋"/>
          <w:szCs w:val="32"/>
        </w:rPr>
        <w:t>（三）经营状况，包括发行人合并报表范围内主营业务开展情况，是否出现生产经营相关事项的重大不利变化及其具体情况。</w:t>
      </w:r>
    </w:p>
    <w:p>
      <w:pPr>
        <w:ind w:firstLine="640"/>
        <w:rPr>
          <w:rFonts w:ascii="仿宋" w:hAnsi="仿宋" w:eastAsia="仿宋"/>
          <w:szCs w:val="32"/>
        </w:rPr>
      </w:pPr>
      <w:r>
        <w:rPr>
          <w:rFonts w:hint="eastAsia" w:ascii="仿宋" w:hAnsi="仿宋" w:eastAsia="仿宋"/>
          <w:szCs w:val="32"/>
        </w:rPr>
        <w:t>（四）资产和现金流情况，包括报告期末发行人合并报表范围资产总额，对生产经营或者偿债能力具有重要影响的资产金额、明细、运营、处置或者丧失情况、权利受限情况，以及报告期内现金流和盈利情况及其稳定性。</w:t>
      </w:r>
    </w:p>
    <w:p>
      <w:pPr>
        <w:ind w:firstLine="640"/>
        <w:rPr>
          <w:rFonts w:ascii="仿宋" w:hAnsi="仿宋" w:eastAsia="仿宋"/>
          <w:szCs w:val="32"/>
        </w:rPr>
      </w:pPr>
      <w:r>
        <w:rPr>
          <w:rFonts w:hint="eastAsia" w:ascii="仿宋" w:hAnsi="仿宋" w:eastAsia="仿宋"/>
          <w:szCs w:val="32"/>
        </w:rPr>
        <w:t>（五）负债情况，包括报告期末发行人及其合并报表范围的负债总额，有息债务金额、种类和结构，有息债务逾期、重组情况，大额增信新增及执行情况，大额有息债务的新增、诉讼等反映负债情况的重要事项，以及采取的缓解流动性压力的措施及其成效。</w:t>
      </w:r>
    </w:p>
    <w:p>
      <w:pPr>
        <w:ind w:firstLine="640"/>
        <w:rPr>
          <w:rFonts w:ascii="仿宋" w:hAnsi="仿宋" w:eastAsia="仿宋"/>
          <w:szCs w:val="32"/>
        </w:rPr>
      </w:pPr>
      <w:r>
        <w:rPr>
          <w:rFonts w:hint="eastAsia" w:ascii="仿宋" w:hAnsi="仿宋" w:eastAsia="仿宋"/>
          <w:szCs w:val="32"/>
        </w:rPr>
        <w:t>（六）公司治理及资信情况，包括发行人和重要子公司及其治理、管理团队的稳定性和资信情况，发行人控股股东、实际控制人变更变化情况、持有发行人股权的受限情况，发行人及其重要子公司经营权、股权被委托管理情况。</w:t>
      </w:r>
    </w:p>
    <w:p>
      <w:pPr>
        <w:ind w:firstLine="640"/>
        <w:rPr>
          <w:rFonts w:ascii="仿宋" w:hAnsi="仿宋" w:eastAsia="仿宋"/>
          <w:szCs w:val="32"/>
        </w:rPr>
      </w:pPr>
      <w:r>
        <w:rPr>
          <w:rFonts w:hint="eastAsia" w:ascii="仿宋" w:hAnsi="仿宋" w:eastAsia="仿宋"/>
          <w:szCs w:val="32"/>
        </w:rPr>
        <w:t>（七）风险化解处置进展情况。</w:t>
      </w:r>
    </w:p>
    <w:p>
      <w:pPr>
        <w:ind w:firstLine="640"/>
        <w:rPr>
          <w:rFonts w:ascii="仿宋" w:hAnsi="仿宋" w:eastAsia="仿宋"/>
          <w:szCs w:val="32"/>
        </w:rPr>
      </w:pPr>
      <w:r>
        <w:rPr>
          <w:rFonts w:hint="eastAsia" w:ascii="仿宋" w:hAnsi="仿宋" w:eastAsia="仿宋"/>
          <w:szCs w:val="32"/>
        </w:rPr>
        <w:t>（八）财务报告。</w:t>
      </w:r>
    </w:p>
    <w:p>
      <w:pPr>
        <w:ind w:firstLine="640"/>
        <w:rPr>
          <w:rFonts w:ascii="仿宋" w:hAnsi="仿宋" w:eastAsia="仿宋"/>
          <w:szCs w:val="32"/>
        </w:rPr>
      </w:pPr>
      <w:r>
        <w:rPr>
          <w:rFonts w:hint="eastAsia" w:ascii="仿宋" w:hAnsi="仿宋" w:eastAsia="仿宋"/>
          <w:szCs w:val="32"/>
        </w:rPr>
        <w:t>（九）其他本所和发行人认为应当披露的事项。</w:t>
      </w:r>
    </w:p>
    <w:p>
      <w:pPr>
        <w:pStyle w:val="2"/>
        <w:keepNext/>
        <w:keepLines/>
        <w:spacing w:before="240" w:after="240" w:line="240" w:lineRule="auto"/>
        <w:rPr>
          <w:rFonts w:ascii="黑体" w:hAnsi="黑体" w:cs="Times New Roman"/>
          <w:color w:val="auto"/>
          <w:kern w:val="44"/>
          <w:szCs w:val="32"/>
        </w:rPr>
      </w:pPr>
      <w:bookmarkStart w:id="14" w:name="_Toc122426499"/>
      <w:bookmarkStart w:id="15" w:name="_Toc68164176"/>
      <w:bookmarkStart w:id="16" w:name="_Toc66294747"/>
      <w:r>
        <w:rPr>
          <w:rFonts w:hint="eastAsia" w:ascii="黑体" w:hAnsi="黑体" w:cs="Times New Roman"/>
          <w:color w:val="auto"/>
          <w:kern w:val="44"/>
          <w:szCs w:val="32"/>
        </w:rPr>
        <w:t>第九章</w:t>
      </w:r>
      <w:r>
        <w:rPr>
          <w:rFonts w:ascii="黑体" w:hAnsi="黑体" w:cs="Times New Roman"/>
          <w:color w:val="auto"/>
          <w:kern w:val="44"/>
          <w:szCs w:val="32"/>
        </w:rPr>
        <w:t xml:space="preserve"> </w:t>
      </w:r>
      <w:r>
        <w:rPr>
          <w:rFonts w:hint="eastAsia" w:ascii="黑体" w:hAnsi="黑体" w:cs="Times New Roman"/>
          <w:color w:val="auto"/>
          <w:kern w:val="44"/>
          <w:szCs w:val="32"/>
        </w:rPr>
        <w:t>附则</w:t>
      </w:r>
      <w:bookmarkEnd w:id="14"/>
      <w:bookmarkEnd w:id="15"/>
      <w:bookmarkEnd w:id="16"/>
    </w:p>
    <w:p>
      <w:pPr>
        <w:numPr>
          <w:ilvl w:val="0"/>
          <w:numId w:val="1"/>
        </w:numPr>
        <w:ind w:left="0" w:firstLine="640"/>
        <w:rPr>
          <w:rFonts w:ascii="仿宋" w:hAnsi="仿宋" w:eastAsia="仿宋"/>
          <w:szCs w:val="32"/>
        </w:rPr>
      </w:pPr>
      <w:r>
        <w:rPr>
          <w:rFonts w:hint="eastAsia" w:ascii="仿宋" w:hAnsi="仿宋" w:eastAsia="仿宋"/>
          <w:szCs w:val="32"/>
        </w:rPr>
        <w:t>境外注册公司发行的债券在本所上市挂牌的，其定期报告编制以及披露参照本指引执行。</w:t>
      </w:r>
    </w:p>
    <w:p>
      <w:pPr>
        <w:numPr>
          <w:ilvl w:val="0"/>
          <w:numId w:val="1"/>
        </w:numPr>
        <w:ind w:left="0" w:firstLine="640"/>
        <w:rPr>
          <w:rFonts w:ascii="仿宋" w:hAnsi="仿宋" w:eastAsia="仿宋"/>
          <w:szCs w:val="32"/>
        </w:rPr>
      </w:pPr>
      <w:r>
        <w:rPr>
          <w:rFonts w:ascii="仿宋" w:hAnsi="仿宋" w:eastAsia="仿宋" w:cs="Times New Roman"/>
          <w:szCs w:val="32"/>
        </w:rPr>
        <w:t>本所对</w:t>
      </w:r>
      <w:r>
        <w:rPr>
          <w:rFonts w:hint="eastAsia" w:ascii="仿宋" w:hAnsi="仿宋" w:eastAsia="仿宋" w:cs="Times New Roman"/>
          <w:szCs w:val="32"/>
        </w:rPr>
        <w:t>专项</w:t>
      </w:r>
      <w:r>
        <w:rPr>
          <w:rFonts w:ascii="仿宋" w:hAnsi="仿宋" w:eastAsia="仿宋" w:cs="Times New Roman"/>
          <w:szCs w:val="32"/>
        </w:rPr>
        <w:t>品种债券</w:t>
      </w:r>
      <w:r>
        <w:rPr>
          <w:rFonts w:hint="eastAsia" w:ascii="仿宋" w:hAnsi="仿宋" w:eastAsia="仿宋" w:cs="Times New Roman"/>
          <w:szCs w:val="32"/>
        </w:rPr>
        <w:t>定期报告披露有更严格规定的，</w:t>
      </w:r>
      <w:r>
        <w:rPr>
          <w:rFonts w:ascii="仿宋" w:hAnsi="仿宋" w:eastAsia="仿宋" w:cs="Times New Roman"/>
          <w:szCs w:val="32"/>
        </w:rPr>
        <w:t>从其规定。</w:t>
      </w:r>
    </w:p>
    <w:p>
      <w:pPr>
        <w:numPr>
          <w:ilvl w:val="0"/>
          <w:numId w:val="1"/>
        </w:numPr>
        <w:ind w:left="0" w:firstLine="640"/>
        <w:rPr>
          <w:rFonts w:ascii="仿宋" w:hAnsi="仿宋" w:eastAsia="仿宋"/>
          <w:szCs w:val="32"/>
        </w:rPr>
      </w:pPr>
      <w:r>
        <w:rPr>
          <w:rFonts w:hint="eastAsia" w:ascii="仿宋" w:hAnsi="仿宋" w:eastAsia="仿宋"/>
          <w:szCs w:val="32"/>
        </w:rPr>
        <w:t>本指引下列用语具有如下含义：</w:t>
      </w:r>
    </w:p>
    <w:p>
      <w:pPr>
        <w:ind w:firstLine="640"/>
        <w:rPr>
          <w:rFonts w:ascii="仿宋" w:hAnsi="仿宋" w:eastAsia="仿宋"/>
          <w:szCs w:val="32"/>
        </w:rPr>
      </w:pPr>
      <w:r>
        <w:rPr>
          <w:rFonts w:hint="eastAsia" w:ascii="仿宋" w:hAnsi="仿宋" w:eastAsia="仿宋"/>
          <w:szCs w:val="32"/>
        </w:rPr>
        <w:t>（一）公司信用类债券，包括公司债券和非金融企业债务融资工具；</w:t>
      </w:r>
    </w:p>
    <w:p>
      <w:pPr>
        <w:ind w:firstLine="640"/>
        <w:rPr>
          <w:rFonts w:ascii="仿宋" w:hAnsi="仿宋" w:eastAsia="仿宋"/>
          <w:szCs w:val="32"/>
        </w:rPr>
      </w:pPr>
      <w:r>
        <w:rPr>
          <w:rFonts w:hint="eastAsia" w:ascii="仿宋" w:hAnsi="仿宋" w:eastAsia="仿宋"/>
          <w:szCs w:val="32"/>
        </w:rPr>
        <w:t>（二）子公司，是指纳入发行人合并财务报表范围内的所有子公司；</w:t>
      </w:r>
    </w:p>
    <w:p>
      <w:pPr>
        <w:ind w:firstLine="640"/>
        <w:rPr>
          <w:rFonts w:ascii="仿宋" w:hAnsi="仿宋" w:eastAsia="仿宋"/>
          <w:szCs w:val="32"/>
        </w:rPr>
      </w:pPr>
      <w:r>
        <w:rPr>
          <w:rFonts w:hint="eastAsia" w:ascii="仿宋" w:hAnsi="仿宋" w:eastAsia="仿宋"/>
          <w:szCs w:val="32"/>
        </w:rPr>
        <w:t>（三）重要子公司，指最近一年（末）总资产、净资产或者营业收入占发行人合并报表相应科目</w:t>
      </w:r>
      <w:r>
        <w:rPr>
          <w:rFonts w:ascii="仿宋" w:hAnsi="仿宋" w:eastAsia="仿宋"/>
          <w:szCs w:val="32"/>
        </w:rPr>
        <w:t>30%以上的子公司；</w:t>
      </w:r>
    </w:p>
    <w:p>
      <w:pPr>
        <w:ind w:firstLine="640"/>
        <w:rPr>
          <w:rFonts w:ascii="仿宋" w:hAnsi="仿宋" w:eastAsia="仿宋"/>
          <w:szCs w:val="32"/>
        </w:rPr>
      </w:pPr>
      <w:r>
        <w:rPr>
          <w:rFonts w:hint="eastAsia" w:ascii="仿宋" w:hAnsi="仿宋" w:eastAsia="仿宋"/>
          <w:szCs w:val="32"/>
        </w:rPr>
        <w:t>（四）关联方，是指根据《企业会计准则第</w:t>
      </w:r>
      <w:r>
        <w:rPr>
          <w:rFonts w:ascii="仿宋" w:hAnsi="仿宋" w:eastAsia="仿宋"/>
          <w:szCs w:val="32"/>
        </w:rPr>
        <w:t xml:space="preserve">36号——关联方披露》确定的关联方； </w:t>
      </w:r>
    </w:p>
    <w:p>
      <w:pPr>
        <w:ind w:firstLine="640"/>
        <w:rPr>
          <w:rFonts w:ascii="仿宋" w:hAnsi="仿宋" w:eastAsia="仿宋"/>
          <w:szCs w:val="32"/>
        </w:rPr>
      </w:pPr>
      <w:r>
        <w:rPr>
          <w:rFonts w:hint="eastAsia" w:ascii="仿宋" w:hAnsi="仿宋" w:eastAsia="仿宋"/>
          <w:szCs w:val="32"/>
        </w:rPr>
        <w:t>（五）</w:t>
      </w:r>
      <w:r>
        <w:rPr>
          <w:rFonts w:hint="eastAsia" w:ascii="仿宋" w:hAnsi="仿宋" w:eastAsia="仿宋"/>
          <w:color w:val="auto"/>
          <w:szCs w:val="32"/>
        </w:rPr>
        <w:t>对外担保，包括发行人自身的对外担保及其子公司的对外担保，不含发行人与子公司之间的担保。</w:t>
      </w:r>
    </w:p>
    <w:p>
      <w:pPr>
        <w:numPr>
          <w:ilvl w:val="0"/>
          <w:numId w:val="1"/>
        </w:numPr>
        <w:ind w:left="0" w:firstLine="640"/>
        <w:rPr>
          <w:rFonts w:ascii="仿宋" w:hAnsi="仿宋" w:eastAsia="仿宋"/>
          <w:szCs w:val="32"/>
        </w:rPr>
      </w:pPr>
      <w:r>
        <w:rPr>
          <w:rFonts w:hint="eastAsia" w:ascii="仿宋" w:hAnsi="仿宋" w:eastAsia="仿宋"/>
          <w:szCs w:val="32"/>
        </w:rPr>
        <w:t>本指引所称董事、监事、高级管理人员、总经理、董事长、信息披露事务负责人，均包括履行同等职责的人员；所称董事会、监事会、股东（大）会，均包括实际履行相应职责的机构。</w:t>
      </w:r>
    </w:p>
    <w:p>
      <w:pPr>
        <w:numPr>
          <w:ilvl w:val="0"/>
          <w:numId w:val="1"/>
        </w:numPr>
        <w:ind w:left="0" w:firstLine="640"/>
        <w:rPr>
          <w:rFonts w:ascii="仿宋" w:hAnsi="仿宋" w:eastAsia="仿宋"/>
          <w:szCs w:val="32"/>
        </w:rPr>
      </w:pPr>
      <w:r>
        <w:rPr>
          <w:rFonts w:hint="eastAsia" w:ascii="仿宋" w:hAnsi="仿宋" w:eastAsia="仿宋"/>
          <w:szCs w:val="32"/>
        </w:rPr>
        <w:t>本指引涉及的财务指标数据为负值的，取其绝对值计算。</w:t>
      </w:r>
    </w:p>
    <w:p>
      <w:pPr>
        <w:numPr>
          <w:ilvl w:val="0"/>
          <w:numId w:val="1"/>
        </w:numPr>
        <w:ind w:left="0" w:firstLine="640"/>
        <w:rPr>
          <w:rFonts w:ascii="仿宋" w:hAnsi="仿宋" w:eastAsia="仿宋"/>
          <w:szCs w:val="32"/>
        </w:rPr>
      </w:pPr>
      <w:r>
        <w:rPr>
          <w:rFonts w:hint="eastAsia" w:ascii="仿宋" w:hAnsi="仿宋" w:eastAsia="仿宋"/>
          <w:szCs w:val="32"/>
        </w:rPr>
        <w:t>信息披露义务人及其相关人员违反本指引的，本所按照《深圳证券交易所公司债券上市规则》和《深圳证券交易所非公开发行公司债券挂牌规则》等相关规定对其采取自律监管措施或者纪律处分。</w:t>
      </w:r>
    </w:p>
    <w:p>
      <w:pPr>
        <w:numPr>
          <w:ilvl w:val="0"/>
          <w:numId w:val="1"/>
        </w:numPr>
        <w:ind w:left="0" w:firstLine="640"/>
        <w:rPr>
          <w:rFonts w:ascii="仿宋" w:hAnsi="仿宋" w:eastAsia="仿宋"/>
          <w:szCs w:val="32"/>
        </w:rPr>
      </w:pPr>
      <w:r>
        <w:rPr>
          <w:rFonts w:hint="eastAsia" w:ascii="仿宋" w:hAnsi="仿宋" w:eastAsia="仿宋"/>
          <w:szCs w:val="32"/>
        </w:rPr>
        <w:t>本指引由本所负责解释。</w:t>
      </w:r>
    </w:p>
    <w:p>
      <w:pPr>
        <w:numPr>
          <w:ilvl w:val="0"/>
          <w:numId w:val="1"/>
        </w:numPr>
        <w:ind w:left="0" w:firstLine="640"/>
        <w:rPr>
          <w:rFonts w:ascii="仿宋" w:hAnsi="仿宋" w:eastAsia="仿宋"/>
          <w:szCs w:val="32"/>
        </w:rPr>
      </w:pPr>
      <w:r>
        <w:rPr>
          <w:rFonts w:hint="eastAsia" w:ascii="仿宋" w:hAnsi="仿宋" w:eastAsia="仿宋"/>
          <w:szCs w:val="32"/>
        </w:rPr>
        <w:t>本指引自发布之日起施行。本所于</w:t>
      </w:r>
      <w:r>
        <w:rPr>
          <w:rFonts w:ascii="仿宋" w:hAnsi="仿宋" w:eastAsia="仿宋"/>
          <w:szCs w:val="32"/>
        </w:rPr>
        <w:t>2023年５月5日发布的《深圳证券交易所公司债券存续期监管业务指引第1</w:t>
      </w:r>
      <w:r>
        <w:rPr>
          <w:rFonts w:hint="eastAsia" w:ascii="仿宋" w:hAnsi="仿宋" w:eastAsia="仿宋"/>
          <w:szCs w:val="32"/>
        </w:rPr>
        <w:t>号——定期报告》（深证上〔</w:t>
      </w:r>
      <w:r>
        <w:rPr>
          <w:rFonts w:ascii="仿宋" w:hAnsi="仿宋" w:eastAsia="仿宋"/>
          <w:szCs w:val="32"/>
        </w:rPr>
        <w:t>2023</w:t>
      </w:r>
      <w:r>
        <w:rPr>
          <w:rFonts w:hint="eastAsia" w:ascii="仿宋" w:hAnsi="仿宋" w:eastAsia="仿宋"/>
          <w:szCs w:val="32"/>
        </w:rPr>
        <w:t>〕</w:t>
      </w:r>
      <w:r>
        <w:rPr>
          <w:rFonts w:ascii="仿宋" w:hAnsi="仿宋" w:eastAsia="仿宋"/>
          <w:szCs w:val="32"/>
        </w:rPr>
        <w:t>379</w:t>
      </w:r>
      <w:r>
        <w:rPr>
          <w:rFonts w:hint="eastAsia" w:ascii="仿宋" w:hAnsi="仿宋" w:eastAsia="仿宋"/>
          <w:szCs w:val="32"/>
        </w:rPr>
        <w:t>号）同时废止。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624" w:footer="992" w:gutter="0"/>
      <w:pgNumType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ADC"/>
    <w:multiLevelType w:val="multilevel"/>
    <w:tmpl w:val="13E97ADC"/>
    <w:lvl w:ilvl="0" w:tentative="0">
      <w:start w:val="1"/>
      <w:numFmt w:val="japaneseCounting"/>
      <w:lvlText w:val="（%1）"/>
      <w:lvlJc w:val="left"/>
      <w:pPr>
        <w:ind w:left="1305" w:hanging="8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D8E3F4E"/>
    <w:multiLevelType w:val="multilevel"/>
    <w:tmpl w:val="6D8E3F4E"/>
    <w:lvl w:ilvl="0" w:tentative="0">
      <w:start w:val="1"/>
      <w:numFmt w:val="chineseCountingThousand"/>
      <w:lvlText w:val="第%1条"/>
      <w:lvlJc w:val="left"/>
      <w:pPr>
        <w:ind w:left="1413" w:hanging="420"/>
      </w:pPr>
      <w:rPr>
        <w:rFonts w:hint="eastAsia" w:ascii="仿宋" w:hAnsi="仿宋" w:eastAsia="仿宋"/>
        <w:b/>
        <w:bCs w:val="0"/>
        <w:i w:val="0"/>
        <w:caps w:val="0"/>
        <w:strike w:val="0"/>
        <w:dstrike w:val="0"/>
        <w:vanish w:val="0"/>
        <w:sz w:val="32"/>
        <w:szCs w:val="28"/>
        <w:vertAlign w:val="baseline"/>
        <w:lang w:val="en-US"/>
      </w:rPr>
    </w:lvl>
    <w:lvl w:ilvl="1" w:tentative="0">
      <w:start w:val="1"/>
      <w:numFmt w:val="lowerLetter"/>
      <w:lvlText w:val="%2)"/>
      <w:lvlJc w:val="left"/>
      <w:pPr>
        <w:ind w:left="2042" w:hanging="420"/>
      </w:pPr>
    </w:lvl>
    <w:lvl w:ilvl="2" w:tentative="0">
      <w:start w:val="1"/>
      <w:numFmt w:val="lowerRoman"/>
      <w:lvlText w:val="%3."/>
      <w:lvlJc w:val="right"/>
      <w:pPr>
        <w:ind w:left="2462" w:hanging="420"/>
      </w:pPr>
    </w:lvl>
    <w:lvl w:ilvl="3" w:tentative="0">
      <w:start w:val="1"/>
      <w:numFmt w:val="decimal"/>
      <w:lvlText w:val="%4."/>
      <w:lvlJc w:val="left"/>
      <w:pPr>
        <w:ind w:left="2882" w:hanging="420"/>
      </w:pPr>
    </w:lvl>
    <w:lvl w:ilvl="4" w:tentative="0">
      <w:start w:val="1"/>
      <w:numFmt w:val="lowerLetter"/>
      <w:lvlText w:val="%5)"/>
      <w:lvlJc w:val="left"/>
      <w:pPr>
        <w:ind w:left="3302" w:hanging="420"/>
      </w:pPr>
    </w:lvl>
    <w:lvl w:ilvl="5" w:tentative="0">
      <w:start w:val="1"/>
      <w:numFmt w:val="lowerRoman"/>
      <w:lvlText w:val="%6."/>
      <w:lvlJc w:val="right"/>
      <w:pPr>
        <w:ind w:left="3722" w:hanging="420"/>
      </w:pPr>
    </w:lvl>
    <w:lvl w:ilvl="6" w:tentative="0">
      <w:start w:val="1"/>
      <w:numFmt w:val="decimal"/>
      <w:lvlText w:val="%7."/>
      <w:lvlJc w:val="left"/>
      <w:pPr>
        <w:ind w:left="4142" w:hanging="420"/>
      </w:pPr>
    </w:lvl>
    <w:lvl w:ilvl="7" w:tentative="0">
      <w:start w:val="1"/>
      <w:numFmt w:val="lowerLetter"/>
      <w:lvlText w:val="%8)"/>
      <w:lvlJc w:val="left"/>
      <w:pPr>
        <w:ind w:left="4562" w:hanging="420"/>
      </w:pPr>
    </w:lvl>
    <w:lvl w:ilvl="8" w:tentative="0">
      <w:start w:val="1"/>
      <w:numFmt w:val="lowerRoman"/>
      <w:lvlText w:val="%9."/>
      <w:lvlJc w:val="right"/>
      <w:pPr>
        <w:ind w:left="49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E3"/>
    <w:rsid w:val="00000DD4"/>
    <w:rsid w:val="00000F78"/>
    <w:rsid w:val="000039F6"/>
    <w:rsid w:val="0000419F"/>
    <w:rsid w:val="00004475"/>
    <w:rsid w:val="000051D8"/>
    <w:rsid w:val="0000527C"/>
    <w:rsid w:val="000100B4"/>
    <w:rsid w:val="00010B40"/>
    <w:rsid w:val="000116A2"/>
    <w:rsid w:val="00011B79"/>
    <w:rsid w:val="00013635"/>
    <w:rsid w:val="00013F07"/>
    <w:rsid w:val="00015823"/>
    <w:rsid w:val="00017189"/>
    <w:rsid w:val="000171F7"/>
    <w:rsid w:val="0002091A"/>
    <w:rsid w:val="00021113"/>
    <w:rsid w:val="00022D7F"/>
    <w:rsid w:val="00023540"/>
    <w:rsid w:val="000235AB"/>
    <w:rsid w:val="00023B56"/>
    <w:rsid w:val="00024099"/>
    <w:rsid w:val="00025440"/>
    <w:rsid w:val="00025829"/>
    <w:rsid w:val="000262EC"/>
    <w:rsid w:val="000303DB"/>
    <w:rsid w:val="0003134E"/>
    <w:rsid w:val="00031A06"/>
    <w:rsid w:val="00031AC7"/>
    <w:rsid w:val="00033BF1"/>
    <w:rsid w:val="00034110"/>
    <w:rsid w:val="00034913"/>
    <w:rsid w:val="0003537C"/>
    <w:rsid w:val="00035A97"/>
    <w:rsid w:val="0004040C"/>
    <w:rsid w:val="00041055"/>
    <w:rsid w:val="000414CF"/>
    <w:rsid w:val="0004289D"/>
    <w:rsid w:val="00042B6F"/>
    <w:rsid w:val="000436A2"/>
    <w:rsid w:val="00044195"/>
    <w:rsid w:val="00044F6C"/>
    <w:rsid w:val="00047D5D"/>
    <w:rsid w:val="00050091"/>
    <w:rsid w:val="00050C10"/>
    <w:rsid w:val="00051823"/>
    <w:rsid w:val="00051CA6"/>
    <w:rsid w:val="00052AD7"/>
    <w:rsid w:val="00052E09"/>
    <w:rsid w:val="00052E64"/>
    <w:rsid w:val="00053803"/>
    <w:rsid w:val="00053F6A"/>
    <w:rsid w:val="000540F2"/>
    <w:rsid w:val="000559D2"/>
    <w:rsid w:val="00055F48"/>
    <w:rsid w:val="000573B5"/>
    <w:rsid w:val="000626EB"/>
    <w:rsid w:val="000635DE"/>
    <w:rsid w:val="00063637"/>
    <w:rsid w:val="00064F0F"/>
    <w:rsid w:val="0006523E"/>
    <w:rsid w:val="0006598D"/>
    <w:rsid w:val="00066D6A"/>
    <w:rsid w:val="00067533"/>
    <w:rsid w:val="00072352"/>
    <w:rsid w:val="00072FF0"/>
    <w:rsid w:val="00073051"/>
    <w:rsid w:val="00073A09"/>
    <w:rsid w:val="00074E27"/>
    <w:rsid w:val="00074EF2"/>
    <w:rsid w:val="000752ED"/>
    <w:rsid w:val="0007565D"/>
    <w:rsid w:val="00077B18"/>
    <w:rsid w:val="00077BAA"/>
    <w:rsid w:val="00081478"/>
    <w:rsid w:val="00081504"/>
    <w:rsid w:val="000816C5"/>
    <w:rsid w:val="000818D5"/>
    <w:rsid w:val="00082FF6"/>
    <w:rsid w:val="00085A72"/>
    <w:rsid w:val="00086F58"/>
    <w:rsid w:val="00087538"/>
    <w:rsid w:val="00090182"/>
    <w:rsid w:val="00091CD2"/>
    <w:rsid w:val="00092B69"/>
    <w:rsid w:val="00092DE3"/>
    <w:rsid w:val="00095043"/>
    <w:rsid w:val="00095CA6"/>
    <w:rsid w:val="0009632E"/>
    <w:rsid w:val="00096A5F"/>
    <w:rsid w:val="000A0041"/>
    <w:rsid w:val="000A0E3C"/>
    <w:rsid w:val="000A1C57"/>
    <w:rsid w:val="000A2832"/>
    <w:rsid w:val="000A2B79"/>
    <w:rsid w:val="000A3D40"/>
    <w:rsid w:val="000A4155"/>
    <w:rsid w:val="000A47DD"/>
    <w:rsid w:val="000A629E"/>
    <w:rsid w:val="000A6E0D"/>
    <w:rsid w:val="000A7A96"/>
    <w:rsid w:val="000B1DE0"/>
    <w:rsid w:val="000B24B0"/>
    <w:rsid w:val="000B46F6"/>
    <w:rsid w:val="000B57D4"/>
    <w:rsid w:val="000B5D75"/>
    <w:rsid w:val="000B728E"/>
    <w:rsid w:val="000B7917"/>
    <w:rsid w:val="000B7D82"/>
    <w:rsid w:val="000B7FE0"/>
    <w:rsid w:val="000C0D37"/>
    <w:rsid w:val="000C163C"/>
    <w:rsid w:val="000C1AEC"/>
    <w:rsid w:val="000C238D"/>
    <w:rsid w:val="000C2AED"/>
    <w:rsid w:val="000C6810"/>
    <w:rsid w:val="000D0C92"/>
    <w:rsid w:val="000D2467"/>
    <w:rsid w:val="000D2ECA"/>
    <w:rsid w:val="000D302C"/>
    <w:rsid w:val="000D501A"/>
    <w:rsid w:val="000D5422"/>
    <w:rsid w:val="000D5C24"/>
    <w:rsid w:val="000D5EF6"/>
    <w:rsid w:val="000D77F4"/>
    <w:rsid w:val="000E0532"/>
    <w:rsid w:val="000E23BA"/>
    <w:rsid w:val="000E3911"/>
    <w:rsid w:val="000E3DA8"/>
    <w:rsid w:val="000E441D"/>
    <w:rsid w:val="000E44EC"/>
    <w:rsid w:val="000E4664"/>
    <w:rsid w:val="000E538B"/>
    <w:rsid w:val="000E6551"/>
    <w:rsid w:val="000E7F24"/>
    <w:rsid w:val="000F18C7"/>
    <w:rsid w:val="000F2D30"/>
    <w:rsid w:val="000F2DDD"/>
    <w:rsid w:val="000F4366"/>
    <w:rsid w:val="000F5B80"/>
    <w:rsid w:val="000F5F79"/>
    <w:rsid w:val="000F673C"/>
    <w:rsid w:val="000F74E2"/>
    <w:rsid w:val="000F7B5A"/>
    <w:rsid w:val="000F7EC9"/>
    <w:rsid w:val="00106F1B"/>
    <w:rsid w:val="00107933"/>
    <w:rsid w:val="00107EA0"/>
    <w:rsid w:val="00110566"/>
    <w:rsid w:val="00110B21"/>
    <w:rsid w:val="0011116A"/>
    <w:rsid w:val="00114793"/>
    <w:rsid w:val="00115879"/>
    <w:rsid w:val="00115CEF"/>
    <w:rsid w:val="00116654"/>
    <w:rsid w:val="00116BBF"/>
    <w:rsid w:val="001175AD"/>
    <w:rsid w:val="001225AF"/>
    <w:rsid w:val="00125622"/>
    <w:rsid w:val="00126051"/>
    <w:rsid w:val="00130196"/>
    <w:rsid w:val="001303D2"/>
    <w:rsid w:val="00130713"/>
    <w:rsid w:val="0013111D"/>
    <w:rsid w:val="0013261B"/>
    <w:rsid w:val="0013360B"/>
    <w:rsid w:val="00133700"/>
    <w:rsid w:val="00133B28"/>
    <w:rsid w:val="001342B9"/>
    <w:rsid w:val="001343C2"/>
    <w:rsid w:val="00134D85"/>
    <w:rsid w:val="00135817"/>
    <w:rsid w:val="00137237"/>
    <w:rsid w:val="0014045D"/>
    <w:rsid w:val="00140930"/>
    <w:rsid w:val="00141468"/>
    <w:rsid w:val="001416E4"/>
    <w:rsid w:val="00141F94"/>
    <w:rsid w:val="0014295E"/>
    <w:rsid w:val="00143D12"/>
    <w:rsid w:val="00144555"/>
    <w:rsid w:val="00145773"/>
    <w:rsid w:val="00145E43"/>
    <w:rsid w:val="00146F93"/>
    <w:rsid w:val="001509B6"/>
    <w:rsid w:val="001516A4"/>
    <w:rsid w:val="00153F47"/>
    <w:rsid w:val="0015508F"/>
    <w:rsid w:val="0016142D"/>
    <w:rsid w:val="00161C77"/>
    <w:rsid w:val="00164458"/>
    <w:rsid w:val="0016627F"/>
    <w:rsid w:val="001664E5"/>
    <w:rsid w:val="00166F25"/>
    <w:rsid w:val="00170BE1"/>
    <w:rsid w:val="00171E55"/>
    <w:rsid w:val="00171F94"/>
    <w:rsid w:val="00172A27"/>
    <w:rsid w:val="00172E95"/>
    <w:rsid w:val="00174203"/>
    <w:rsid w:val="00175E60"/>
    <w:rsid w:val="0017640B"/>
    <w:rsid w:val="00176782"/>
    <w:rsid w:val="00180ED3"/>
    <w:rsid w:val="001814C2"/>
    <w:rsid w:val="001821E0"/>
    <w:rsid w:val="00182972"/>
    <w:rsid w:val="00187C15"/>
    <w:rsid w:val="0019071D"/>
    <w:rsid w:val="001931D1"/>
    <w:rsid w:val="00196025"/>
    <w:rsid w:val="001963B5"/>
    <w:rsid w:val="00197EB1"/>
    <w:rsid w:val="001A2CCE"/>
    <w:rsid w:val="001A31E5"/>
    <w:rsid w:val="001A3282"/>
    <w:rsid w:val="001A36EF"/>
    <w:rsid w:val="001A4940"/>
    <w:rsid w:val="001A4970"/>
    <w:rsid w:val="001A4B6A"/>
    <w:rsid w:val="001A515A"/>
    <w:rsid w:val="001A6AD7"/>
    <w:rsid w:val="001B09A5"/>
    <w:rsid w:val="001B0B72"/>
    <w:rsid w:val="001B77D4"/>
    <w:rsid w:val="001B7EDA"/>
    <w:rsid w:val="001C0657"/>
    <w:rsid w:val="001C1B6B"/>
    <w:rsid w:val="001C2FD3"/>
    <w:rsid w:val="001C3C35"/>
    <w:rsid w:val="001C4BB6"/>
    <w:rsid w:val="001C4E4C"/>
    <w:rsid w:val="001C5473"/>
    <w:rsid w:val="001C5C90"/>
    <w:rsid w:val="001C5CD7"/>
    <w:rsid w:val="001C68B7"/>
    <w:rsid w:val="001C69CB"/>
    <w:rsid w:val="001C6A14"/>
    <w:rsid w:val="001C740B"/>
    <w:rsid w:val="001C7822"/>
    <w:rsid w:val="001D0F46"/>
    <w:rsid w:val="001D1003"/>
    <w:rsid w:val="001D14C4"/>
    <w:rsid w:val="001D1E0B"/>
    <w:rsid w:val="001D375A"/>
    <w:rsid w:val="001D5A31"/>
    <w:rsid w:val="001D5CA2"/>
    <w:rsid w:val="001D5DE4"/>
    <w:rsid w:val="001D6F01"/>
    <w:rsid w:val="001E026E"/>
    <w:rsid w:val="001E02E2"/>
    <w:rsid w:val="001E0686"/>
    <w:rsid w:val="001E1A22"/>
    <w:rsid w:val="001E3E04"/>
    <w:rsid w:val="001E56E7"/>
    <w:rsid w:val="001E7CF9"/>
    <w:rsid w:val="001F0885"/>
    <w:rsid w:val="001F37AC"/>
    <w:rsid w:val="001F5551"/>
    <w:rsid w:val="001F5E90"/>
    <w:rsid w:val="001F7275"/>
    <w:rsid w:val="001F7609"/>
    <w:rsid w:val="001F7A12"/>
    <w:rsid w:val="001F7AD4"/>
    <w:rsid w:val="0020128E"/>
    <w:rsid w:val="002029BC"/>
    <w:rsid w:val="002030D7"/>
    <w:rsid w:val="00203E25"/>
    <w:rsid w:val="0020498F"/>
    <w:rsid w:val="00204EFE"/>
    <w:rsid w:val="002051F1"/>
    <w:rsid w:val="00205477"/>
    <w:rsid w:val="002068E1"/>
    <w:rsid w:val="00210BCC"/>
    <w:rsid w:val="002119CC"/>
    <w:rsid w:val="002126BE"/>
    <w:rsid w:val="00212EBA"/>
    <w:rsid w:val="00214A3F"/>
    <w:rsid w:val="002157EB"/>
    <w:rsid w:val="002158AB"/>
    <w:rsid w:val="00215ECB"/>
    <w:rsid w:val="00220AB4"/>
    <w:rsid w:val="00220C8F"/>
    <w:rsid w:val="0022353C"/>
    <w:rsid w:val="002236E7"/>
    <w:rsid w:val="00227AD3"/>
    <w:rsid w:val="00227F18"/>
    <w:rsid w:val="00233398"/>
    <w:rsid w:val="00234E9C"/>
    <w:rsid w:val="002358F2"/>
    <w:rsid w:val="00235A4B"/>
    <w:rsid w:val="00235ACE"/>
    <w:rsid w:val="00236F25"/>
    <w:rsid w:val="0023788E"/>
    <w:rsid w:val="00240802"/>
    <w:rsid w:val="002430A6"/>
    <w:rsid w:val="002431E1"/>
    <w:rsid w:val="00243AD9"/>
    <w:rsid w:val="00243BBA"/>
    <w:rsid w:val="00244522"/>
    <w:rsid w:val="00244FCA"/>
    <w:rsid w:val="002456CE"/>
    <w:rsid w:val="002470A1"/>
    <w:rsid w:val="0024770E"/>
    <w:rsid w:val="00247760"/>
    <w:rsid w:val="00247799"/>
    <w:rsid w:val="00250AD7"/>
    <w:rsid w:val="00253446"/>
    <w:rsid w:val="00253453"/>
    <w:rsid w:val="00256052"/>
    <w:rsid w:val="002560B0"/>
    <w:rsid w:val="002561F5"/>
    <w:rsid w:val="00256320"/>
    <w:rsid w:val="00256972"/>
    <w:rsid w:val="00256AD7"/>
    <w:rsid w:val="00257E53"/>
    <w:rsid w:val="00261185"/>
    <w:rsid w:val="002615F2"/>
    <w:rsid w:val="0026229F"/>
    <w:rsid w:val="00262A65"/>
    <w:rsid w:val="00262D1D"/>
    <w:rsid w:val="00263085"/>
    <w:rsid w:val="00263788"/>
    <w:rsid w:val="00263FE6"/>
    <w:rsid w:val="00264DBB"/>
    <w:rsid w:val="00265C6D"/>
    <w:rsid w:val="00267FC0"/>
    <w:rsid w:val="002700A8"/>
    <w:rsid w:val="00270CEE"/>
    <w:rsid w:val="002721D5"/>
    <w:rsid w:val="00272564"/>
    <w:rsid w:val="002735B4"/>
    <w:rsid w:val="002744BF"/>
    <w:rsid w:val="00274629"/>
    <w:rsid w:val="00275AC7"/>
    <w:rsid w:val="00276DCB"/>
    <w:rsid w:val="002772EC"/>
    <w:rsid w:val="00277A89"/>
    <w:rsid w:val="00280769"/>
    <w:rsid w:val="00280B07"/>
    <w:rsid w:val="00280F12"/>
    <w:rsid w:val="0028212E"/>
    <w:rsid w:val="00283FBA"/>
    <w:rsid w:val="00284797"/>
    <w:rsid w:val="00284CF5"/>
    <w:rsid w:val="00285972"/>
    <w:rsid w:val="00287BD9"/>
    <w:rsid w:val="002925DC"/>
    <w:rsid w:val="002935B3"/>
    <w:rsid w:val="00293725"/>
    <w:rsid w:val="00295078"/>
    <w:rsid w:val="00296C0C"/>
    <w:rsid w:val="00297198"/>
    <w:rsid w:val="0029780B"/>
    <w:rsid w:val="00297D29"/>
    <w:rsid w:val="002A2DCC"/>
    <w:rsid w:val="002A2FA4"/>
    <w:rsid w:val="002A34DF"/>
    <w:rsid w:val="002A5BB9"/>
    <w:rsid w:val="002A7C1D"/>
    <w:rsid w:val="002A7C5F"/>
    <w:rsid w:val="002B01CC"/>
    <w:rsid w:val="002B0426"/>
    <w:rsid w:val="002B1593"/>
    <w:rsid w:val="002B378C"/>
    <w:rsid w:val="002B4489"/>
    <w:rsid w:val="002B51D2"/>
    <w:rsid w:val="002B540E"/>
    <w:rsid w:val="002B590A"/>
    <w:rsid w:val="002B5BDD"/>
    <w:rsid w:val="002B6910"/>
    <w:rsid w:val="002B6C25"/>
    <w:rsid w:val="002B6D44"/>
    <w:rsid w:val="002B7A7B"/>
    <w:rsid w:val="002C047F"/>
    <w:rsid w:val="002C0E24"/>
    <w:rsid w:val="002C2D51"/>
    <w:rsid w:val="002C3FFF"/>
    <w:rsid w:val="002C4971"/>
    <w:rsid w:val="002C530E"/>
    <w:rsid w:val="002C57C4"/>
    <w:rsid w:val="002C6F72"/>
    <w:rsid w:val="002C7A02"/>
    <w:rsid w:val="002C7E0D"/>
    <w:rsid w:val="002D1C5E"/>
    <w:rsid w:val="002D24AC"/>
    <w:rsid w:val="002D3792"/>
    <w:rsid w:val="002D3886"/>
    <w:rsid w:val="002D3B89"/>
    <w:rsid w:val="002D458D"/>
    <w:rsid w:val="002D4812"/>
    <w:rsid w:val="002D4F8B"/>
    <w:rsid w:val="002D5167"/>
    <w:rsid w:val="002D55E1"/>
    <w:rsid w:val="002D6447"/>
    <w:rsid w:val="002D789C"/>
    <w:rsid w:val="002E0ACA"/>
    <w:rsid w:val="002E0CFE"/>
    <w:rsid w:val="002E1568"/>
    <w:rsid w:val="002E1794"/>
    <w:rsid w:val="002E18F5"/>
    <w:rsid w:val="002E418A"/>
    <w:rsid w:val="002E41E7"/>
    <w:rsid w:val="002E45B3"/>
    <w:rsid w:val="002E5C28"/>
    <w:rsid w:val="002E62A6"/>
    <w:rsid w:val="002E64A5"/>
    <w:rsid w:val="002E71B8"/>
    <w:rsid w:val="002E74C1"/>
    <w:rsid w:val="002E7F04"/>
    <w:rsid w:val="002F207A"/>
    <w:rsid w:val="002F3077"/>
    <w:rsid w:val="002F3659"/>
    <w:rsid w:val="002F3740"/>
    <w:rsid w:val="002F3E29"/>
    <w:rsid w:val="002F58FD"/>
    <w:rsid w:val="002F63FA"/>
    <w:rsid w:val="002F710E"/>
    <w:rsid w:val="002F763F"/>
    <w:rsid w:val="002F7897"/>
    <w:rsid w:val="003015C3"/>
    <w:rsid w:val="00301AA0"/>
    <w:rsid w:val="003021BB"/>
    <w:rsid w:val="0030379F"/>
    <w:rsid w:val="00307F8E"/>
    <w:rsid w:val="003102F7"/>
    <w:rsid w:val="0031053A"/>
    <w:rsid w:val="00310D87"/>
    <w:rsid w:val="003111E9"/>
    <w:rsid w:val="00311755"/>
    <w:rsid w:val="00312928"/>
    <w:rsid w:val="0031324F"/>
    <w:rsid w:val="00313B99"/>
    <w:rsid w:val="00313DA3"/>
    <w:rsid w:val="003140D1"/>
    <w:rsid w:val="0031554F"/>
    <w:rsid w:val="003168CA"/>
    <w:rsid w:val="00316B55"/>
    <w:rsid w:val="00316C86"/>
    <w:rsid w:val="0031726C"/>
    <w:rsid w:val="00317378"/>
    <w:rsid w:val="003213D0"/>
    <w:rsid w:val="00321C8C"/>
    <w:rsid w:val="00322085"/>
    <w:rsid w:val="003231F1"/>
    <w:rsid w:val="003245EE"/>
    <w:rsid w:val="00324BFD"/>
    <w:rsid w:val="00324F76"/>
    <w:rsid w:val="0032502C"/>
    <w:rsid w:val="003262BB"/>
    <w:rsid w:val="00326F2A"/>
    <w:rsid w:val="003302B9"/>
    <w:rsid w:val="00331321"/>
    <w:rsid w:val="00331E9E"/>
    <w:rsid w:val="00332456"/>
    <w:rsid w:val="00332B91"/>
    <w:rsid w:val="00333DF6"/>
    <w:rsid w:val="003345E9"/>
    <w:rsid w:val="003355D3"/>
    <w:rsid w:val="00335768"/>
    <w:rsid w:val="00335E50"/>
    <w:rsid w:val="00336A3B"/>
    <w:rsid w:val="00337895"/>
    <w:rsid w:val="00340840"/>
    <w:rsid w:val="00340AC4"/>
    <w:rsid w:val="00342E24"/>
    <w:rsid w:val="00343C4E"/>
    <w:rsid w:val="00344387"/>
    <w:rsid w:val="00344B97"/>
    <w:rsid w:val="00345034"/>
    <w:rsid w:val="00347606"/>
    <w:rsid w:val="00347957"/>
    <w:rsid w:val="0035055C"/>
    <w:rsid w:val="003508B8"/>
    <w:rsid w:val="00350CBA"/>
    <w:rsid w:val="00350F6B"/>
    <w:rsid w:val="00351706"/>
    <w:rsid w:val="00352684"/>
    <w:rsid w:val="00353D3F"/>
    <w:rsid w:val="00355980"/>
    <w:rsid w:val="00356178"/>
    <w:rsid w:val="00356E0A"/>
    <w:rsid w:val="003572A8"/>
    <w:rsid w:val="0036091B"/>
    <w:rsid w:val="0036110B"/>
    <w:rsid w:val="00366528"/>
    <w:rsid w:val="00371956"/>
    <w:rsid w:val="00372339"/>
    <w:rsid w:val="00373A2A"/>
    <w:rsid w:val="00374826"/>
    <w:rsid w:val="00377026"/>
    <w:rsid w:val="0037782D"/>
    <w:rsid w:val="003811E9"/>
    <w:rsid w:val="00383F5D"/>
    <w:rsid w:val="00385C5F"/>
    <w:rsid w:val="003901CE"/>
    <w:rsid w:val="003915ED"/>
    <w:rsid w:val="00395B6E"/>
    <w:rsid w:val="00396075"/>
    <w:rsid w:val="00396722"/>
    <w:rsid w:val="00397B58"/>
    <w:rsid w:val="003A0C25"/>
    <w:rsid w:val="003A1290"/>
    <w:rsid w:val="003A16F8"/>
    <w:rsid w:val="003A1806"/>
    <w:rsid w:val="003A20A6"/>
    <w:rsid w:val="003A2808"/>
    <w:rsid w:val="003A3203"/>
    <w:rsid w:val="003B086B"/>
    <w:rsid w:val="003B0F0D"/>
    <w:rsid w:val="003B1457"/>
    <w:rsid w:val="003B2B5A"/>
    <w:rsid w:val="003B4084"/>
    <w:rsid w:val="003B42B0"/>
    <w:rsid w:val="003B5634"/>
    <w:rsid w:val="003B70F2"/>
    <w:rsid w:val="003C05B1"/>
    <w:rsid w:val="003C0B2F"/>
    <w:rsid w:val="003C0DC5"/>
    <w:rsid w:val="003C1C60"/>
    <w:rsid w:val="003C298A"/>
    <w:rsid w:val="003C32D0"/>
    <w:rsid w:val="003C62D1"/>
    <w:rsid w:val="003C693B"/>
    <w:rsid w:val="003C770B"/>
    <w:rsid w:val="003C7C1B"/>
    <w:rsid w:val="003D01F5"/>
    <w:rsid w:val="003D0F09"/>
    <w:rsid w:val="003D31C4"/>
    <w:rsid w:val="003D4870"/>
    <w:rsid w:val="003E00A3"/>
    <w:rsid w:val="003E0772"/>
    <w:rsid w:val="003E18D4"/>
    <w:rsid w:val="003E3A05"/>
    <w:rsid w:val="003E4885"/>
    <w:rsid w:val="003E7316"/>
    <w:rsid w:val="003E754C"/>
    <w:rsid w:val="003E75C8"/>
    <w:rsid w:val="003F10B1"/>
    <w:rsid w:val="003F11CA"/>
    <w:rsid w:val="003F1646"/>
    <w:rsid w:val="003F2A11"/>
    <w:rsid w:val="003F32C2"/>
    <w:rsid w:val="003F500E"/>
    <w:rsid w:val="003F5560"/>
    <w:rsid w:val="003F7344"/>
    <w:rsid w:val="00402226"/>
    <w:rsid w:val="004022C9"/>
    <w:rsid w:val="00402FB3"/>
    <w:rsid w:val="00403DC7"/>
    <w:rsid w:val="00404D9B"/>
    <w:rsid w:val="00405176"/>
    <w:rsid w:val="004056CB"/>
    <w:rsid w:val="00405FEB"/>
    <w:rsid w:val="00406D2A"/>
    <w:rsid w:val="00407DD2"/>
    <w:rsid w:val="00410301"/>
    <w:rsid w:val="0041092F"/>
    <w:rsid w:val="00410CB9"/>
    <w:rsid w:val="00411383"/>
    <w:rsid w:val="004114FE"/>
    <w:rsid w:val="00411CE9"/>
    <w:rsid w:val="00411E37"/>
    <w:rsid w:val="004137FC"/>
    <w:rsid w:val="00414161"/>
    <w:rsid w:val="00414670"/>
    <w:rsid w:val="0041524A"/>
    <w:rsid w:val="00416011"/>
    <w:rsid w:val="0042059C"/>
    <w:rsid w:val="004231D7"/>
    <w:rsid w:val="00423D17"/>
    <w:rsid w:val="00427084"/>
    <w:rsid w:val="00427322"/>
    <w:rsid w:val="00427696"/>
    <w:rsid w:val="00427ED1"/>
    <w:rsid w:val="004308C1"/>
    <w:rsid w:val="00431264"/>
    <w:rsid w:val="00431785"/>
    <w:rsid w:val="0043194E"/>
    <w:rsid w:val="00431E71"/>
    <w:rsid w:val="004322A3"/>
    <w:rsid w:val="00432BB1"/>
    <w:rsid w:val="004333F3"/>
    <w:rsid w:val="00434C67"/>
    <w:rsid w:val="00434DA1"/>
    <w:rsid w:val="00436AE3"/>
    <w:rsid w:val="00441F58"/>
    <w:rsid w:val="00442196"/>
    <w:rsid w:val="00442B39"/>
    <w:rsid w:val="00442EA6"/>
    <w:rsid w:val="00443949"/>
    <w:rsid w:val="004461B5"/>
    <w:rsid w:val="00450F0F"/>
    <w:rsid w:val="00451451"/>
    <w:rsid w:val="00451A73"/>
    <w:rsid w:val="00452A90"/>
    <w:rsid w:val="00453CD9"/>
    <w:rsid w:val="00455A29"/>
    <w:rsid w:val="00455CC3"/>
    <w:rsid w:val="00455EF2"/>
    <w:rsid w:val="004563E2"/>
    <w:rsid w:val="004570F7"/>
    <w:rsid w:val="004572F3"/>
    <w:rsid w:val="004606EF"/>
    <w:rsid w:val="0046088F"/>
    <w:rsid w:val="00460F02"/>
    <w:rsid w:val="00461717"/>
    <w:rsid w:val="00461898"/>
    <w:rsid w:val="0046258F"/>
    <w:rsid w:val="00462941"/>
    <w:rsid w:val="00463B6B"/>
    <w:rsid w:val="00464278"/>
    <w:rsid w:val="004644B1"/>
    <w:rsid w:val="004658F4"/>
    <w:rsid w:val="0047190F"/>
    <w:rsid w:val="004736AF"/>
    <w:rsid w:val="004747AF"/>
    <w:rsid w:val="00474816"/>
    <w:rsid w:val="00475885"/>
    <w:rsid w:val="00480B9B"/>
    <w:rsid w:val="00480CEC"/>
    <w:rsid w:val="0048149B"/>
    <w:rsid w:val="00482F4C"/>
    <w:rsid w:val="004853E8"/>
    <w:rsid w:val="0048597E"/>
    <w:rsid w:val="0048613D"/>
    <w:rsid w:val="00486E68"/>
    <w:rsid w:val="00487580"/>
    <w:rsid w:val="004912AD"/>
    <w:rsid w:val="00491B68"/>
    <w:rsid w:val="0049224F"/>
    <w:rsid w:val="00492B98"/>
    <w:rsid w:val="00493DBD"/>
    <w:rsid w:val="0049448B"/>
    <w:rsid w:val="004A0E93"/>
    <w:rsid w:val="004A2CF4"/>
    <w:rsid w:val="004A5BFF"/>
    <w:rsid w:val="004A5D0D"/>
    <w:rsid w:val="004A5E26"/>
    <w:rsid w:val="004B0147"/>
    <w:rsid w:val="004B019A"/>
    <w:rsid w:val="004B06BE"/>
    <w:rsid w:val="004B23B0"/>
    <w:rsid w:val="004B2A07"/>
    <w:rsid w:val="004B46E5"/>
    <w:rsid w:val="004B4D0F"/>
    <w:rsid w:val="004B4E18"/>
    <w:rsid w:val="004B5007"/>
    <w:rsid w:val="004B62C4"/>
    <w:rsid w:val="004B62F5"/>
    <w:rsid w:val="004B6BF5"/>
    <w:rsid w:val="004B769A"/>
    <w:rsid w:val="004B779A"/>
    <w:rsid w:val="004C174E"/>
    <w:rsid w:val="004C3A45"/>
    <w:rsid w:val="004C4759"/>
    <w:rsid w:val="004C5DB1"/>
    <w:rsid w:val="004C615B"/>
    <w:rsid w:val="004C7923"/>
    <w:rsid w:val="004D0B70"/>
    <w:rsid w:val="004D0CC0"/>
    <w:rsid w:val="004D0D64"/>
    <w:rsid w:val="004D2113"/>
    <w:rsid w:val="004D38A0"/>
    <w:rsid w:val="004D4B78"/>
    <w:rsid w:val="004D68B1"/>
    <w:rsid w:val="004D6F70"/>
    <w:rsid w:val="004D700A"/>
    <w:rsid w:val="004E1B47"/>
    <w:rsid w:val="004E23CD"/>
    <w:rsid w:val="004E50C0"/>
    <w:rsid w:val="004E7244"/>
    <w:rsid w:val="004F2B48"/>
    <w:rsid w:val="004F31FC"/>
    <w:rsid w:val="004F4370"/>
    <w:rsid w:val="004F5854"/>
    <w:rsid w:val="004F6435"/>
    <w:rsid w:val="004F67CB"/>
    <w:rsid w:val="004F74B8"/>
    <w:rsid w:val="004F750E"/>
    <w:rsid w:val="004F78F0"/>
    <w:rsid w:val="00500F6B"/>
    <w:rsid w:val="00501A29"/>
    <w:rsid w:val="00501E2B"/>
    <w:rsid w:val="00504868"/>
    <w:rsid w:val="0050634C"/>
    <w:rsid w:val="00506B1E"/>
    <w:rsid w:val="00506D17"/>
    <w:rsid w:val="0051082C"/>
    <w:rsid w:val="0051163D"/>
    <w:rsid w:val="005122F6"/>
    <w:rsid w:val="005155AC"/>
    <w:rsid w:val="005158D3"/>
    <w:rsid w:val="00516088"/>
    <w:rsid w:val="00516D33"/>
    <w:rsid w:val="00517424"/>
    <w:rsid w:val="00517A45"/>
    <w:rsid w:val="00517C75"/>
    <w:rsid w:val="00521BA4"/>
    <w:rsid w:val="00523296"/>
    <w:rsid w:val="00523A28"/>
    <w:rsid w:val="00524894"/>
    <w:rsid w:val="00524C5C"/>
    <w:rsid w:val="00526E9C"/>
    <w:rsid w:val="0053111E"/>
    <w:rsid w:val="00531AE4"/>
    <w:rsid w:val="005321F5"/>
    <w:rsid w:val="0053306A"/>
    <w:rsid w:val="0053326C"/>
    <w:rsid w:val="00533458"/>
    <w:rsid w:val="00533C0D"/>
    <w:rsid w:val="00534037"/>
    <w:rsid w:val="005346EE"/>
    <w:rsid w:val="005366D0"/>
    <w:rsid w:val="0053685C"/>
    <w:rsid w:val="005402D1"/>
    <w:rsid w:val="00540666"/>
    <w:rsid w:val="00540D5F"/>
    <w:rsid w:val="0054329A"/>
    <w:rsid w:val="00544271"/>
    <w:rsid w:val="00546335"/>
    <w:rsid w:val="005464E4"/>
    <w:rsid w:val="005501E4"/>
    <w:rsid w:val="00550A25"/>
    <w:rsid w:val="00552079"/>
    <w:rsid w:val="00552102"/>
    <w:rsid w:val="00552CD6"/>
    <w:rsid w:val="005544D8"/>
    <w:rsid w:val="00554BF0"/>
    <w:rsid w:val="0055501A"/>
    <w:rsid w:val="005555F2"/>
    <w:rsid w:val="00556969"/>
    <w:rsid w:val="00556FEF"/>
    <w:rsid w:val="0055768A"/>
    <w:rsid w:val="00557B8D"/>
    <w:rsid w:val="005601C8"/>
    <w:rsid w:val="00561EE4"/>
    <w:rsid w:val="00562463"/>
    <w:rsid w:val="00562C80"/>
    <w:rsid w:val="00564289"/>
    <w:rsid w:val="0056438F"/>
    <w:rsid w:val="00565F40"/>
    <w:rsid w:val="00566DEB"/>
    <w:rsid w:val="0056798D"/>
    <w:rsid w:val="00570064"/>
    <w:rsid w:val="00570291"/>
    <w:rsid w:val="005707AE"/>
    <w:rsid w:val="0057207A"/>
    <w:rsid w:val="00572C16"/>
    <w:rsid w:val="00573543"/>
    <w:rsid w:val="00573BF1"/>
    <w:rsid w:val="00573EF3"/>
    <w:rsid w:val="00573F3A"/>
    <w:rsid w:val="005756F4"/>
    <w:rsid w:val="005770AA"/>
    <w:rsid w:val="00577DF0"/>
    <w:rsid w:val="005804F1"/>
    <w:rsid w:val="0058094D"/>
    <w:rsid w:val="00580AEA"/>
    <w:rsid w:val="00581A99"/>
    <w:rsid w:val="005820F2"/>
    <w:rsid w:val="0058236D"/>
    <w:rsid w:val="0058399E"/>
    <w:rsid w:val="00584D1E"/>
    <w:rsid w:val="005854BC"/>
    <w:rsid w:val="0058584F"/>
    <w:rsid w:val="0058696B"/>
    <w:rsid w:val="00590159"/>
    <w:rsid w:val="0059017E"/>
    <w:rsid w:val="0059083B"/>
    <w:rsid w:val="005959BA"/>
    <w:rsid w:val="00595B57"/>
    <w:rsid w:val="00595E2C"/>
    <w:rsid w:val="005A05A6"/>
    <w:rsid w:val="005A0E3C"/>
    <w:rsid w:val="005A126D"/>
    <w:rsid w:val="005A432B"/>
    <w:rsid w:val="005A6933"/>
    <w:rsid w:val="005A7B86"/>
    <w:rsid w:val="005B0F5F"/>
    <w:rsid w:val="005B129B"/>
    <w:rsid w:val="005B1333"/>
    <w:rsid w:val="005B29C6"/>
    <w:rsid w:val="005B473D"/>
    <w:rsid w:val="005B5068"/>
    <w:rsid w:val="005B59C8"/>
    <w:rsid w:val="005B5AF0"/>
    <w:rsid w:val="005B6141"/>
    <w:rsid w:val="005B649C"/>
    <w:rsid w:val="005B65EF"/>
    <w:rsid w:val="005C05BF"/>
    <w:rsid w:val="005C1D74"/>
    <w:rsid w:val="005C1E56"/>
    <w:rsid w:val="005C20A6"/>
    <w:rsid w:val="005C401D"/>
    <w:rsid w:val="005C6EF2"/>
    <w:rsid w:val="005C70B5"/>
    <w:rsid w:val="005C72F4"/>
    <w:rsid w:val="005C783B"/>
    <w:rsid w:val="005D1357"/>
    <w:rsid w:val="005D1958"/>
    <w:rsid w:val="005D2A8B"/>
    <w:rsid w:val="005D2B01"/>
    <w:rsid w:val="005D35C0"/>
    <w:rsid w:val="005D3687"/>
    <w:rsid w:val="005D4FC0"/>
    <w:rsid w:val="005D61ED"/>
    <w:rsid w:val="005D6771"/>
    <w:rsid w:val="005D67BC"/>
    <w:rsid w:val="005D67F5"/>
    <w:rsid w:val="005D6C4E"/>
    <w:rsid w:val="005D7183"/>
    <w:rsid w:val="005D7C78"/>
    <w:rsid w:val="005E1255"/>
    <w:rsid w:val="005E3A0A"/>
    <w:rsid w:val="005E4ABC"/>
    <w:rsid w:val="005E4BFB"/>
    <w:rsid w:val="005E54E7"/>
    <w:rsid w:val="005E5880"/>
    <w:rsid w:val="005E5C7A"/>
    <w:rsid w:val="005E6A16"/>
    <w:rsid w:val="005F2545"/>
    <w:rsid w:val="005F25F8"/>
    <w:rsid w:val="005F3C70"/>
    <w:rsid w:val="005F4CE7"/>
    <w:rsid w:val="005F670C"/>
    <w:rsid w:val="005F688D"/>
    <w:rsid w:val="005F69DF"/>
    <w:rsid w:val="006004B4"/>
    <w:rsid w:val="00600DBA"/>
    <w:rsid w:val="006019C0"/>
    <w:rsid w:val="00603B22"/>
    <w:rsid w:val="00604A0C"/>
    <w:rsid w:val="00606B59"/>
    <w:rsid w:val="006117DD"/>
    <w:rsid w:val="00612EF2"/>
    <w:rsid w:val="006137EE"/>
    <w:rsid w:val="00613BAA"/>
    <w:rsid w:val="00613C11"/>
    <w:rsid w:val="00614BEE"/>
    <w:rsid w:val="0061500B"/>
    <w:rsid w:val="00617F25"/>
    <w:rsid w:val="006212E3"/>
    <w:rsid w:val="00621863"/>
    <w:rsid w:val="00622946"/>
    <w:rsid w:val="0062338E"/>
    <w:rsid w:val="00623926"/>
    <w:rsid w:val="006240F1"/>
    <w:rsid w:val="006247E4"/>
    <w:rsid w:val="00624E45"/>
    <w:rsid w:val="00625D33"/>
    <w:rsid w:val="00625E4B"/>
    <w:rsid w:val="00625F61"/>
    <w:rsid w:val="00626A96"/>
    <w:rsid w:val="00626FAF"/>
    <w:rsid w:val="00631FF3"/>
    <w:rsid w:val="0063367C"/>
    <w:rsid w:val="00633B1A"/>
    <w:rsid w:val="006349D0"/>
    <w:rsid w:val="006421FE"/>
    <w:rsid w:val="00642A8D"/>
    <w:rsid w:val="00642D06"/>
    <w:rsid w:val="00643930"/>
    <w:rsid w:val="006452C5"/>
    <w:rsid w:val="006456D3"/>
    <w:rsid w:val="00645DBF"/>
    <w:rsid w:val="00645F0B"/>
    <w:rsid w:val="00647614"/>
    <w:rsid w:val="006511B9"/>
    <w:rsid w:val="00652EC1"/>
    <w:rsid w:val="00653321"/>
    <w:rsid w:val="006533F0"/>
    <w:rsid w:val="0065387C"/>
    <w:rsid w:val="006538F9"/>
    <w:rsid w:val="006544B2"/>
    <w:rsid w:val="00654BAD"/>
    <w:rsid w:val="00655B7C"/>
    <w:rsid w:val="00655E96"/>
    <w:rsid w:val="0065708A"/>
    <w:rsid w:val="006571A0"/>
    <w:rsid w:val="00657E02"/>
    <w:rsid w:val="00657E5C"/>
    <w:rsid w:val="0066137E"/>
    <w:rsid w:val="00661E0E"/>
    <w:rsid w:val="00662B99"/>
    <w:rsid w:val="0066559D"/>
    <w:rsid w:val="00666192"/>
    <w:rsid w:val="00666635"/>
    <w:rsid w:val="0066741C"/>
    <w:rsid w:val="00670312"/>
    <w:rsid w:val="006710B1"/>
    <w:rsid w:val="00671607"/>
    <w:rsid w:val="00671E47"/>
    <w:rsid w:val="00672596"/>
    <w:rsid w:val="0067270B"/>
    <w:rsid w:val="0067328B"/>
    <w:rsid w:val="0067368A"/>
    <w:rsid w:val="00673C9B"/>
    <w:rsid w:val="00674781"/>
    <w:rsid w:val="00675D67"/>
    <w:rsid w:val="00676D00"/>
    <w:rsid w:val="00676FB5"/>
    <w:rsid w:val="00683A0E"/>
    <w:rsid w:val="0068408A"/>
    <w:rsid w:val="00684172"/>
    <w:rsid w:val="00685F21"/>
    <w:rsid w:val="0069028B"/>
    <w:rsid w:val="0069150B"/>
    <w:rsid w:val="006944E7"/>
    <w:rsid w:val="00695117"/>
    <w:rsid w:val="0069511C"/>
    <w:rsid w:val="00695FCA"/>
    <w:rsid w:val="006960FB"/>
    <w:rsid w:val="0069658D"/>
    <w:rsid w:val="00697F70"/>
    <w:rsid w:val="006A0033"/>
    <w:rsid w:val="006A0549"/>
    <w:rsid w:val="006A18AB"/>
    <w:rsid w:val="006A1B03"/>
    <w:rsid w:val="006A1B9E"/>
    <w:rsid w:val="006A3127"/>
    <w:rsid w:val="006A5E9A"/>
    <w:rsid w:val="006A7BF4"/>
    <w:rsid w:val="006B0F36"/>
    <w:rsid w:val="006B14E5"/>
    <w:rsid w:val="006B180E"/>
    <w:rsid w:val="006B2063"/>
    <w:rsid w:val="006B20CA"/>
    <w:rsid w:val="006B3980"/>
    <w:rsid w:val="006B39F5"/>
    <w:rsid w:val="006B41B9"/>
    <w:rsid w:val="006B4DC2"/>
    <w:rsid w:val="006B597A"/>
    <w:rsid w:val="006B64DC"/>
    <w:rsid w:val="006B67EF"/>
    <w:rsid w:val="006B71B4"/>
    <w:rsid w:val="006C0D0A"/>
    <w:rsid w:val="006C11BF"/>
    <w:rsid w:val="006C202E"/>
    <w:rsid w:val="006C5DB5"/>
    <w:rsid w:val="006C6A3F"/>
    <w:rsid w:val="006C708A"/>
    <w:rsid w:val="006D01C2"/>
    <w:rsid w:val="006D0258"/>
    <w:rsid w:val="006D1863"/>
    <w:rsid w:val="006D1A19"/>
    <w:rsid w:val="006D254D"/>
    <w:rsid w:val="006D5362"/>
    <w:rsid w:val="006E03AD"/>
    <w:rsid w:val="006E0BBB"/>
    <w:rsid w:val="006E1636"/>
    <w:rsid w:val="006E19F1"/>
    <w:rsid w:val="006E5661"/>
    <w:rsid w:val="006E65D0"/>
    <w:rsid w:val="006E6708"/>
    <w:rsid w:val="006F1759"/>
    <w:rsid w:val="006F442B"/>
    <w:rsid w:val="006F4878"/>
    <w:rsid w:val="006F4B3E"/>
    <w:rsid w:val="006F4C85"/>
    <w:rsid w:val="006F6245"/>
    <w:rsid w:val="006F67C9"/>
    <w:rsid w:val="006F77E2"/>
    <w:rsid w:val="007005FB"/>
    <w:rsid w:val="00700B22"/>
    <w:rsid w:val="007018D0"/>
    <w:rsid w:val="00701917"/>
    <w:rsid w:val="00701EE7"/>
    <w:rsid w:val="007021D7"/>
    <w:rsid w:val="0070400B"/>
    <w:rsid w:val="007046F7"/>
    <w:rsid w:val="00705DCE"/>
    <w:rsid w:val="0070673E"/>
    <w:rsid w:val="00710CFD"/>
    <w:rsid w:val="007118FC"/>
    <w:rsid w:val="00712517"/>
    <w:rsid w:val="00712A96"/>
    <w:rsid w:val="00715721"/>
    <w:rsid w:val="0071621B"/>
    <w:rsid w:val="007162D5"/>
    <w:rsid w:val="00716F3F"/>
    <w:rsid w:val="00717E39"/>
    <w:rsid w:val="0072518F"/>
    <w:rsid w:val="00726147"/>
    <w:rsid w:val="00727241"/>
    <w:rsid w:val="0073019E"/>
    <w:rsid w:val="00731284"/>
    <w:rsid w:val="007315D4"/>
    <w:rsid w:val="00733518"/>
    <w:rsid w:val="0073479F"/>
    <w:rsid w:val="00734D55"/>
    <w:rsid w:val="00736690"/>
    <w:rsid w:val="00737107"/>
    <w:rsid w:val="00737829"/>
    <w:rsid w:val="007406B5"/>
    <w:rsid w:val="00741FE8"/>
    <w:rsid w:val="00744062"/>
    <w:rsid w:val="00745F16"/>
    <w:rsid w:val="00746A0F"/>
    <w:rsid w:val="00746AFB"/>
    <w:rsid w:val="00746CA9"/>
    <w:rsid w:val="00747B6B"/>
    <w:rsid w:val="007507F4"/>
    <w:rsid w:val="00751F3D"/>
    <w:rsid w:val="007529AF"/>
    <w:rsid w:val="00753232"/>
    <w:rsid w:val="0075620C"/>
    <w:rsid w:val="00763580"/>
    <w:rsid w:val="00763BC0"/>
    <w:rsid w:val="00763C18"/>
    <w:rsid w:val="00765737"/>
    <w:rsid w:val="00766541"/>
    <w:rsid w:val="0076724C"/>
    <w:rsid w:val="00770B41"/>
    <w:rsid w:val="00770C8F"/>
    <w:rsid w:val="00771D17"/>
    <w:rsid w:val="0077280D"/>
    <w:rsid w:val="0077336D"/>
    <w:rsid w:val="00773776"/>
    <w:rsid w:val="00773CE3"/>
    <w:rsid w:val="00774F51"/>
    <w:rsid w:val="0077522B"/>
    <w:rsid w:val="0077790C"/>
    <w:rsid w:val="007803CF"/>
    <w:rsid w:val="007807D4"/>
    <w:rsid w:val="007839EB"/>
    <w:rsid w:val="00785CBB"/>
    <w:rsid w:val="00786CF1"/>
    <w:rsid w:val="007870CA"/>
    <w:rsid w:val="00792CB1"/>
    <w:rsid w:val="00796229"/>
    <w:rsid w:val="007A1417"/>
    <w:rsid w:val="007A424C"/>
    <w:rsid w:val="007A42B2"/>
    <w:rsid w:val="007A47B5"/>
    <w:rsid w:val="007A544F"/>
    <w:rsid w:val="007A5D72"/>
    <w:rsid w:val="007B37D3"/>
    <w:rsid w:val="007B3F98"/>
    <w:rsid w:val="007B41B4"/>
    <w:rsid w:val="007B44F9"/>
    <w:rsid w:val="007B4E50"/>
    <w:rsid w:val="007B5813"/>
    <w:rsid w:val="007B5F8E"/>
    <w:rsid w:val="007C0A85"/>
    <w:rsid w:val="007C2F30"/>
    <w:rsid w:val="007C349F"/>
    <w:rsid w:val="007C38C3"/>
    <w:rsid w:val="007C3AFD"/>
    <w:rsid w:val="007C533B"/>
    <w:rsid w:val="007C5D73"/>
    <w:rsid w:val="007C737F"/>
    <w:rsid w:val="007C7A0B"/>
    <w:rsid w:val="007D34A5"/>
    <w:rsid w:val="007D3652"/>
    <w:rsid w:val="007D44C8"/>
    <w:rsid w:val="007D5DE7"/>
    <w:rsid w:val="007D631B"/>
    <w:rsid w:val="007D6D3A"/>
    <w:rsid w:val="007D6F4C"/>
    <w:rsid w:val="007D7549"/>
    <w:rsid w:val="007E01C6"/>
    <w:rsid w:val="007E2116"/>
    <w:rsid w:val="007E2161"/>
    <w:rsid w:val="007E50EE"/>
    <w:rsid w:val="007E5CC0"/>
    <w:rsid w:val="007E5ED2"/>
    <w:rsid w:val="007E609D"/>
    <w:rsid w:val="007E6237"/>
    <w:rsid w:val="007E62BA"/>
    <w:rsid w:val="007E662C"/>
    <w:rsid w:val="007E6866"/>
    <w:rsid w:val="007E6EA7"/>
    <w:rsid w:val="007E7167"/>
    <w:rsid w:val="007F02C9"/>
    <w:rsid w:val="007F0601"/>
    <w:rsid w:val="007F07B6"/>
    <w:rsid w:val="007F12D4"/>
    <w:rsid w:val="007F18FB"/>
    <w:rsid w:val="007F1EAF"/>
    <w:rsid w:val="007F2CEF"/>
    <w:rsid w:val="007F38BD"/>
    <w:rsid w:val="007F436B"/>
    <w:rsid w:val="007F46D7"/>
    <w:rsid w:val="007F49FD"/>
    <w:rsid w:val="0080031F"/>
    <w:rsid w:val="00800CE8"/>
    <w:rsid w:val="00801802"/>
    <w:rsid w:val="008025CF"/>
    <w:rsid w:val="00802F4C"/>
    <w:rsid w:val="008036D1"/>
    <w:rsid w:val="00803BF8"/>
    <w:rsid w:val="00804A45"/>
    <w:rsid w:val="00804E36"/>
    <w:rsid w:val="008060BA"/>
    <w:rsid w:val="00806D15"/>
    <w:rsid w:val="00807C58"/>
    <w:rsid w:val="00810529"/>
    <w:rsid w:val="00810948"/>
    <w:rsid w:val="00811EFA"/>
    <w:rsid w:val="00811FCD"/>
    <w:rsid w:val="0081252C"/>
    <w:rsid w:val="0081634A"/>
    <w:rsid w:val="00816C1A"/>
    <w:rsid w:val="00817C57"/>
    <w:rsid w:val="00820573"/>
    <w:rsid w:val="00820C3A"/>
    <w:rsid w:val="00821B48"/>
    <w:rsid w:val="00823A5D"/>
    <w:rsid w:val="00823D91"/>
    <w:rsid w:val="00824FA6"/>
    <w:rsid w:val="00827E60"/>
    <w:rsid w:val="00830A78"/>
    <w:rsid w:val="00831355"/>
    <w:rsid w:val="00833872"/>
    <w:rsid w:val="00833BCA"/>
    <w:rsid w:val="00833C6D"/>
    <w:rsid w:val="00834091"/>
    <w:rsid w:val="0083512A"/>
    <w:rsid w:val="0083574A"/>
    <w:rsid w:val="00835F52"/>
    <w:rsid w:val="00841FB9"/>
    <w:rsid w:val="00842574"/>
    <w:rsid w:val="00844331"/>
    <w:rsid w:val="0084452B"/>
    <w:rsid w:val="0084479D"/>
    <w:rsid w:val="00846A62"/>
    <w:rsid w:val="00846B50"/>
    <w:rsid w:val="00846F30"/>
    <w:rsid w:val="00847738"/>
    <w:rsid w:val="00850B0C"/>
    <w:rsid w:val="008517D0"/>
    <w:rsid w:val="00852EE9"/>
    <w:rsid w:val="00853E0A"/>
    <w:rsid w:val="00854121"/>
    <w:rsid w:val="00854B57"/>
    <w:rsid w:val="00855D08"/>
    <w:rsid w:val="00856F0B"/>
    <w:rsid w:val="008571CC"/>
    <w:rsid w:val="0086044A"/>
    <w:rsid w:val="0086174C"/>
    <w:rsid w:val="00863C8A"/>
    <w:rsid w:val="00863F03"/>
    <w:rsid w:val="0086706A"/>
    <w:rsid w:val="00867125"/>
    <w:rsid w:val="0086751E"/>
    <w:rsid w:val="008701EF"/>
    <w:rsid w:val="00870853"/>
    <w:rsid w:val="008717F7"/>
    <w:rsid w:val="00871AF6"/>
    <w:rsid w:val="00873105"/>
    <w:rsid w:val="00873896"/>
    <w:rsid w:val="0087398B"/>
    <w:rsid w:val="00873BDB"/>
    <w:rsid w:val="00874286"/>
    <w:rsid w:val="008759B9"/>
    <w:rsid w:val="00876467"/>
    <w:rsid w:val="00877A9D"/>
    <w:rsid w:val="00880FB6"/>
    <w:rsid w:val="0088259D"/>
    <w:rsid w:val="008834AA"/>
    <w:rsid w:val="00883702"/>
    <w:rsid w:val="0088435F"/>
    <w:rsid w:val="00884763"/>
    <w:rsid w:val="00884DAD"/>
    <w:rsid w:val="00887402"/>
    <w:rsid w:val="00891F4C"/>
    <w:rsid w:val="00893CF5"/>
    <w:rsid w:val="0089491E"/>
    <w:rsid w:val="00895047"/>
    <w:rsid w:val="00897400"/>
    <w:rsid w:val="00897813"/>
    <w:rsid w:val="008A18CA"/>
    <w:rsid w:val="008A3323"/>
    <w:rsid w:val="008B1262"/>
    <w:rsid w:val="008B2873"/>
    <w:rsid w:val="008B2C67"/>
    <w:rsid w:val="008B3DCF"/>
    <w:rsid w:val="008B6F8C"/>
    <w:rsid w:val="008B7D13"/>
    <w:rsid w:val="008C12EA"/>
    <w:rsid w:val="008C1D6E"/>
    <w:rsid w:val="008C2276"/>
    <w:rsid w:val="008C2981"/>
    <w:rsid w:val="008C34B2"/>
    <w:rsid w:val="008C3B12"/>
    <w:rsid w:val="008C4B79"/>
    <w:rsid w:val="008C54C2"/>
    <w:rsid w:val="008C561A"/>
    <w:rsid w:val="008C663A"/>
    <w:rsid w:val="008C746B"/>
    <w:rsid w:val="008D096C"/>
    <w:rsid w:val="008D122A"/>
    <w:rsid w:val="008D307D"/>
    <w:rsid w:val="008D4EA8"/>
    <w:rsid w:val="008E07C1"/>
    <w:rsid w:val="008E181B"/>
    <w:rsid w:val="008E1903"/>
    <w:rsid w:val="008E1932"/>
    <w:rsid w:val="008E3187"/>
    <w:rsid w:val="008E32DC"/>
    <w:rsid w:val="008E414D"/>
    <w:rsid w:val="008E4DFF"/>
    <w:rsid w:val="008E51C0"/>
    <w:rsid w:val="008E56F9"/>
    <w:rsid w:val="008E579C"/>
    <w:rsid w:val="008E6320"/>
    <w:rsid w:val="008F1BDF"/>
    <w:rsid w:val="008F3DDA"/>
    <w:rsid w:val="008F47B3"/>
    <w:rsid w:val="008F5FFA"/>
    <w:rsid w:val="008F620A"/>
    <w:rsid w:val="00900020"/>
    <w:rsid w:val="009000C5"/>
    <w:rsid w:val="00900394"/>
    <w:rsid w:val="009010B5"/>
    <w:rsid w:val="00902D8D"/>
    <w:rsid w:val="00904FE1"/>
    <w:rsid w:val="0090560A"/>
    <w:rsid w:val="009102AB"/>
    <w:rsid w:val="00910533"/>
    <w:rsid w:val="00911653"/>
    <w:rsid w:val="00912102"/>
    <w:rsid w:val="0091310E"/>
    <w:rsid w:val="00913931"/>
    <w:rsid w:val="009179F8"/>
    <w:rsid w:val="0092045B"/>
    <w:rsid w:val="00920CDD"/>
    <w:rsid w:val="00921065"/>
    <w:rsid w:val="009217E3"/>
    <w:rsid w:val="00921841"/>
    <w:rsid w:val="00921FB6"/>
    <w:rsid w:val="00922517"/>
    <w:rsid w:val="009226A8"/>
    <w:rsid w:val="009236CE"/>
    <w:rsid w:val="009236E4"/>
    <w:rsid w:val="00927067"/>
    <w:rsid w:val="00930274"/>
    <w:rsid w:val="00930A10"/>
    <w:rsid w:val="009325C5"/>
    <w:rsid w:val="009329DA"/>
    <w:rsid w:val="009346A6"/>
    <w:rsid w:val="009360AF"/>
    <w:rsid w:val="009370FB"/>
    <w:rsid w:val="009371AE"/>
    <w:rsid w:val="0094074D"/>
    <w:rsid w:val="0094178E"/>
    <w:rsid w:val="00942802"/>
    <w:rsid w:val="00945B75"/>
    <w:rsid w:val="00945DAF"/>
    <w:rsid w:val="0095091F"/>
    <w:rsid w:val="0095138C"/>
    <w:rsid w:val="00954AC3"/>
    <w:rsid w:val="009559F5"/>
    <w:rsid w:val="00955AF5"/>
    <w:rsid w:val="00956AF0"/>
    <w:rsid w:val="0096060C"/>
    <w:rsid w:val="00961902"/>
    <w:rsid w:val="009627E4"/>
    <w:rsid w:val="00962F5E"/>
    <w:rsid w:val="00963207"/>
    <w:rsid w:val="00963CE7"/>
    <w:rsid w:val="009679CF"/>
    <w:rsid w:val="00970135"/>
    <w:rsid w:val="00970BE6"/>
    <w:rsid w:val="009722B0"/>
    <w:rsid w:val="00972B73"/>
    <w:rsid w:val="00973319"/>
    <w:rsid w:val="00976781"/>
    <w:rsid w:val="00977017"/>
    <w:rsid w:val="00977FED"/>
    <w:rsid w:val="0098045B"/>
    <w:rsid w:val="00980A6F"/>
    <w:rsid w:val="0098130E"/>
    <w:rsid w:val="009840DC"/>
    <w:rsid w:val="00985285"/>
    <w:rsid w:val="00986FE6"/>
    <w:rsid w:val="00991BF3"/>
    <w:rsid w:val="00992FA3"/>
    <w:rsid w:val="0099372E"/>
    <w:rsid w:val="009939AB"/>
    <w:rsid w:val="00993A88"/>
    <w:rsid w:val="00994521"/>
    <w:rsid w:val="00994E35"/>
    <w:rsid w:val="0099583A"/>
    <w:rsid w:val="009A0519"/>
    <w:rsid w:val="009A2549"/>
    <w:rsid w:val="009A4C5E"/>
    <w:rsid w:val="009A59EF"/>
    <w:rsid w:val="009A6A53"/>
    <w:rsid w:val="009A6F38"/>
    <w:rsid w:val="009A731C"/>
    <w:rsid w:val="009B3855"/>
    <w:rsid w:val="009B627C"/>
    <w:rsid w:val="009B7C91"/>
    <w:rsid w:val="009C1145"/>
    <w:rsid w:val="009C15B2"/>
    <w:rsid w:val="009C1B77"/>
    <w:rsid w:val="009C23E5"/>
    <w:rsid w:val="009C34F3"/>
    <w:rsid w:val="009C523A"/>
    <w:rsid w:val="009C5AA0"/>
    <w:rsid w:val="009C5C98"/>
    <w:rsid w:val="009D0181"/>
    <w:rsid w:val="009D15B5"/>
    <w:rsid w:val="009D15FF"/>
    <w:rsid w:val="009D2102"/>
    <w:rsid w:val="009D6051"/>
    <w:rsid w:val="009D6DC7"/>
    <w:rsid w:val="009E0142"/>
    <w:rsid w:val="009E024F"/>
    <w:rsid w:val="009E0DDC"/>
    <w:rsid w:val="009E13E4"/>
    <w:rsid w:val="009E2008"/>
    <w:rsid w:val="009E2A7D"/>
    <w:rsid w:val="009E2BC1"/>
    <w:rsid w:val="009E3AE4"/>
    <w:rsid w:val="009E3E03"/>
    <w:rsid w:val="009E3E40"/>
    <w:rsid w:val="009E453F"/>
    <w:rsid w:val="009E6842"/>
    <w:rsid w:val="009E6914"/>
    <w:rsid w:val="009E6DD9"/>
    <w:rsid w:val="009E6EB3"/>
    <w:rsid w:val="009F1219"/>
    <w:rsid w:val="009F2131"/>
    <w:rsid w:val="009F26C2"/>
    <w:rsid w:val="009F3609"/>
    <w:rsid w:val="009F3898"/>
    <w:rsid w:val="009F485E"/>
    <w:rsid w:val="009F4B05"/>
    <w:rsid w:val="009F581A"/>
    <w:rsid w:val="009F5C08"/>
    <w:rsid w:val="009F65DA"/>
    <w:rsid w:val="009F6D0A"/>
    <w:rsid w:val="009F70B0"/>
    <w:rsid w:val="00A00473"/>
    <w:rsid w:val="00A0075D"/>
    <w:rsid w:val="00A03D67"/>
    <w:rsid w:val="00A0471F"/>
    <w:rsid w:val="00A04FD3"/>
    <w:rsid w:val="00A06E6A"/>
    <w:rsid w:val="00A06EC1"/>
    <w:rsid w:val="00A0781B"/>
    <w:rsid w:val="00A12C1B"/>
    <w:rsid w:val="00A135BD"/>
    <w:rsid w:val="00A1479C"/>
    <w:rsid w:val="00A1483D"/>
    <w:rsid w:val="00A14C26"/>
    <w:rsid w:val="00A179C6"/>
    <w:rsid w:val="00A21744"/>
    <w:rsid w:val="00A222B8"/>
    <w:rsid w:val="00A22679"/>
    <w:rsid w:val="00A23479"/>
    <w:rsid w:val="00A23635"/>
    <w:rsid w:val="00A247A6"/>
    <w:rsid w:val="00A2632E"/>
    <w:rsid w:val="00A266A7"/>
    <w:rsid w:val="00A30191"/>
    <w:rsid w:val="00A33226"/>
    <w:rsid w:val="00A335D5"/>
    <w:rsid w:val="00A35366"/>
    <w:rsid w:val="00A3739B"/>
    <w:rsid w:val="00A40025"/>
    <w:rsid w:val="00A41588"/>
    <w:rsid w:val="00A4196E"/>
    <w:rsid w:val="00A4225F"/>
    <w:rsid w:val="00A42D0A"/>
    <w:rsid w:val="00A45348"/>
    <w:rsid w:val="00A469D2"/>
    <w:rsid w:val="00A46A80"/>
    <w:rsid w:val="00A46BBF"/>
    <w:rsid w:val="00A4751D"/>
    <w:rsid w:val="00A47950"/>
    <w:rsid w:val="00A5121B"/>
    <w:rsid w:val="00A52700"/>
    <w:rsid w:val="00A528D2"/>
    <w:rsid w:val="00A530D3"/>
    <w:rsid w:val="00A54FE2"/>
    <w:rsid w:val="00A60B25"/>
    <w:rsid w:val="00A61444"/>
    <w:rsid w:val="00A62B83"/>
    <w:rsid w:val="00A62E41"/>
    <w:rsid w:val="00A630B6"/>
    <w:rsid w:val="00A635AC"/>
    <w:rsid w:val="00A659EE"/>
    <w:rsid w:val="00A65BD9"/>
    <w:rsid w:val="00A66E5F"/>
    <w:rsid w:val="00A727A1"/>
    <w:rsid w:val="00A768CC"/>
    <w:rsid w:val="00A76D05"/>
    <w:rsid w:val="00A76FBC"/>
    <w:rsid w:val="00A80763"/>
    <w:rsid w:val="00A8261F"/>
    <w:rsid w:val="00A82A4A"/>
    <w:rsid w:val="00A8448B"/>
    <w:rsid w:val="00A8543C"/>
    <w:rsid w:val="00A86152"/>
    <w:rsid w:val="00A872F5"/>
    <w:rsid w:val="00A90060"/>
    <w:rsid w:val="00A905F8"/>
    <w:rsid w:val="00A90E57"/>
    <w:rsid w:val="00A916C9"/>
    <w:rsid w:val="00A927B0"/>
    <w:rsid w:val="00A933ED"/>
    <w:rsid w:val="00A93B7A"/>
    <w:rsid w:val="00A94C29"/>
    <w:rsid w:val="00A94F9F"/>
    <w:rsid w:val="00A964B7"/>
    <w:rsid w:val="00AA0568"/>
    <w:rsid w:val="00AA21A6"/>
    <w:rsid w:val="00AA2C4A"/>
    <w:rsid w:val="00AA3651"/>
    <w:rsid w:val="00AA54F6"/>
    <w:rsid w:val="00AA585D"/>
    <w:rsid w:val="00AA5EE1"/>
    <w:rsid w:val="00AA6636"/>
    <w:rsid w:val="00AA7507"/>
    <w:rsid w:val="00AB02DB"/>
    <w:rsid w:val="00AB0BB1"/>
    <w:rsid w:val="00AB13A1"/>
    <w:rsid w:val="00AB467E"/>
    <w:rsid w:val="00AB46DD"/>
    <w:rsid w:val="00AB50A1"/>
    <w:rsid w:val="00AC15E9"/>
    <w:rsid w:val="00AC1E58"/>
    <w:rsid w:val="00AC2C86"/>
    <w:rsid w:val="00AC5642"/>
    <w:rsid w:val="00AC5E1A"/>
    <w:rsid w:val="00AC6BC5"/>
    <w:rsid w:val="00AC7370"/>
    <w:rsid w:val="00AD0677"/>
    <w:rsid w:val="00AD11ED"/>
    <w:rsid w:val="00AD1AD4"/>
    <w:rsid w:val="00AD222B"/>
    <w:rsid w:val="00AD25D0"/>
    <w:rsid w:val="00AD2B21"/>
    <w:rsid w:val="00AD3720"/>
    <w:rsid w:val="00AD646E"/>
    <w:rsid w:val="00AE11EC"/>
    <w:rsid w:val="00AE1562"/>
    <w:rsid w:val="00AE1BBD"/>
    <w:rsid w:val="00AE2AD3"/>
    <w:rsid w:val="00AE3001"/>
    <w:rsid w:val="00AE4B6D"/>
    <w:rsid w:val="00AE5926"/>
    <w:rsid w:val="00AE7267"/>
    <w:rsid w:val="00AE72CE"/>
    <w:rsid w:val="00AF0EF9"/>
    <w:rsid w:val="00AF114C"/>
    <w:rsid w:val="00AF1873"/>
    <w:rsid w:val="00AF1EE7"/>
    <w:rsid w:val="00AF26A8"/>
    <w:rsid w:val="00AF275F"/>
    <w:rsid w:val="00AF2EAA"/>
    <w:rsid w:val="00AF66A8"/>
    <w:rsid w:val="00AF75F0"/>
    <w:rsid w:val="00AF788A"/>
    <w:rsid w:val="00AF7A4F"/>
    <w:rsid w:val="00B00CD5"/>
    <w:rsid w:val="00B0109B"/>
    <w:rsid w:val="00B01FBF"/>
    <w:rsid w:val="00B02CDF"/>
    <w:rsid w:val="00B03FF5"/>
    <w:rsid w:val="00B06420"/>
    <w:rsid w:val="00B0734D"/>
    <w:rsid w:val="00B073B5"/>
    <w:rsid w:val="00B075E0"/>
    <w:rsid w:val="00B1184D"/>
    <w:rsid w:val="00B133A4"/>
    <w:rsid w:val="00B133B4"/>
    <w:rsid w:val="00B13795"/>
    <w:rsid w:val="00B13A30"/>
    <w:rsid w:val="00B15C71"/>
    <w:rsid w:val="00B16E56"/>
    <w:rsid w:val="00B17CD4"/>
    <w:rsid w:val="00B200E9"/>
    <w:rsid w:val="00B204B8"/>
    <w:rsid w:val="00B2211A"/>
    <w:rsid w:val="00B22355"/>
    <w:rsid w:val="00B2307A"/>
    <w:rsid w:val="00B2360B"/>
    <w:rsid w:val="00B25741"/>
    <w:rsid w:val="00B268FE"/>
    <w:rsid w:val="00B30344"/>
    <w:rsid w:val="00B304A1"/>
    <w:rsid w:val="00B30D86"/>
    <w:rsid w:val="00B32119"/>
    <w:rsid w:val="00B361FB"/>
    <w:rsid w:val="00B36B96"/>
    <w:rsid w:val="00B371D2"/>
    <w:rsid w:val="00B3763F"/>
    <w:rsid w:val="00B40CA3"/>
    <w:rsid w:val="00B41629"/>
    <w:rsid w:val="00B451F8"/>
    <w:rsid w:val="00B45245"/>
    <w:rsid w:val="00B46BE8"/>
    <w:rsid w:val="00B47929"/>
    <w:rsid w:val="00B510A6"/>
    <w:rsid w:val="00B521C4"/>
    <w:rsid w:val="00B5227C"/>
    <w:rsid w:val="00B52299"/>
    <w:rsid w:val="00B537AA"/>
    <w:rsid w:val="00B55F1E"/>
    <w:rsid w:val="00B60F32"/>
    <w:rsid w:val="00B615CA"/>
    <w:rsid w:val="00B616C0"/>
    <w:rsid w:val="00B625A5"/>
    <w:rsid w:val="00B62DC9"/>
    <w:rsid w:val="00B63014"/>
    <w:rsid w:val="00B6384C"/>
    <w:rsid w:val="00B63A0A"/>
    <w:rsid w:val="00B640B1"/>
    <w:rsid w:val="00B64445"/>
    <w:rsid w:val="00B64512"/>
    <w:rsid w:val="00B6472F"/>
    <w:rsid w:val="00B6568F"/>
    <w:rsid w:val="00B66631"/>
    <w:rsid w:val="00B72C6B"/>
    <w:rsid w:val="00B7483D"/>
    <w:rsid w:val="00B75155"/>
    <w:rsid w:val="00B752F1"/>
    <w:rsid w:val="00B753F7"/>
    <w:rsid w:val="00B76FF6"/>
    <w:rsid w:val="00B775C1"/>
    <w:rsid w:val="00B838E9"/>
    <w:rsid w:val="00B84A60"/>
    <w:rsid w:val="00B860D0"/>
    <w:rsid w:val="00B865A5"/>
    <w:rsid w:val="00B86919"/>
    <w:rsid w:val="00B87B01"/>
    <w:rsid w:val="00B9041C"/>
    <w:rsid w:val="00B9047A"/>
    <w:rsid w:val="00B91676"/>
    <w:rsid w:val="00B92A07"/>
    <w:rsid w:val="00B92F4C"/>
    <w:rsid w:val="00B93596"/>
    <w:rsid w:val="00B939D3"/>
    <w:rsid w:val="00B9455D"/>
    <w:rsid w:val="00B948E0"/>
    <w:rsid w:val="00B95AAD"/>
    <w:rsid w:val="00B95E4F"/>
    <w:rsid w:val="00BA070F"/>
    <w:rsid w:val="00BA11AF"/>
    <w:rsid w:val="00BA12A0"/>
    <w:rsid w:val="00BA21D0"/>
    <w:rsid w:val="00BA2DCC"/>
    <w:rsid w:val="00BA3F38"/>
    <w:rsid w:val="00BA50D5"/>
    <w:rsid w:val="00BA6618"/>
    <w:rsid w:val="00BB15F6"/>
    <w:rsid w:val="00BB2116"/>
    <w:rsid w:val="00BB21EF"/>
    <w:rsid w:val="00BB2570"/>
    <w:rsid w:val="00BB3CA0"/>
    <w:rsid w:val="00BB6377"/>
    <w:rsid w:val="00BB6FF9"/>
    <w:rsid w:val="00BB7AB8"/>
    <w:rsid w:val="00BB7CEE"/>
    <w:rsid w:val="00BC0631"/>
    <w:rsid w:val="00BC23C5"/>
    <w:rsid w:val="00BC318A"/>
    <w:rsid w:val="00BC7164"/>
    <w:rsid w:val="00BC74D4"/>
    <w:rsid w:val="00BD048D"/>
    <w:rsid w:val="00BD0C75"/>
    <w:rsid w:val="00BD11A5"/>
    <w:rsid w:val="00BD208E"/>
    <w:rsid w:val="00BD37C0"/>
    <w:rsid w:val="00BD46AF"/>
    <w:rsid w:val="00BD73F5"/>
    <w:rsid w:val="00BD79FE"/>
    <w:rsid w:val="00BE2DD5"/>
    <w:rsid w:val="00BE5507"/>
    <w:rsid w:val="00BE5730"/>
    <w:rsid w:val="00BE63B3"/>
    <w:rsid w:val="00BF1F01"/>
    <w:rsid w:val="00BF316F"/>
    <w:rsid w:val="00BF454C"/>
    <w:rsid w:val="00BF524D"/>
    <w:rsid w:val="00BF5A7C"/>
    <w:rsid w:val="00BF6170"/>
    <w:rsid w:val="00C006E4"/>
    <w:rsid w:val="00C0107A"/>
    <w:rsid w:val="00C0118F"/>
    <w:rsid w:val="00C01E9F"/>
    <w:rsid w:val="00C02A40"/>
    <w:rsid w:val="00C03F45"/>
    <w:rsid w:val="00C03F90"/>
    <w:rsid w:val="00C100DE"/>
    <w:rsid w:val="00C12197"/>
    <w:rsid w:val="00C12AFD"/>
    <w:rsid w:val="00C12B15"/>
    <w:rsid w:val="00C13E1A"/>
    <w:rsid w:val="00C157A4"/>
    <w:rsid w:val="00C16F5E"/>
    <w:rsid w:val="00C22642"/>
    <w:rsid w:val="00C25BB4"/>
    <w:rsid w:val="00C2643E"/>
    <w:rsid w:val="00C277FB"/>
    <w:rsid w:val="00C3093B"/>
    <w:rsid w:val="00C31C99"/>
    <w:rsid w:val="00C3332B"/>
    <w:rsid w:val="00C33A21"/>
    <w:rsid w:val="00C34664"/>
    <w:rsid w:val="00C346DE"/>
    <w:rsid w:val="00C34EA4"/>
    <w:rsid w:val="00C34EAD"/>
    <w:rsid w:val="00C3670C"/>
    <w:rsid w:val="00C36965"/>
    <w:rsid w:val="00C37754"/>
    <w:rsid w:val="00C401C4"/>
    <w:rsid w:val="00C41859"/>
    <w:rsid w:val="00C4314F"/>
    <w:rsid w:val="00C44C40"/>
    <w:rsid w:val="00C45018"/>
    <w:rsid w:val="00C457E9"/>
    <w:rsid w:val="00C45C0E"/>
    <w:rsid w:val="00C4733F"/>
    <w:rsid w:val="00C52557"/>
    <w:rsid w:val="00C52D0B"/>
    <w:rsid w:val="00C53ADA"/>
    <w:rsid w:val="00C54780"/>
    <w:rsid w:val="00C55040"/>
    <w:rsid w:val="00C553AE"/>
    <w:rsid w:val="00C5664E"/>
    <w:rsid w:val="00C572C4"/>
    <w:rsid w:val="00C6088B"/>
    <w:rsid w:val="00C60A4C"/>
    <w:rsid w:val="00C6151E"/>
    <w:rsid w:val="00C6232C"/>
    <w:rsid w:val="00C62B1E"/>
    <w:rsid w:val="00C67D8C"/>
    <w:rsid w:val="00C70199"/>
    <w:rsid w:val="00C7065E"/>
    <w:rsid w:val="00C70783"/>
    <w:rsid w:val="00C70D2F"/>
    <w:rsid w:val="00C71DED"/>
    <w:rsid w:val="00C745B9"/>
    <w:rsid w:val="00C74969"/>
    <w:rsid w:val="00C75C23"/>
    <w:rsid w:val="00C76140"/>
    <w:rsid w:val="00C763AC"/>
    <w:rsid w:val="00C76720"/>
    <w:rsid w:val="00C76C08"/>
    <w:rsid w:val="00C77846"/>
    <w:rsid w:val="00C80C83"/>
    <w:rsid w:val="00C817EF"/>
    <w:rsid w:val="00C825BD"/>
    <w:rsid w:val="00C85620"/>
    <w:rsid w:val="00C87B57"/>
    <w:rsid w:val="00C903BB"/>
    <w:rsid w:val="00C919D6"/>
    <w:rsid w:val="00C930A6"/>
    <w:rsid w:val="00C93474"/>
    <w:rsid w:val="00C94409"/>
    <w:rsid w:val="00C94729"/>
    <w:rsid w:val="00C9570A"/>
    <w:rsid w:val="00C95BBE"/>
    <w:rsid w:val="00C97043"/>
    <w:rsid w:val="00CA04F9"/>
    <w:rsid w:val="00CA0AE5"/>
    <w:rsid w:val="00CA2ABF"/>
    <w:rsid w:val="00CA405E"/>
    <w:rsid w:val="00CA4683"/>
    <w:rsid w:val="00CA4A13"/>
    <w:rsid w:val="00CA7EA9"/>
    <w:rsid w:val="00CB07F9"/>
    <w:rsid w:val="00CB2C51"/>
    <w:rsid w:val="00CB4A96"/>
    <w:rsid w:val="00CB5209"/>
    <w:rsid w:val="00CB5406"/>
    <w:rsid w:val="00CB5794"/>
    <w:rsid w:val="00CB66BA"/>
    <w:rsid w:val="00CB6F34"/>
    <w:rsid w:val="00CC0948"/>
    <w:rsid w:val="00CC13A7"/>
    <w:rsid w:val="00CC1F55"/>
    <w:rsid w:val="00CC34C1"/>
    <w:rsid w:val="00CC377A"/>
    <w:rsid w:val="00CC43EA"/>
    <w:rsid w:val="00CC4458"/>
    <w:rsid w:val="00CC73ED"/>
    <w:rsid w:val="00CC76DA"/>
    <w:rsid w:val="00CC7D9D"/>
    <w:rsid w:val="00CC7FE8"/>
    <w:rsid w:val="00CD21C2"/>
    <w:rsid w:val="00CD40C2"/>
    <w:rsid w:val="00CD4B1F"/>
    <w:rsid w:val="00CD4F91"/>
    <w:rsid w:val="00CD5032"/>
    <w:rsid w:val="00CD54C0"/>
    <w:rsid w:val="00CD7F87"/>
    <w:rsid w:val="00CE0918"/>
    <w:rsid w:val="00CE0D3E"/>
    <w:rsid w:val="00CE0E60"/>
    <w:rsid w:val="00CE1006"/>
    <w:rsid w:val="00CE2DD2"/>
    <w:rsid w:val="00CE3337"/>
    <w:rsid w:val="00CE4804"/>
    <w:rsid w:val="00CE63A3"/>
    <w:rsid w:val="00CE6F65"/>
    <w:rsid w:val="00CF1FEE"/>
    <w:rsid w:val="00CF23B7"/>
    <w:rsid w:val="00CF282A"/>
    <w:rsid w:val="00CF41B3"/>
    <w:rsid w:val="00CF61BF"/>
    <w:rsid w:val="00CF6C31"/>
    <w:rsid w:val="00CF6DCF"/>
    <w:rsid w:val="00D00FF2"/>
    <w:rsid w:val="00D013B4"/>
    <w:rsid w:val="00D02112"/>
    <w:rsid w:val="00D02E07"/>
    <w:rsid w:val="00D03322"/>
    <w:rsid w:val="00D039E3"/>
    <w:rsid w:val="00D03E3E"/>
    <w:rsid w:val="00D04632"/>
    <w:rsid w:val="00D04D23"/>
    <w:rsid w:val="00D04D79"/>
    <w:rsid w:val="00D06B63"/>
    <w:rsid w:val="00D077BB"/>
    <w:rsid w:val="00D07838"/>
    <w:rsid w:val="00D10BAD"/>
    <w:rsid w:val="00D1473F"/>
    <w:rsid w:val="00D148C9"/>
    <w:rsid w:val="00D166CE"/>
    <w:rsid w:val="00D16917"/>
    <w:rsid w:val="00D17239"/>
    <w:rsid w:val="00D17310"/>
    <w:rsid w:val="00D1753C"/>
    <w:rsid w:val="00D17803"/>
    <w:rsid w:val="00D179B6"/>
    <w:rsid w:val="00D20C01"/>
    <w:rsid w:val="00D21100"/>
    <w:rsid w:val="00D21AB2"/>
    <w:rsid w:val="00D23690"/>
    <w:rsid w:val="00D26DEA"/>
    <w:rsid w:val="00D27CA3"/>
    <w:rsid w:val="00D3435A"/>
    <w:rsid w:val="00D35CB9"/>
    <w:rsid w:val="00D36D1C"/>
    <w:rsid w:val="00D41ED0"/>
    <w:rsid w:val="00D428F5"/>
    <w:rsid w:val="00D444BB"/>
    <w:rsid w:val="00D44DA0"/>
    <w:rsid w:val="00D454AB"/>
    <w:rsid w:val="00D4560B"/>
    <w:rsid w:val="00D47919"/>
    <w:rsid w:val="00D47BB6"/>
    <w:rsid w:val="00D501A7"/>
    <w:rsid w:val="00D50560"/>
    <w:rsid w:val="00D50586"/>
    <w:rsid w:val="00D53192"/>
    <w:rsid w:val="00D54A15"/>
    <w:rsid w:val="00D55996"/>
    <w:rsid w:val="00D55F99"/>
    <w:rsid w:val="00D560BA"/>
    <w:rsid w:val="00D5743A"/>
    <w:rsid w:val="00D57AD2"/>
    <w:rsid w:val="00D57EA7"/>
    <w:rsid w:val="00D60DF7"/>
    <w:rsid w:val="00D616DD"/>
    <w:rsid w:val="00D6213C"/>
    <w:rsid w:val="00D62754"/>
    <w:rsid w:val="00D62F6C"/>
    <w:rsid w:val="00D63E0D"/>
    <w:rsid w:val="00D642C3"/>
    <w:rsid w:val="00D64A23"/>
    <w:rsid w:val="00D659B1"/>
    <w:rsid w:val="00D6600D"/>
    <w:rsid w:val="00D667DB"/>
    <w:rsid w:val="00D66DFA"/>
    <w:rsid w:val="00D70034"/>
    <w:rsid w:val="00D7015D"/>
    <w:rsid w:val="00D70741"/>
    <w:rsid w:val="00D70C1C"/>
    <w:rsid w:val="00D71A39"/>
    <w:rsid w:val="00D73224"/>
    <w:rsid w:val="00D7682E"/>
    <w:rsid w:val="00D77D04"/>
    <w:rsid w:val="00D8035E"/>
    <w:rsid w:val="00D80C3E"/>
    <w:rsid w:val="00D83BB5"/>
    <w:rsid w:val="00D84E56"/>
    <w:rsid w:val="00D850EE"/>
    <w:rsid w:val="00D86DB9"/>
    <w:rsid w:val="00D87087"/>
    <w:rsid w:val="00D87F11"/>
    <w:rsid w:val="00D9188F"/>
    <w:rsid w:val="00D92080"/>
    <w:rsid w:val="00D922EE"/>
    <w:rsid w:val="00D93662"/>
    <w:rsid w:val="00D940B5"/>
    <w:rsid w:val="00D9767A"/>
    <w:rsid w:val="00DA0296"/>
    <w:rsid w:val="00DA0B14"/>
    <w:rsid w:val="00DA136B"/>
    <w:rsid w:val="00DA1ADA"/>
    <w:rsid w:val="00DA3299"/>
    <w:rsid w:val="00DA3AC9"/>
    <w:rsid w:val="00DA43F9"/>
    <w:rsid w:val="00DA44DD"/>
    <w:rsid w:val="00DA53A4"/>
    <w:rsid w:val="00DA6A5A"/>
    <w:rsid w:val="00DB0894"/>
    <w:rsid w:val="00DB2E05"/>
    <w:rsid w:val="00DB4DD1"/>
    <w:rsid w:val="00DB578D"/>
    <w:rsid w:val="00DB6B72"/>
    <w:rsid w:val="00DC08CD"/>
    <w:rsid w:val="00DC0A65"/>
    <w:rsid w:val="00DC12AE"/>
    <w:rsid w:val="00DC2CF6"/>
    <w:rsid w:val="00DC32AB"/>
    <w:rsid w:val="00DC4B4F"/>
    <w:rsid w:val="00DC586E"/>
    <w:rsid w:val="00DC645C"/>
    <w:rsid w:val="00DC79DB"/>
    <w:rsid w:val="00DC7AA8"/>
    <w:rsid w:val="00DD1D72"/>
    <w:rsid w:val="00DD3EA3"/>
    <w:rsid w:val="00DD3FF1"/>
    <w:rsid w:val="00DD5EC2"/>
    <w:rsid w:val="00DD6A97"/>
    <w:rsid w:val="00DD72BC"/>
    <w:rsid w:val="00DD735B"/>
    <w:rsid w:val="00DE1B46"/>
    <w:rsid w:val="00DE1DD6"/>
    <w:rsid w:val="00DE4D0E"/>
    <w:rsid w:val="00DE6B04"/>
    <w:rsid w:val="00DE6F9D"/>
    <w:rsid w:val="00DE7242"/>
    <w:rsid w:val="00DE735E"/>
    <w:rsid w:val="00DE73BE"/>
    <w:rsid w:val="00DF0D4B"/>
    <w:rsid w:val="00DF1E05"/>
    <w:rsid w:val="00DF377C"/>
    <w:rsid w:val="00DF4C09"/>
    <w:rsid w:val="00DF4D32"/>
    <w:rsid w:val="00DF6B98"/>
    <w:rsid w:val="00DF7441"/>
    <w:rsid w:val="00DF7CEE"/>
    <w:rsid w:val="00DF7D36"/>
    <w:rsid w:val="00E00049"/>
    <w:rsid w:val="00E00696"/>
    <w:rsid w:val="00E0173F"/>
    <w:rsid w:val="00E04AE0"/>
    <w:rsid w:val="00E05051"/>
    <w:rsid w:val="00E051C0"/>
    <w:rsid w:val="00E0528D"/>
    <w:rsid w:val="00E054AD"/>
    <w:rsid w:val="00E05A84"/>
    <w:rsid w:val="00E06057"/>
    <w:rsid w:val="00E06570"/>
    <w:rsid w:val="00E069EF"/>
    <w:rsid w:val="00E07512"/>
    <w:rsid w:val="00E1101C"/>
    <w:rsid w:val="00E1146E"/>
    <w:rsid w:val="00E1171F"/>
    <w:rsid w:val="00E11C54"/>
    <w:rsid w:val="00E13F5D"/>
    <w:rsid w:val="00E15791"/>
    <w:rsid w:val="00E159FD"/>
    <w:rsid w:val="00E15AE0"/>
    <w:rsid w:val="00E21C32"/>
    <w:rsid w:val="00E21D9A"/>
    <w:rsid w:val="00E22DB2"/>
    <w:rsid w:val="00E22FC8"/>
    <w:rsid w:val="00E24803"/>
    <w:rsid w:val="00E24D79"/>
    <w:rsid w:val="00E258A3"/>
    <w:rsid w:val="00E332B6"/>
    <w:rsid w:val="00E336DD"/>
    <w:rsid w:val="00E34B44"/>
    <w:rsid w:val="00E35D54"/>
    <w:rsid w:val="00E36466"/>
    <w:rsid w:val="00E36AA1"/>
    <w:rsid w:val="00E44823"/>
    <w:rsid w:val="00E44EE9"/>
    <w:rsid w:val="00E508BF"/>
    <w:rsid w:val="00E514EA"/>
    <w:rsid w:val="00E5180E"/>
    <w:rsid w:val="00E5214E"/>
    <w:rsid w:val="00E5269F"/>
    <w:rsid w:val="00E5386F"/>
    <w:rsid w:val="00E53B8E"/>
    <w:rsid w:val="00E542AA"/>
    <w:rsid w:val="00E553A9"/>
    <w:rsid w:val="00E572BC"/>
    <w:rsid w:val="00E5762B"/>
    <w:rsid w:val="00E57A06"/>
    <w:rsid w:val="00E57CBA"/>
    <w:rsid w:val="00E63298"/>
    <w:rsid w:val="00E63E62"/>
    <w:rsid w:val="00E65116"/>
    <w:rsid w:val="00E65885"/>
    <w:rsid w:val="00E66805"/>
    <w:rsid w:val="00E706B4"/>
    <w:rsid w:val="00E70DE9"/>
    <w:rsid w:val="00E7143E"/>
    <w:rsid w:val="00E71FBB"/>
    <w:rsid w:val="00E732B2"/>
    <w:rsid w:val="00E7480B"/>
    <w:rsid w:val="00E74C8E"/>
    <w:rsid w:val="00E759C7"/>
    <w:rsid w:val="00E8081A"/>
    <w:rsid w:val="00E825F7"/>
    <w:rsid w:val="00E83A3B"/>
    <w:rsid w:val="00E842E0"/>
    <w:rsid w:val="00E85598"/>
    <w:rsid w:val="00E85C64"/>
    <w:rsid w:val="00E86101"/>
    <w:rsid w:val="00E91DD2"/>
    <w:rsid w:val="00E926A9"/>
    <w:rsid w:val="00E937A8"/>
    <w:rsid w:val="00E95626"/>
    <w:rsid w:val="00E96B32"/>
    <w:rsid w:val="00EA2257"/>
    <w:rsid w:val="00EA2B77"/>
    <w:rsid w:val="00EA5BC3"/>
    <w:rsid w:val="00EA6626"/>
    <w:rsid w:val="00EA75CC"/>
    <w:rsid w:val="00EA7DC7"/>
    <w:rsid w:val="00EB181A"/>
    <w:rsid w:val="00EB1E09"/>
    <w:rsid w:val="00EB2103"/>
    <w:rsid w:val="00EB2A75"/>
    <w:rsid w:val="00EB3EB9"/>
    <w:rsid w:val="00EB3F27"/>
    <w:rsid w:val="00EB53A4"/>
    <w:rsid w:val="00EB5932"/>
    <w:rsid w:val="00EB67E5"/>
    <w:rsid w:val="00EC0C00"/>
    <w:rsid w:val="00EC2055"/>
    <w:rsid w:val="00EC35CD"/>
    <w:rsid w:val="00EC367F"/>
    <w:rsid w:val="00EC3B46"/>
    <w:rsid w:val="00EC3FFF"/>
    <w:rsid w:val="00EC4207"/>
    <w:rsid w:val="00EC4936"/>
    <w:rsid w:val="00EC4CE4"/>
    <w:rsid w:val="00EC5194"/>
    <w:rsid w:val="00EC5A6B"/>
    <w:rsid w:val="00EC5BA4"/>
    <w:rsid w:val="00EC61DC"/>
    <w:rsid w:val="00EC675A"/>
    <w:rsid w:val="00EC7291"/>
    <w:rsid w:val="00EC7D63"/>
    <w:rsid w:val="00ED0D10"/>
    <w:rsid w:val="00ED1398"/>
    <w:rsid w:val="00ED19DA"/>
    <w:rsid w:val="00ED2967"/>
    <w:rsid w:val="00ED3CE2"/>
    <w:rsid w:val="00ED4729"/>
    <w:rsid w:val="00ED5FA4"/>
    <w:rsid w:val="00ED62CD"/>
    <w:rsid w:val="00ED63DC"/>
    <w:rsid w:val="00ED66AC"/>
    <w:rsid w:val="00ED7682"/>
    <w:rsid w:val="00ED77CB"/>
    <w:rsid w:val="00ED7A31"/>
    <w:rsid w:val="00ED7F3C"/>
    <w:rsid w:val="00EE1479"/>
    <w:rsid w:val="00EE2D18"/>
    <w:rsid w:val="00EE32A5"/>
    <w:rsid w:val="00EE430A"/>
    <w:rsid w:val="00EE4E18"/>
    <w:rsid w:val="00EE66F0"/>
    <w:rsid w:val="00EE72D4"/>
    <w:rsid w:val="00EE7A8E"/>
    <w:rsid w:val="00EF12F9"/>
    <w:rsid w:val="00EF1659"/>
    <w:rsid w:val="00EF2251"/>
    <w:rsid w:val="00EF2931"/>
    <w:rsid w:val="00EF4052"/>
    <w:rsid w:val="00EF539C"/>
    <w:rsid w:val="00EF5AEA"/>
    <w:rsid w:val="00EF6EB6"/>
    <w:rsid w:val="00EF757F"/>
    <w:rsid w:val="00F00AFE"/>
    <w:rsid w:val="00F024A9"/>
    <w:rsid w:val="00F02D67"/>
    <w:rsid w:val="00F02E79"/>
    <w:rsid w:val="00F04A75"/>
    <w:rsid w:val="00F05FC6"/>
    <w:rsid w:val="00F0601A"/>
    <w:rsid w:val="00F06A69"/>
    <w:rsid w:val="00F06DDC"/>
    <w:rsid w:val="00F07630"/>
    <w:rsid w:val="00F07CC6"/>
    <w:rsid w:val="00F07CD6"/>
    <w:rsid w:val="00F10EBF"/>
    <w:rsid w:val="00F1133D"/>
    <w:rsid w:val="00F120A0"/>
    <w:rsid w:val="00F128FE"/>
    <w:rsid w:val="00F1421A"/>
    <w:rsid w:val="00F14AB9"/>
    <w:rsid w:val="00F173B5"/>
    <w:rsid w:val="00F204D4"/>
    <w:rsid w:val="00F23A33"/>
    <w:rsid w:val="00F24A2B"/>
    <w:rsid w:val="00F2524E"/>
    <w:rsid w:val="00F25E94"/>
    <w:rsid w:val="00F30F1B"/>
    <w:rsid w:val="00F314A6"/>
    <w:rsid w:val="00F32BC2"/>
    <w:rsid w:val="00F356FE"/>
    <w:rsid w:val="00F36179"/>
    <w:rsid w:val="00F36283"/>
    <w:rsid w:val="00F40201"/>
    <w:rsid w:val="00F41A40"/>
    <w:rsid w:val="00F43898"/>
    <w:rsid w:val="00F44140"/>
    <w:rsid w:val="00F44E15"/>
    <w:rsid w:val="00F45A1E"/>
    <w:rsid w:val="00F474D9"/>
    <w:rsid w:val="00F56F71"/>
    <w:rsid w:val="00F6200E"/>
    <w:rsid w:val="00F6363F"/>
    <w:rsid w:val="00F641C1"/>
    <w:rsid w:val="00F64F88"/>
    <w:rsid w:val="00F6579B"/>
    <w:rsid w:val="00F65AAE"/>
    <w:rsid w:val="00F67233"/>
    <w:rsid w:val="00F678B5"/>
    <w:rsid w:val="00F71409"/>
    <w:rsid w:val="00F71701"/>
    <w:rsid w:val="00F71F9F"/>
    <w:rsid w:val="00F71FB6"/>
    <w:rsid w:val="00F7272D"/>
    <w:rsid w:val="00F72A7A"/>
    <w:rsid w:val="00F73EC9"/>
    <w:rsid w:val="00F748F6"/>
    <w:rsid w:val="00F75273"/>
    <w:rsid w:val="00F760B0"/>
    <w:rsid w:val="00F76E67"/>
    <w:rsid w:val="00F771A6"/>
    <w:rsid w:val="00F818C7"/>
    <w:rsid w:val="00F8209E"/>
    <w:rsid w:val="00F82815"/>
    <w:rsid w:val="00F83220"/>
    <w:rsid w:val="00F839EC"/>
    <w:rsid w:val="00F83A26"/>
    <w:rsid w:val="00F8557B"/>
    <w:rsid w:val="00F857BF"/>
    <w:rsid w:val="00F85BC8"/>
    <w:rsid w:val="00F86CCD"/>
    <w:rsid w:val="00F90BB0"/>
    <w:rsid w:val="00F91634"/>
    <w:rsid w:val="00F91767"/>
    <w:rsid w:val="00F92ACD"/>
    <w:rsid w:val="00F92BAB"/>
    <w:rsid w:val="00F93759"/>
    <w:rsid w:val="00F941A2"/>
    <w:rsid w:val="00F94272"/>
    <w:rsid w:val="00F948A3"/>
    <w:rsid w:val="00F95FFB"/>
    <w:rsid w:val="00F97A5D"/>
    <w:rsid w:val="00F97DC7"/>
    <w:rsid w:val="00FA0E5E"/>
    <w:rsid w:val="00FA0F3E"/>
    <w:rsid w:val="00FA2F63"/>
    <w:rsid w:val="00FA30DB"/>
    <w:rsid w:val="00FA3452"/>
    <w:rsid w:val="00FA39CC"/>
    <w:rsid w:val="00FA5DCE"/>
    <w:rsid w:val="00FB0BCB"/>
    <w:rsid w:val="00FB2301"/>
    <w:rsid w:val="00FB2EB2"/>
    <w:rsid w:val="00FB4585"/>
    <w:rsid w:val="00FB5092"/>
    <w:rsid w:val="00FB5A76"/>
    <w:rsid w:val="00FB652D"/>
    <w:rsid w:val="00FB6823"/>
    <w:rsid w:val="00FB73C4"/>
    <w:rsid w:val="00FC0C8A"/>
    <w:rsid w:val="00FC11DF"/>
    <w:rsid w:val="00FC4566"/>
    <w:rsid w:val="00FC5775"/>
    <w:rsid w:val="00FC5A43"/>
    <w:rsid w:val="00FC6D27"/>
    <w:rsid w:val="00FD2768"/>
    <w:rsid w:val="00FD2DDA"/>
    <w:rsid w:val="00FD55C3"/>
    <w:rsid w:val="00FD56CF"/>
    <w:rsid w:val="00FD617F"/>
    <w:rsid w:val="00FD6F51"/>
    <w:rsid w:val="00FE2252"/>
    <w:rsid w:val="00FE29D6"/>
    <w:rsid w:val="00FE2C77"/>
    <w:rsid w:val="00FE46E2"/>
    <w:rsid w:val="00FF1568"/>
    <w:rsid w:val="00FF1C1A"/>
    <w:rsid w:val="00FF33AE"/>
    <w:rsid w:val="00FF4267"/>
    <w:rsid w:val="00FF4286"/>
    <w:rsid w:val="00FF5571"/>
    <w:rsid w:val="00FF672D"/>
    <w:rsid w:val="00FF7F43"/>
    <w:rsid w:val="01A13820"/>
    <w:rsid w:val="0238641E"/>
    <w:rsid w:val="03D951E0"/>
    <w:rsid w:val="03FB732F"/>
    <w:rsid w:val="050841DE"/>
    <w:rsid w:val="0829189C"/>
    <w:rsid w:val="086512DA"/>
    <w:rsid w:val="08807968"/>
    <w:rsid w:val="096F184C"/>
    <w:rsid w:val="09A3700C"/>
    <w:rsid w:val="0C0F3851"/>
    <w:rsid w:val="0C295C89"/>
    <w:rsid w:val="0D654E36"/>
    <w:rsid w:val="0DD32592"/>
    <w:rsid w:val="0E7C4407"/>
    <w:rsid w:val="0F6B5ADC"/>
    <w:rsid w:val="0F816618"/>
    <w:rsid w:val="0F8926AB"/>
    <w:rsid w:val="0FE91DCB"/>
    <w:rsid w:val="102F5090"/>
    <w:rsid w:val="1069360A"/>
    <w:rsid w:val="11151E35"/>
    <w:rsid w:val="11897CF3"/>
    <w:rsid w:val="11A26AB6"/>
    <w:rsid w:val="13B00795"/>
    <w:rsid w:val="15673728"/>
    <w:rsid w:val="168D0F5F"/>
    <w:rsid w:val="17BB5E35"/>
    <w:rsid w:val="18B62A80"/>
    <w:rsid w:val="1961373D"/>
    <w:rsid w:val="19CF162E"/>
    <w:rsid w:val="1A876D98"/>
    <w:rsid w:val="1AB31074"/>
    <w:rsid w:val="1AB4029A"/>
    <w:rsid w:val="1B353ED9"/>
    <w:rsid w:val="1D5A3A97"/>
    <w:rsid w:val="1D743A75"/>
    <w:rsid w:val="1E373860"/>
    <w:rsid w:val="1F7F3923"/>
    <w:rsid w:val="211A5CEC"/>
    <w:rsid w:val="21674014"/>
    <w:rsid w:val="227A53D9"/>
    <w:rsid w:val="240E6EDC"/>
    <w:rsid w:val="246D55C2"/>
    <w:rsid w:val="28835544"/>
    <w:rsid w:val="2CC40BB6"/>
    <w:rsid w:val="2D102879"/>
    <w:rsid w:val="2D7846A8"/>
    <w:rsid w:val="2FED6C77"/>
    <w:rsid w:val="33187858"/>
    <w:rsid w:val="33DD1718"/>
    <w:rsid w:val="36600F64"/>
    <w:rsid w:val="36C125A4"/>
    <w:rsid w:val="36CE7D9E"/>
    <w:rsid w:val="3836543D"/>
    <w:rsid w:val="391520CB"/>
    <w:rsid w:val="39536645"/>
    <w:rsid w:val="39FB45D0"/>
    <w:rsid w:val="408E0668"/>
    <w:rsid w:val="411E7610"/>
    <w:rsid w:val="43373ABC"/>
    <w:rsid w:val="43C43CBC"/>
    <w:rsid w:val="44692C12"/>
    <w:rsid w:val="44BC74A7"/>
    <w:rsid w:val="45545FB7"/>
    <w:rsid w:val="4571211F"/>
    <w:rsid w:val="46152B37"/>
    <w:rsid w:val="477D7F15"/>
    <w:rsid w:val="48294660"/>
    <w:rsid w:val="488C7136"/>
    <w:rsid w:val="4B0B3C91"/>
    <w:rsid w:val="4BBD154B"/>
    <w:rsid w:val="4CD45D62"/>
    <w:rsid w:val="4D752F23"/>
    <w:rsid w:val="4DC72ACB"/>
    <w:rsid w:val="4FDE134B"/>
    <w:rsid w:val="51BE212A"/>
    <w:rsid w:val="526D2BCC"/>
    <w:rsid w:val="534D75BE"/>
    <w:rsid w:val="53B53BED"/>
    <w:rsid w:val="545B4C3D"/>
    <w:rsid w:val="547247EE"/>
    <w:rsid w:val="56073D33"/>
    <w:rsid w:val="566F40AB"/>
    <w:rsid w:val="58D525CA"/>
    <w:rsid w:val="59F60E25"/>
    <w:rsid w:val="5B91592A"/>
    <w:rsid w:val="5BB9012C"/>
    <w:rsid w:val="5C82787A"/>
    <w:rsid w:val="5CF34110"/>
    <w:rsid w:val="5F185D1C"/>
    <w:rsid w:val="5FD97C0C"/>
    <w:rsid w:val="613A46F8"/>
    <w:rsid w:val="61511004"/>
    <w:rsid w:val="628D293E"/>
    <w:rsid w:val="63051682"/>
    <w:rsid w:val="677749E8"/>
    <w:rsid w:val="678F2EF3"/>
    <w:rsid w:val="68EA71AA"/>
    <w:rsid w:val="69010D4F"/>
    <w:rsid w:val="699A08EE"/>
    <w:rsid w:val="69DB6830"/>
    <w:rsid w:val="6A3D5A16"/>
    <w:rsid w:val="6AB31423"/>
    <w:rsid w:val="6B31088A"/>
    <w:rsid w:val="6BC845D9"/>
    <w:rsid w:val="6C300D32"/>
    <w:rsid w:val="6D2F5EB0"/>
    <w:rsid w:val="6D471015"/>
    <w:rsid w:val="6E3F691B"/>
    <w:rsid w:val="6F2C465F"/>
    <w:rsid w:val="6F6D714E"/>
    <w:rsid w:val="6F9D263E"/>
    <w:rsid w:val="7111377B"/>
    <w:rsid w:val="71C55E7F"/>
    <w:rsid w:val="72C03A59"/>
    <w:rsid w:val="736A22B7"/>
    <w:rsid w:val="744B6C48"/>
    <w:rsid w:val="74AB40D9"/>
    <w:rsid w:val="75D455FD"/>
    <w:rsid w:val="79512818"/>
    <w:rsid w:val="7AA87554"/>
    <w:rsid w:val="7ACF7747"/>
    <w:rsid w:val="7B435807"/>
    <w:rsid w:val="7C3E3B00"/>
    <w:rsid w:val="7CA529AE"/>
    <w:rsid w:val="7D9F7549"/>
    <w:rsid w:val="7E467FCC"/>
    <w:rsid w:val="7E7C4C45"/>
    <w:rsid w:val="7F4D5BA7"/>
    <w:rsid w:val="7F61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_GB2312" w:hAnsi="Calibri" w:eastAsia="仿宋_GB2312" w:cs="Calibri"/>
      <w:color w:val="000000"/>
      <w:kern w:val="2"/>
      <w:sz w:val="32"/>
      <w:szCs w:val="30"/>
      <w:lang w:val="en-US" w:eastAsia="zh-CN" w:bidi="ar-SA"/>
    </w:rPr>
  </w:style>
  <w:style w:type="paragraph" w:styleId="2">
    <w:name w:val="heading 1"/>
    <w:basedOn w:val="3"/>
    <w:next w:val="1"/>
    <w:link w:val="34"/>
    <w:qFormat/>
    <w:uiPriority w:val="9"/>
  </w:style>
  <w:style w:type="paragraph" w:styleId="4">
    <w:name w:val="heading 2"/>
    <w:basedOn w:val="1"/>
    <w:next w:val="1"/>
    <w:link w:val="41"/>
    <w:qFormat/>
    <w:uiPriority w:val="9"/>
    <w:pPr>
      <w:ind w:firstLine="0" w:firstLineChars="0"/>
      <w:jc w:val="center"/>
      <w:outlineLvl w:val="1"/>
    </w:pPr>
    <w:rPr>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3">
    <w:name w:val="一级标题-指南一"/>
    <w:basedOn w:val="1"/>
    <w:link w:val="36"/>
    <w:qFormat/>
    <w:uiPriority w:val="0"/>
    <w:pPr>
      <w:ind w:firstLine="0" w:firstLineChars="0"/>
      <w:jc w:val="center"/>
      <w:outlineLvl w:val="0"/>
    </w:pPr>
    <w:rPr>
      <w:rFonts w:ascii="Times New Roman" w:eastAsia="黑体"/>
      <w:bCs/>
      <w:kern w:val="0"/>
    </w:rPr>
  </w:style>
  <w:style w:type="paragraph" w:styleId="5">
    <w:name w:val="Document Map"/>
    <w:basedOn w:val="1"/>
    <w:link w:val="39"/>
    <w:unhideWhenUsed/>
    <w:qFormat/>
    <w:uiPriority w:val="99"/>
    <w:rPr>
      <w:rFonts w:ascii="宋体" w:eastAsia="宋体"/>
      <w:kern w:val="0"/>
      <w:sz w:val="18"/>
      <w:szCs w:val="18"/>
    </w:rPr>
  </w:style>
  <w:style w:type="paragraph" w:styleId="6">
    <w:name w:val="annotation text"/>
    <w:basedOn w:val="1"/>
    <w:link w:val="33"/>
    <w:unhideWhenUsed/>
    <w:qFormat/>
    <w:uiPriority w:val="99"/>
    <w:pPr>
      <w:jc w:val="left"/>
    </w:pPr>
    <w:rPr>
      <w:kern w:val="0"/>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Date"/>
    <w:basedOn w:val="1"/>
    <w:next w:val="1"/>
    <w:link w:val="30"/>
    <w:unhideWhenUsed/>
    <w:qFormat/>
    <w:uiPriority w:val="99"/>
    <w:pPr>
      <w:ind w:left="100" w:leftChars="2500"/>
    </w:pPr>
  </w:style>
  <w:style w:type="paragraph" w:styleId="9">
    <w:name w:val="Balloon Text"/>
    <w:basedOn w:val="1"/>
    <w:link w:val="42"/>
    <w:unhideWhenUsed/>
    <w:qFormat/>
    <w:uiPriority w:val="99"/>
    <w:rPr>
      <w:kern w:val="0"/>
      <w:sz w:val="18"/>
      <w:szCs w:val="18"/>
    </w:rPr>
  </w:style>
  <w:style w:type="paragraph" w:styleId="10">
    <w:name w:val="footer"/>
    <w:basedOn w:val="1"/>
    <w:link w:val="47"/>
    <w:unhideWhenUsed/>
    <w:qFormat/>
    <w:uiPriority w:val="99"/>
    <w:pPr>
      <w:tabs>
        <w:tab w:val="center" w:pos="4153"/>
        <w:tab w:val="right" w:pos="8306"/>
      </w:tabs>
      <w:jc w:val="left"/>
    </w:pPr>
    <w:rPr>
      <w:kern w:val="0"/>
      <w:sz w:val="18"/>
      <w:szCs w:val="18"/>
    </w:rPr>
  </w:style>
  <w:style w:type="paragraph" w:styleId="11">
    <w:name w:val="header"/>
    <w:basedOn w:val="1"/>
    <w:link w:val="40"/>
    <w:unhideWhenUsed/>
    <w:qFormat/>
    <w:uiPriority w:val="99"/>
    <w:pPr>
      <w:pBdr>
        <w:bottom w:val="single" w:color="auto" w:sz="6" w:space="1"/>
      </w:pBdr>
      <w:tabs>
        <w:tab w:val="center" w:pos="4153"/>
        <w:tab w:val="right" w:pos="8306"/>
      </w:tabs>
      <w:jc w:val="center"/>
    </w:pPr>
    <w:rPr>
      <w:kern w:val="0"/>
      <w:sz w:val="18"/>
      <w:szCs w:val="18"/>
    </w:rPr>
  </w:style>
  <w:style w:type="paragraph" w:styleId="12">
    <w:name w:val="toc 1"/>
    <w:basedOn w:val="1"/>
    <w:next w:val="1"/>
    <w:unhideWhenUsed/>
    <w:qFormat/>
    <w:uiPriority w:val="39"/>
    <w:pPr>
      <w:tabs>
        <w:tab w:val="right" w:leader="dot" w:pos="8296"/>
      </w:tabs>
      <w:overflowPunct w:val="0"/>
      <w:spacing w:line="360" w:lineRule="auto"/>
      <w:ind w:firstLine="482"/>
    </w:pPr>
    <w:rPr>
      <w:b/>
      <w:sz w:val="22"/>
    </w:rPr>
  </w:style>
  <w:style w:type="paragraph" w:styleId="13">
    <w:name w:val="footnote text"/>
    <w:basedOn w:val="1"/>
    <w:link w:val="24"/>
    <w:unhideWhenUsed/>
    <w:qFormat/>
    <w:uiPriority w:val="99"/>
    <w:pPr>
      <w:jc w:val="left"/>
    </w:pPr>
    <w:rPr>
      <w:kern w:val="0"/>
      <w:sz w:val="18"/>
      <w:szCs w:val="18"/>
    </w:rPr>
  </w:style>
  <w:style w:type="paragraph" w:styleId="14">
    <w:name w:val="toc 2"/>
    <w:basedOn w:val="1"/>
    <w:next w:val="1"/>
    <w:unhideWhenUsed/>
    <w:qFormat/>
    <w:uiPriority w:val="39"/>
    <w:pPr>
      <w:tabs>
        <w:tab w:val="left" w:pos="1580"/>
        <w:tab w:val="right" w:leader="dot" w:pos="8296"/>
      </w:tabs>
      <w:spacing w:line="276" w:lineRule="auto"/>
      <w:ind w:left="420" w:leftChars="200"/>
    </w:pPr>
    <w:rPr>
      <w:sz w:val="22"/>
    </w:rPr>
  </w:style>
  <w:style w:type="paragraph" w:styleId="15">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styleId="16">
    <w:name w:val="annotation subject"/>
    <w:basedOn w:val="6"/>
    <w:next w:val="6"/>
    <w:link w:val="32"/>
    <w:unhideWhenUsed/>
    <w:qFormat/>
    <w:uiPriority w:val="99"/>
    <w:rPr>
      <w:b/>
      <w:bCs/>
    </w:rPr>
  </w:style>
  <w:style w:type="table" w:styleId="18">
    <w:name w:val="Table Grid"/>
    <w:basedOn w:val="17"/>
    <w:qFormat/>
    <w:uiPriority w:val="59"/>
    <w:pPr>
      <w:spacing w:line="276" w:lineRule="auto"/>
    </w:pPr>
    <w:rPr>
      <w:rFonts w:ascii="Times New Roman" w:hAnsi="Times New Roman" w:eastAsia="仿宋_GB231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tblStylePr w:type="firstRow">
      <w:rPr>
        <w:b/>
      </w:rPr>
      <w:tblPr/>
      <w:trPr>
        <w:cantSplit/>
        <w:tblHeader/>
      </w:trPr>
    </w:tblStylePr>
  </w:style>
  <w:style w:type="character" w:styleId="20">
    <w:name w:val="page number"/>
    <w:qFormat/>
    <w:uiPriority w:val="0"/>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styleId="23">
    <w:name w:val="footnote reference"/>
    <w:unhideWhenUsed/>
    <w:qFormat/>
    <w:uiPriority w:val="99"/>
    <w:rPr>
      <w:vertAlign w:val="superscript"/>
    </w:rPr>
  </w:style>
  <w:style w:type="character" w:customStyle="1" w:styleId="24">
    <w:name w:val="脚注文本 Char"/>
    <w:link w:val="13"/>
    <w:qFormat/>
    <w:uiPriority w:val="99"/>
    <w:rPr>
      <w:rFonts w:ascii="仿宋_GB2312" w:hAnsi="Times New Roman" w:eastAsia="仿宋_GB2312" w:cs="Times New Roman"/>
      <w:color w:val="000000"/>
      <w:sz w:val="18"/>
      <w:szCs w:val="18"/>
    </w:rPr>
  </w:style>
  <w:style w:type="character" w:customStyle="1" w:styleId="25">
    <w:name w:val="目录样式 Char"/>
    <w:link w:val="26"/>
    <w:qFormat/>
    <w:uiPriority w:val="0"/>
    <w:rPr>
      <w:rFonts w:ascii="仿宋_GB2312" w:hAnsi="Cambria" w:eastAsia="仿宋_GB2312"/>
      <w:bCs/>
      <w:color w:val="365F91"/>
      <w:kern w:val="0"/>
      <w:sz w:val="30"/>
      <w:szCs w:val="30"/>
      <w:lang w:val="zh-CN"/>
    </w:rPr>
  </w:style>
  <w:style w:type="paragraph" w:customStyle="1" w:styleId="26">
    <w:name w:val="目录样式"/>
    <w:basedOn w:val="27"/>
    <w:link w:val="25"/>
    <w:qFormat/>
    <w:uiPriority w:val="0"/>
    <w:pPr>
      <w:widowControl w:val="0"/>
      <w:spacing w:line="560" w:lineRule="exact"/>
      <w:jc w:val="center"/>
    </w:pPr>
    <w:rPr>
      <w:rFonts w:ascii="仿宋_GB2312" w:eastAsia="仿宋_GB2312"/>
      <w:sz w:val="30"/>
      <w:szCs w:val="30"/>
      <w:lang w:val="zh-CN"/>
    </w:rPr>
  </w:style>
  <w:style w:type="paragraph" w:customStyle="1" w:styleId="27">
    <w:name w:val="TOC 标题1"/>
    <w:basedOn w:val="2"/>
    <w:next w:val="1"/>
    <w:link w:val="31"/>
    <w:qFormat/>
    <w:uiPriority w:val="99"/>
    <w:pPr>
      <w:widowControl/>
      <w:spacing w:before="480" w:line="276" w:lineRule="auto"/>
      <w:jc w:val="left"/>
      <w:outlineLvl w:val="9"/>
    </w:pPr>
    <w:rPr>
      <w:rFonts w:ascii="Cambria" w:hAnsi="Cambria" w:eastAsia="宋体"/>
      <w:color w:val="365F91"/>
      <w:sz w:val="28"/>
      <w:szCs w:val="28"/>
    </w:rPr>
  </w:style>
  <w:style w:type="character" w:customStyle="1" w:styleId="28">
    <w:name w:val="列出段落 Char"/>
    <w:link w:val="29"/>
    <w:qFormat/>
    <w:locked/>
    <w:uiPriority w:val="34"/>
    <w:rPr>
      <w:rFonts w:ascii="Times New Roman" w:hAnsi="Times New Roman"/>
      <w:kern w:val="2"/>
      <w:sz w:val="21"/>
      <w:szCs w:val="24"/>
    </w:rPr>
  </w:style>
  <w:style w:type="paragraph" w:styleId="29">
    <w:name w:val="List Paragraph"/>
    <w:basedOn w:val="1"/>
    <w:link w:val="28"/>
    <w:qFormat/>
    <w:uiPriority w:val="0"/>
    <w:pPr>
      <w:adjustRightInd/>
      <w:snapToGrid/>
      <w:spacing w:line="240" w:lineRule="auto"/>
      <w:ind w:firstLine="420"/>
    </w:pPr>
    <w:rPr>
      <w:rFonts w:ascii="Times New Roman" w:eastAsia="宋体"/>
      <w:color w:val="auto"/>
      <w:sz w:val="21"/>
      <w:szCs w:val="24"/>
    </w:rPr>
  </w:style>
  <w:style w:type="character" w:customStyle="1" w:styleId="30">
    <w:name w:val="日期 Char"/>
    <w:link w:val="8"/>
    <w:semiHidden/>
    <w:qFormat/>
    <w:uiPriority w:val="99"/>
    <w:rPr>
      <w:rFonts w:ascii="仿宋_GB2312" w:hAnsi="Times New Roman" w:eastAsia="仿宋_GB2312"/>
      <w:color w:val="000000"/>
      <w:kern w:val="2"/>
      <w:sz w:val="32"/>
      <w:szCs w:val="30"/>
    </w:rPr>
  </w:style>
  <w:style w:type="character" w:customStyle="1" w:styleId="31">
    <w:name w:val="TOC 标题1 Char"/>
    <w:link w:val="27"/>
    <w:qFormat/>
    <w:uiPriority w:val="99"/>
    <w:rPr>
      <w:rFonts w:ascii="Cambria" w:hAnsi="Cambria" w:eastAsia="宋体"/>
      <w:bCs/>
      <w:color w:val="365F91"/>
      <w:kern w:val="0"/>
      <w:sz w:val="28"/>
      <w:szCs w:val="28"/>
    </w:rPr>
  </w:style>
  <w:style w:type="character" w:customStyle="1" w:styleId="32">
    <w:name w:val="批注主题 Char"/>
    <w:link w:val="16"/>
    <w:semiHidden/>
    <w:qFormat/>
    <w:uiPriority w:val="99"/>
    <w:rPr>
      <w:rFonts w:ascii="仿宋_GB2312" w:hAnsi="Times New Roman" w:eastAsia="仿宋_GB2312" w:cs="Times New Roman"/>
      <w:b/>
      <w:bCs/>
      <w:color w:val="000000"/>
      <w:sz w:val="32"/>
      <w:szCs w:val="30"/>
    </w:rPr>
  </w:style>
  <w:style w:type="character" w:customStyle="1" w:styleId="33">
    <w:name w:val="批注文字 Char"/>
    <w:link w:val="6"/>
    <w:qFormat/>
    <w:uiPriority w:val="99"/>
    <w:rPr>
      <w:rFonts w:ascii="仿宋_GB2312" w:hAnsi="Times New Roman" w:eastAsia="仿宋_GB2312" w:cs="Times New Roman"/>
      <w:color w:val="000000"/>
      <w:sz w:val="32"/>
      <w:szCs w:val="30"/>
    </w:rPr>
  </w:style>
  <w:style w:type="character" w:customStyle="1" w:styleId="34">
    <w:name w:val="标题 1 Char"/>
    <w:link w:val="2"/>
    <w:qFormat/>
    <w:uiPriority w:val="9"/>
    <w:rPr>
      <w:rFonts w:ascii="Times New Roman" w:hAnsi="Times New Roman" w:eastAsia="黑体"/>
      <w:bCs/>
      <w:color w:val="000000"/>
      <w:sz w:val="32"/>
      <w:szCs w:val="30"/>
    </w:rPr>
  </w:style>
  <w:style w:type="character" w:customStyle="1" w:styleId="35">
    <w:name w:val="列出段落 Char1"/>
    <w:qFormat/>
    <w:uiPriority w:val="0"/>
    <w:rPr>
      <w:rFonts w:ascii="Calibri" w:hAnsi="Calibri" w:eastAsia="宋体" w:cs="Times New Roman"/>
      <w:kern w:val="0"/>
      <w:sz w:val="20"/>
      <w:szCs w:val="20"/>
    </w:rPr>
  </w:style>
  <w:style w:type="character" w:customStyle="1" w:styleId="36">
    <w:name w:val="一级标题-指南一 Char"/>
    <w:link w:val="3"/>
    <w:qFormat/>
    <w:uiPriority w:val="0"/>
    <w:rPr>
      <w:rFonts w:ascii="Times New Roman" w:hAnsi="Times New Roman" w:eastAsia="黑体"/>
      <w:bCs/>
      <w:color w:val="000000"/>
      <w:sz w:val="32"/>
      <w:szCs w:val="30"/>
    </w:rPr>
  </w:style>
  <w:style w:type="character" w:customStyle="1" w:styleId="37">
    <w:name w:val="附件二级 Char"/>
    <w:link w:val="38"/>
    <w:qFormat/>
    <w:uiPriority w:val="0"/>
    <w:rPr>
      <w:rFonts w:ascii="Times New Roman" w:hAnsi="Times New Roman" w:eastAsia="仿宋_GB2312"/>
      <w:b/>
      <w:color w:val="000000"/>
      <w:sz w:val="32"/>
      <w:szCs w:val="30"/>
      <w:lang w:bidi="en-US"/>
    </w:rPr>
  </w:style>
  <w:style w:type="paragraph" w:customStyle="1" w:styleId="38">
    <w:name w:val="附件二级"/>
    <w:basedOn w:val="3"/>
    <w:link w:val="37"/>
    <w:qFormat/>
    <w:uiPriority w:val="0"/>
    <w:pPr>
      <w:jc w:val="left"/>
    </w:pPr>
    <w:rPr>
      <w:rFonts w:eastAsia="仿宋_GB2312"/>
      <w:b/>
      <w:bCs w:val="0"/>
      <w:lang w:bidi="en-US"/>
    </w:rPr>
  </w:style>
  <w:style w:type="character" w:customStyle="1" w:styleId="39">
    <w:name w:val="文档结构图 Char"/>
    <w:link w:val="5"/>
    <w:semiHidden/>
    <w:qFormat/>
    <w:uiPriority w:val="99"/>
    <w:rPr>
      <w:rFonts w:ascii="宋体" w:hAnsi="Times New Roman" w:eastAsia="宋体" w:cs="Times New Roman"/>
      <w:color w:val="000000"/>
      <w:sz w:val="18"/>
      <w:szCs w:val="18"/>
    </w:rPr>
  </w:style>
  <w:style w:type="character" w:customStyle="1" w:styleId="40">
    <w:name w:val="页眉 Char"/>
    <w:link w:val="11"/>
    <w:qFormat/>
    <w:uiPriority w:val="99"/>
    <w:rPr>
      <w:rFonts w:ascii="仿宋_GB2312" w:hAnsi="Times New Roman" w:eastAsia="仿宋_GB2312" w:cs="Times New Roman"/>
      <w:color w:val="000000"/>
      <w:sz w:val="18"/>
      <w:szCs w:val="18"/>
    </w:rPr>
  </w:style>
  <w:style w:type="character" w:customStyle="1" w:styleId="41">
    <w:name w:val="标题 2 Char"/>
    <w:link w:val="4"/>
    <w:qFormat/>
    <w:uiPriority w:val="9"/>
    <w:rPr>
      <w:rFonts w:ascii="仿宋_GB2312" w:hAnsi="Times New Roman" w:eastAsia="仿宋_GB2312"/>
      <w:color w:val="000000"/>
      <w:kern w:val="2"/>
      <w:sz w:val="30"/>
      <w:szCs w:val="30"/>
    </w:rPr>
  </w:style>
  <w:style w:type="character" w:customStyle="1" w:styleId="42">
    <w:name w:val="批注框文本 Char"/>
    <w:link w:val="9"/>
    <w:semiHidden/>
    <w:qFormat/>
    <w:uiPriority w:val="99"/>
    <w:rPr>
      <w:rFonts w:ascii="仿宋_GB2312" w:hAnsi="Times New Roman" w:eastAsia="仿宋_GB2312" w:cs="Times New Roman"/>
      <w:color w:val="000000"/>
      <w:sz w:val="18"/>
      <w:szCs w:val="18"/>
    </w:rPr>
  </w:style>
  <w:style w:type="character" w:customStyle="1" w:styleId="43">
    <w:name w:val="附件标题 Char"/>
    <w:link w:val="44"/>
    <w:qFormat/>
    <w:uiPriority w:val="0"/>
    <w:rPr>
      <w:rFonts w:ascii="Times New Roman" w:hAnsi="Times New Roman" w:eastAsia="黑体"/>
      <w:color w:val="000000"/>
      <w:sz w:val="32"/>
      <w:szCs w:val="30"/>
    </w:rPr>
  </w:style>
  <w:style w:type="paragraph" w:customStyle="1" w:styleId="44">
    <w:name w:val="附件标题"/>
    <w:basedOn w:val="3"/>
    <w:link w:val="43"/>
    <w:qFormat/>
    <w:uiPriority w:val="0"/>
    <w:rPr>
      <w:bCs w:val="0"/>
    </w:rPr>
  </w:style>
  <w:style w:type="character" w:customStyle="1" w:styleId="45">
    <w:name w:val="二级标题-指南二 Char"/>
    <w:link w:val="46"/>
    <w:qFormat/>
    <w:uiPriority w:val="0"/>
    <w:rPr>
      <w:rFonts w:ascii="Times New Roman" w:hAnsi="Times New Roman" w:eastAsia="楷体_GB2312"/>
      <w:bCs/>
      <w:color w:val="000000"/>
      <w:sz w:val="32"/>
      <w:szCs w:val="30"/>
    </w:rPr>
  </w:style>
  <w:style w:type="paragraph" w:customStyle="1" w:styleId="46">
    <w:name w:val="二级标题-指南二"/>
    <w:basedOn w:val="1"/>
    <w:link w:val="45"/>
    <w:qFormat/>
    <w:uiPriority w:val="0"/>
    <w:pPr>
      <w:adjustRightInd/>
      <w:snapToGrid/>
      <w:ind w:firstLine="0" w:firstLineChars="0"/>
      <w:contextualSpacing/>
      <w:jc w:val="center"/>
    </w:pPr>
    <w:rPr>
      <w:rFonts w:ascii="Times New Roman" w:eastAsia="楷体_GB2312"/>
      <w:bCs/>
      <w:kern w:val="0"/>
    </w:rPr>
  </w:style>
  <w:style w:type="character" w:customStyle="1" w:styleId="47">
    <w:name w:val="页脚 Char"/>
    <w:link w:val="10"/>
    <w:qFormat/>
    <w:uiPriority w:val="99"/>
    <w:rPr>
      <w:rFonts w:ascii="仿宋_GB2312" w:hAnsi="Times New Roman" w:eastAsia="仿宋_GB2312" w:cs="Times New Roman"/>
      <w:color w:val="000000"/>
      <w:sz w:val="18"/>
      <w:szCs w:val="18"/>
    </w:rPr>
  </w:style>
  <w:style w:type="paragraph" w:customStyle="1" w:styleId="48">
    <w:name w:val="_Style 46"/>
    <w:basedOn w:val="2"/>
    <w:next w:val="1"/>
    <w:qFormat/>
    <w:uiPriority w:val="39"/>
    <w:pPr>
      <w:widowControl/>
      <w:spacing w:before="480" w:line="276" w:lineRule="auto"/>
      <w:jc w:val="left"/>
      <w:outlineLvl w:val="9"/>
    </w:pPr>
    <w:rPr>
      <w:rFonts w:ascii="Cambria" w:hAnsi="Cambria" w:eastAsia="宋体" w:cs="Times New Roman"/>
      <w:color w:val="365F91"/>
      <w:sz w:val="28"/>
      <w:szCs w:val="28"/>
    </w:rPr>
  </w:style>
  <w:style w:type="paragraph" w:customStyle="1" w:styleId="49">
    <w:name w:val="_Style 47"/>
    <w:semiHidden/>
    <w:qFormat/>
    <w:uiPriority w:val="99"/>
    <w:rPr>
      <w:rFonts w:ascii="Calibri" w:hAnsi="Calibri" w:eastAsia="宋体" w:cs="Calibri"/>
      <w:kern w:val="2"/>
      <w:sz w:val="21"/>
      <w:szCs w:val="22"/>
      <w:lang w:val="en-US" w:eastAsia="zh-CN" w:bidi="ar-SA"/>
    </w:rPr>
  </w:style>
  <w:style w:type="paragraph" w:customStyle="1" w:styleId="5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1">
    <w:name w:val="No Spacing"/>
    <w:basedOn w:val="1"/>
    <w:qFormat/>
    <w:uiPriority w:val="1"/>
    <w:pPr>
      <w:spacing w:line="240" w:lineRule="auto"/>
      <w:ind w:firstLine="0" w:firstLineChars="0"/>
    </w:pPr>
    <w:rPr>
      <w:sz w:val="21"/>
    </w:rPr>
  </w:style>
  <w:style w:type="paragraph" w:customStyle="1" w:styleId="52">
    <w:name w:val="第一章"/>
    <w:basedOn w:val="1"/>
    <w:qFormat/>
    <w:uiPriority w:val="0"/>
    <w:pPr>
      <w:ind w:firstLine="0" w:firstLineChars="0"/>
      <w:jc w:val="center"/>
    </w:pPr>
    <w:rPr>
      <w:rFonts w:ascii="黑体" w:hAnsi="黑体" w:eastAsia="黑体"/>
      <w:color w:val="auto"/>
    </w:rPr>
  </w:style>
  <w:style w:type="paragraph" w:customStyle="1" w:styleId="53">
    <w:name w:val="_Style 3"/>
    <w:basedOn w:val="1"/>
    <w:qFormat/>
    <w:uiPriority w:val="0"/>
    <w:pPr>
      <w:ind w:firstLine="420"/>
    </w:pPr>
    <w:rPr>
      <w:rFonts w:ascii="Times New Roman" w:eastAsia="宋体"/>
    </w:rPr>
  </w:style>
  <w:style w:type="paragraph" w:customStyle="1" w:styleId="54">
    <w:name w:val="列出段落1"/>
    <w:basedOn w:val="1"/>
    <w:qFormat/>
    <w:uiPriority w:val="99"/>
    <w:pPr>
      <w:ind w:firstLine="420"/>
    </w:pPr>
    <w:rPr>
      <w:rFonts w:ascii="Calibri" w:eastAsia="宋体"/>
    </w:rPr>
  </w:style>
  <w:style w:type="paragraph" w:customStyle="1" w:styleId="55">
    <w:name w:val="修订1"/>
    <w:hidden/>
    <w:semiHidden/>
    <w:qFormat/>
    <w:uiPriority w:val="99"/>
    <w:rPr>
      <w:rFonts w:ascii="仿宋_GB2312" w:hAnsi="Calibri" w:eastAsia="仿宋_GB2312" w:cs="Calibri"/>
      <w:color w:val="000000"/>
      <w:kern w:val="2"/>
      <w:sz w:val="32"/>
      <w:szCs w:val="30"/>
      <w:lang w:val="en-US" w:eastAsia="zh-CN" w:bidi="ar-SA"/>
    </w:rPr>
  </w:style>
  <w:style w:type="paragraph" w:customStyle="1" w:styleId="56">
    <w:name w:val="TOC 标题2"/>
    <w:basedOn w:val="2"/>
    <w:next w:val="1"/>
    <w:unhideWhenUsed/>
    <w:qFormat/>
    <w:uiPriority w:val="39"/>
    <w:pPr>
      <w:keepNext/>
      <w:keepLines/>
      <w:widowControl/>
      <w:adjustRightInd/>
      <w:snapToGrid/>
      <w:spacing w:before="480" w:line="276" w:lineRule="auto"/>
      <w:jc w:val="left"/>
      <w:outlineLvl w:val="9"/>
    </w:pPr>
    <w:rPr>
      <w:rFonts w:asciiTheme="majorHAnsi" w:hAnsiTheme="majorHAnsi" w:eastAsiaTheme="majorEastAsia" w:cstheme="majorBidi"/>
      <w:b/>
      <w:color w:val="376092" w:themeColor="accent1" w:themeShade="BF"/>
      <w:sz w:val="28"/>
      <w:szCs w:val="28"/>
    </w:rPr>
  </w:style>
  <w:style w:type="paragraph" w:customStyle="1" w:styleId="57">
    <w:name w:val="修订2"/>
    <w:hidden/>
    <w:unhideWhenUsed/>
    <w:qFormat/>
    <w:uiPriority w:val="99"/>
    <w:rPr>
      <w:rFonts w:ascii="仿宋_GB2312" w:hAnsi="Calibri" w:eastAsia="仿宋_GB2312" w:cs="Calibri"/>
      <w:color w:val="000000"/>
      <w:kern w:val="2"/>
      <w:sz w:val="32"/>
      <w:szCs w:val="30"/>
      <w:lang w:val="en-US" w:eastAsia="zh-CN" w:bidi="ar-SA"/>
    </w:rPr>
  </w:style>
  <w:style w:type="paragraph" w:customStyle="1" w:styleId="58">
    <w:name w:val="修订3"/>
    <w:hidden/>
    <w:unhideWhenUsed/>
    <w:qFormat/>
    <w:uiPriority w:val="99"/>
    <w:rPr>
      <w:rFonts w:ascii="仿宋_GB2312" w:hAnsi="Calibri" w:eastAsia="仿宋_GB2312" w:cs="Calibri"/>
      <w:color w:val="000000"/>
      <w:kern w:val="2"/>
      <w:sz w:val="32"/>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E1178-BD38-4BFF-B9AD-0CDBD5018885}">
  <ds:schemaRefs/>
</ds:datastoreItem>
</file>

<file path=docProps/app.xml><?xml version="1.0" encoding="utf-8"?>
<Properties xmlns="http://schemas.openxmlformats.org/officeDocument/2006/extended-properties" xmlns:vt="http://schemas.openxmlformats.org/officeDocument/2006/docPropsVTypes">
  <Template>Normal</Template>
  <Pages>1</Pages>
  <Words>1527</Words>
  <Characters>8708</Characters>
  <Lines>72</Lines>
  <Paragraphs>20</Paragraphs>
  <TotalTime>1</TotalTime>
  <ScaleCrop>false</ScaleCrop>
  <LinksUpToDate>false</LinksUpToDate>
  <CharactersWithSpaces>10215</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2023-10-19T14:16:00Z</dcterms:created>
  <dc:creator>王菲菲</dc:creator>
  <cp:lastModifiedBy>黄燕秋</cp:lastModifiedBy>
  <cp:lastPrinted>2023-04-19T07:07:00Z</cp:lastPrinted>
  <dcterms:modified xsi:type="dcterms:W3CDTF">2023-10-20T09:08:31Z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65A1F0DC89264FF584588A6540D981E5</vt:lpwstr>
  </property>
</Properties>
</file>