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center"/>
        <w:rPr>
          <w:rFonts w:ascii="华文中宋" w:hAnsi="华文中宋" w:eastAsia="华文中宋"/>
          <w:color w:val="auto"/>
          <w:sz w:val="36"/>
          <w:szCs w:val="36"/>
        </w:rPr>
      </w:pPr>
      <w:bookmarkStart w:id="0" w:name="_GoBack"/>
      <w:bookmarkEnd w:id="0"/>
      <w:r>
        <w:rPr>
          <w:rFonts w:hint="eastAsia" w:ascii="华文中宋" w:hAnsi="华文中宋" w:eastAsia="华文中宋"/>
          <w:color w:val="auto"/>
          <w:sz w:val="36"/>
          <w:szCs w:val="36"/>
        </w:rPr>
        <w:t>证券公司投行业务质量评价指标（保荐业务）</w:t>
      </w:r>
    </w:p>
    <w:p>
      <w:pPr>
        <w:spacing w:beforeLines="50"/>
        <w:outlineLvl w:val="0"/>
        <w:rPr>
          <w:rFonts w:ascii="仿宋" w:hAnsi="仿宋" w:eastAsia="仿宋"/>
          <w:b/>
          <w:color w:val="auto"/>
          <w:sz w:val="24"/>
          <w:szCs w:val="24"/>
        </w:rPr>
      </w:pPr>
    </w:p>
    <w:p>
      <w:pPr>
        <w:spacing w:beforeLines="50"/>
        <w:outlineLvl w:val="0"/>
        <w:rPr>
          <w:rFonts w:ascii="仿宋" w:hAnsi="仿宋" w:eastAsia="仿宋"/>
          <w:b/>
          <w:color w:val="auto"/>
          <w:sz w:val="24"/>
          <w:szCs w:val="24"/>
        </w:rPr>
      </w:pPr>
      <w:r>
        <w:rPr>
          <w:rFonts w:hint="eastAsia" w:ascii="仿宋" w:hAnsi="仿宋" w:eastAsia="仿宋"/>
          <w:b/>
          <w:color w:val="auto"/>
          <w:sz w:val="24"/>
          <w:szCs w:val="24"/>
        </w:rPr>
        <w:t>一、</w:t>
      </w:r>
      <w:r>
        <w:rPr>
          <w:rFonts w:hint="eastAsia" w:ascii="仿宋" w:hAnsi="仿宋" w:eastAsia="仿宋"/>
          <w:b/>
          <w:color w:val="auto"/>
          <w:sz w:val="24"/>
          <w:szCs w:val="24"/>
          <w:lang w:eastAsia="zh-CN"/>
        </w:rPr>
        <w:t>执业</w:t>
      </w:r>
      <w:r>
        <w:rPr>
          <w:rFonts w:hint="eastAsia" w:ascii="仿宋" w:hAnsi="仿宋" w:eastAsia="仿宋"/>
          <w:b/>
          <w:color w:val="auto"/>
          <w:sz w:val="24"/>
          <w:szCs w:val="24"/>
        </w:rPr>
        <w:t>质量评价(</w:t>
      </w:r>
      <w:r>
        <w:rPr>
          <w:rFonts w:hint="eastAsia" w:ascii="仿宋" w:hAnsi="仿宋" w:eastAsia="仿宋"/>
          <w:b/>
          <w:color w:val="auto"/>
          <w:sz w:val="24"/>
          <w:szCs w:val="24"/>
          <w:lang w:val="en-US" w:eastAsia="zh-CN"/>
        </w:rPr>
        <w:t>6</w:t>
      </w:r>
      <w:r>
        <w:rPr>
          <w:rFonts w:hint="eastAsia" w:ascii="仿宋" w:hAnsi="仿宋" w:eastAsia="仿宋"/>
          <w:b/>
          <w:color w:val="auto"/>
          <w:sz w:val="24"/>
          <w:szCs w:val="24"/>
        </w:rPr>
        <w:t>0分)</w:t>
      </w:r>
    </w:p>
    <w:p>
      <w:pPr>
        <w:spacing w:beforeLines="50"/>
        <w:ind w:firstLine="480" w:firstLineChars="200"/>
        <w:outlineLvl w:val="0"/>
        <w:rPr>
          <w:rFonts w:hint="default" w:ascii="仿宋" w:hAnsi="仿宋" w:eastAsia="仿宋"/>
          <w:color w:val="auto"/>
          <w:sz w:val="24"/>
          <w:szCs w:val="24"/>
        </w:rPr>
      </w:pPr>
      <w:r>
        <w:rPr>
          <w:rFonts w:hint="eastAsia" w:ascii="仿宋" w:hAnsi="仿宋" w:eastAsia="仿宋"/>
          <w:color w:val="auto"/>
          <w:sz w:val="24"/>
          <w:szCs w:val="24"/>
        </w:rPr>
        <w:t>试点期</w:t>
      </w:r>
      <w:r>
        <w:rPr>
          <w:rFonts w:hint="eastAsia" w:ascii="仿宋" w:hAnsi="仿宋" w:eastAsia="仿宋"/>
          <w:color w:val="auto"/>
          <w:sz w:val="24"/>
          <w:szCs w:val="24"/>
          <w:lang w:eastAsia="zh-CN"/>
        </w:rPr>
        <w:t>执业</w:t>
      </w:r>
      <w:r>
        <w:rPr>
          <w:rFonts w:hint="eastAsia" w:ascii="仿宋" w:hAnsi="仿宋" w:eastAsia="仿宋"/>
          <w:color w:val="auto"/>
          <w:sz w:val="24"/>
          <w:szCs w:val="24"/>
        </w:rPr>
        <w:t>质量评价为证券公司首发和再融资保荐业务的</w:t>
      </w:r>
      <w:r>
        <w:rPr>
          <w:rFonts w:hint="eastAsia" w:ascii="仿宋" w:hAnsi="仿宋" w:eastAsia="仿宋"/>
          <w:color w:val="auto"/>
          <w:sz w:val="24"/>
          <w:szCs w:val="24"/>
          <w:lang w:eastAsia="zh-CN"/>
        </w:rPr>
        <w:t>执业</w:t>
      </w:r>
      <w:r>
        <w:rPr>
          <w:rFonts w:hint="eastAsia" w:ascii="仿宋" w:hAnsi="仿宋" w:eastAsia="仿宋"/>
          <w:color w:val="auto"/>
          <w:sz w:val="24"/>
          <w:szCs w:val="24"/>
        </w:rPr>
        <w:t>质量评价，主要反映证券公司保荐项目</w:t>
      </w:r>
      <w:r>
        <w:rPr>
          <w:rFonts w:hint="eastAsia" w:ascii="仿宋" w:hAnsi="仿宋" w:eastAsia="仿宋"/>
          <w:color w:val="auto"/>
          <w:sz w:val="24"/>
          <w:szCs w:val="24"/>
          <w:lang w:eastAsia="zh-CN"/>
        </w:rPr>
        <w:t>执业</w:t>
      </w:r>
      <w:r>
        <w:rPr>
          <w:rFonts w:hint="eastAsia" w:ascii="仿宋" w:hAnsi="仿宋" w:eastAsia="仿宋"/>
          <w:color w:val="auto"/>
          <w:sz w:val="24"/>
          <w:szCs w:val="24"/>
        </w:rPr>
        <w:t>质量的情况，由项目平均分*</w:t>
      </w:r>
      <w:r>
        <w:rPr>
          <w:rFonts w:hint="eastAsia" w:ascii="仿宋" w:hAnsi="仿宋" w:eastAsia="仿宋"/>
          <w:color w:val="auto"/>
          <w:sz w:val="24"/>
          <w:szCs w:val="24"/>
          <w:lang w:val="en-US" w:eastAsia="zh-CN"/>
        </w:rPr>
        <w:t>6</w:t>
      </w:r>
      <w:r>
        <w:rPr>
          <w:rFonts w:hint="eastAsia" w:ascii="仿宋" w:hAnsi="仿宋" w:eastAsia="仿宋"/>
          <w:color w:val="auto"/>
          <w:sz w:val="24"/>
          <w:szCs w:val="24"/>
        </w:rPr>
        <w:t>0%计算得出。项目平均分为评价期内证券公司所有参评项目</w:t>
      </w:r>
      <w:r>
        <w:rPr>
          <w:rFonts w:hint="eastAsia" w:ascii="仿宋" w:hAnsi="仿宋" w:eastAsia="仿宋"/>
          <w:color w:val="auto"/>
          <w:sz w:val="24"/>
          <w:szCs w:val="24"/>
          <w:lang w:eastAsia="zh-CN"/>
        </w:rPr>
        <w:t>执业</w:t>
      </w:r>
      <w:r>
        <w:rPr>
          <w:rFonts w:hint="eastAsia" w:ascii="仿宋" w:hAnsi="仿宋" w:eastAsia="仿宋"/>
          <w:color w:val="auto"/>
          <w:sz w:val="24"/>
          <w:szCs w:val="24"/>
        </w:rPr>
        <w:t>质量评价合计分数除以参评项目的数量。保荐项目涉及联合保荐的，该项目计分结果同时列为联合保荐机构（证券公司）的计分结果。</w:t>
      </w:r>
      <w:r>
        <w:rPr>
          <w:rFonts w:hint="default" w:ascii="仿宋" w:hAnsi="仿宋" w:eastAsia="仿宋"/>
          <w:color w:val="auto"/>
          <w:sz w:val="24"/>
          <w:szCs w:val="24"/>
        </w:rPr>
        <w:t>相关信息由</w:t>
      </w:r>
      <w:r>
        <w:rPr>
          <w:rFonts w:hint="eastAsia" w:ascii="仿宋" w:hAnsi="仿宋" w:eastAsia="仿宋"/>
          <w:color w:val="auto"/>
          <w:sz w:val="24"/>
          <w:szCs w:val="24"/>
        </w:rPr>
        <w:t>中国证监会</w:t>
      </w:r>
      <w:r>
        <w:rPr>
          <w:rFonts w:hint="default" w:ascii="仿宋" w:hAnsi="仿宋" w:eastAsia="仿宋"/>
          <w:color w:val="auto"/>
          <w:sz w:val="24"/>
          <w:szCs w:val="24"/>
        </w:rPr>
        <w:t>、</w:t>
      </w:r>
      <w:r>
        <w:rPr>
          <w:rFonts w:hint="eastAsia" w:ascii="仿宋" w:hAnsi="仿宋" w:eastAsia="仿宋"/>
          <w:color w:val="auto"/>
          <w:sz w:val="24"/>
          <w:szCs w:val="24"/>
        </w:rPr>
        <w:t>证券交易所</w:t>
      </w:r>
      <w:r>
        <w:rPr>
          <w:rFonts w:hint="default" w:ascii="仿宋" w:hAnsi="仿宋" w:eastAsia="仿宋"/>
          <w:color w:val="auto"/>
          <w:sz w:val="24"/>
          <w:szCs w:val="24"/>
        </w:rPr>
        <w:t>提供。</w:t>
      </w:r>
    </w:p>
    <w:p>
      <w:pPr>
        <w:spacing w:beforeLines="50"/>
        <w:ind w:firstLine="480" w:firstLineChars="200"/>
        <w:outlineLvl w:val="0"/>
        <w:rPr>
          <w:rFonts w:ascii="仿宋" w:hAnsi="仿宋" w:eastAsia="仿宋"/>
          <w:color w:val="auto"/>
          <w:sz w:val="24"/>
          <w:szCs w:val="24"/>
        </w:rPr>
      </w:pPr>
      <w:r>
        <w:rPr>
          <w:rFonts w:hint="eastAsia" w:ascii="仿宋" w:hAnsi="仿宋" w:eastAsia="仿宋"/>
          <w:color w:val="auto"/>
          <w:sz w:val="24"/>
          <w:szCs w:val="24"/>
        </w:rPr>
        <w:t>项目</w:t>
      </w:r>
      <w:r>
        <w:rPr>
          <w:rFonts w:hint="eastAsia" w:ascii="仿宋" w:hAnsi="仿宋" w:eastAsia="仿宋"/>
          <w:color w:val="auto"/>
          <w:sz w:val="24"/>
          <w:szCs w:val="24"/>
          <w:lang w:eastAsia="zh-CN"/>
        </w:rPr>
        <w:t>执业</w:t>
      </w:r>
      <w:r>
        <w:rPr>
          <w:rFonts w:hint="eastAsia" w:ascii="仿宋" w:hAnsi="仿宋" w:eastAsia="仿宋"/>
          <w:color w:val="auto"/>
          <w:sz w:val="24"/>
          <w:szCs w:val="24"/>
        </w:rPr>
        <w:t>质量评价是指从项目申报文件质量、保荐机构工作质量、保荐项目审核结果等方面触发负面事项的轻重程度进行评价。负面事项包括保荐项目或相关主体被中国证监会采取行政监管措施，被证券交易所采取自律监管措施、纪律处分，项目负面结果记录，项目负面行为记录等情形。项目评价采用扣分方式，在项目</w:t>
      </w:r>
      <w:r>
        <w:rPr>
          <w:rFonts w:hint="eastAsia" w:ascii="仿宋" w:hAnsi="仿宋" w:eastAsia="仿宋"/>
          <w:color w:val="auto"/>
          <w:sz w:val="24"/>
          <w:szCs w:val="24"/>
          <w:lang w:eastAsia="zh-CN"/>
        </w:rPr>
        <w:t>执业</w:t>
      </w:r>
      <w:r>
        <w:rPr>
          <w:rFonts w:hint="eastAsia" w:ascii="仿宋" w:hAnsi="仿宋" w:eastAsia="仿宋"/>
          <w:color w:val="auto"/>
          <w:sz w:val="24"/>
          <w:szCs w:val="24"/>
        </w:rPr>
        <w:t>质量</w:t>
      </w:r>
      <w:r>
        <w:rPr>
          <w:rFonts w:hint="eastAsia" w:ascii="仿宋" w:hAnsi="仿宋" w:eastAsia="仿宋"/>
          <w:color w:val="auto"/>
          <w:sz w:val="24"/>
          <w:szCs w:val="24"/>
          <w:lang w:eastAsia="zh-CN"/>
        </w:rPr>
        <w:t>基准</w:t>
      </w:r>
      <w:r>
        <w:rPr>
          <w:rFonts w:hint="eastAsia" w:ascii="仿宋" w:hAnsi="仿宋" w:eastAsia="仿宋"/>
          <w:color w:val="auto"/>
          <w:sz w:val="24"/>
          <w:szCs w:val="24"/>
        </w:rPr>
        <w:t>分值上根据扣分标准进行扣减</w:t>
      </w:r>
      <w:r>
        <w:rPr>
          <w:rFonts w:hint="eastAsia" w:ascii="仿宋" w:hAnsi="仿宋" w:eastAsia="仿宋"/>
          <w:color w:val="auto"/>
          <w:sz w:val="24"/>
          <w:szCs w:val="24"/>
          <w:lang w:eastAsia="zh-CN"/>
        </w:rPr>
        <w:t>，直至</w:t>
      </w:r>
      <w:r>
        <w:rPr>
          <w:rFonts w:hint="eastAsia" w:ascii="仿宋" w:hAnsi="仿宋" w:eastAsia="仿宋"/>
          <w:color w:val="auto"/>
          <w:sz w:val="24"/>
          <w:szCs w:val="24"/>
          <w:lang w:val="en-US" w:eastAsia="zh-CN"/>
        </w:rPr>
        <w:t>0分。项目基准分为100分，跨周期再次参与评价的项目，基准分值为前次评价的计分结果。</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566"/>
        <w:gridCol w:w="2603"/>
        <w:gridCol w:w="5614"/>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blHeader/>
        </w:trPr>
        <w:tc>
          <w:tcPr>
            <w:tcW w:w="281" w:type="pct"/>
            <w:shd w:val="clear" w:color="auto" w:fill="auto"/>
            <w:vAlign w:val="center"/>
          </w:tcPr>
          <w:p>
            <w:pPr>
              <w:widowControl/>
              <w:autoSpaceDE/>
              <w:autoSpaceDN/>
              <w:adjustRightInd/>
              <w:rPr>
                <w:rFonts w:ascii="仿宋" w:hAnsi="仿宋" w:eastAsia="仿宋" w:cs="宋体"/>
                <w:b/>
                <w:bCs/>
                <w:color w:val="auto"/>
              </w:rPr>
            </w:pPr>
            <w:r>
              <w:rPr>
                <w:rFonts w:hint="eastAsia" w:ascii="仿宋" w:hAnsi="仿宋" w:eastAsia="仿宋" w:cs="宋体"/>
                <w:b/>
                <w:bCs/>
                <w:color w:val="auto"/>
              </w:rPr>
              <w:t>一级评价指标</w:t>
            </w:r>
          </w:p>
        </w:tc>
        <w:tc>
          <w:tcPr>
            <w:tcW w:w="905" w:type="pct"/>
            <w:shd w:val="clear" w:color="auto" w:fill="auto"/>
            <w:vAlign w:val="center"/>
          </w:tcPr>
          <w:p>
            <w:pPr>
              <w:widowControl/>
              <w:autoSpaceDE/>
              <w:autoSpaceDN/>
              <w:adjustRightInd/>
              <w:jc w:val="center"/>
              <w:rPr>
                <w:rFonts w:ascii="仿宋" w:hAnsi="仿宋" w:eastAsia="仿宋" w:cs="宋体"/>
                <w:b/>
                <w:bCs/>
                <w:color w:val="auto"/>
              </w:rPr>
            </w:pPr>
            <w:r>
              <w:rPr>
                <w:rFonts w:hint="eastAsia" w:ascii="仿宋" w:hAnsi="仿宋" w:eastAsia="仿宋" w:cs="宋体"/>
                <w:b/>
                <w:bCs/>
                <w:color w:val="auto"/>
              </w:rPr>
              <w:t>二级评价指标</w:t>
            </w:r>
          </w:p>
        </w:tc>
        <w:tc>
          <w:tcPr>
            <w:tcW w:w="2898" w:type="pct"/>
            <w:gridSpan w:val="2"/>
            <w:shd w:val="clear" w:color="auto" w:fill="auto"/>
            <w:vAlign w:val="center"/>
          </w:tcPr>
          <w:p>
            <w:pPr>
              <w:widowControl/>
              <w:autoSpaceDE/>
              <w:autoSpaceDN/>
              <w:adjustRightInd/>
              <w:jc w:val="center"/>
              <w:rPr>
                <w:rFonts w:hint="eastAsia" w:ascii="仿宋" w:hAnsi="仿宋" w:eastAsia="仿宋" w:cs="宋体"/>
                <w:b/>
                <w:bCs/>
                <w:color w:val="auto"/>
                <w:lang w:eastAsia="zh-CN"/>
              </w:rPr>
            </w:pPr>
            <w:r>
              <w:rPr>
                <w:rFonts w:hint="eastAsia" w:ascii="仿宋" w:hAnsi="仿宋" w:eastAsia="仿宋" w:cs="宋体"/>
                <w:b/>
                <w:bCs/>
                <w:color w:val="auto"/>
                <w:lang w:eastAsia="zh-CN"/>
              </w:rPr>
              <w:t>具体情形</w:t>
            </w:r>
          </w:p>
        </w:tc>
        <w:tc>
          <w:tcPr>
            <w:tcW w:w="915" w:type="pct"/>
            <w:shd w:val="clear" w:color="auto" w:fill="auto"/>
            <w:vAlign w:val="center"/>
          </w:tcPr>
          <w:p>
            <w:pPr>
              <w:widowControl/>
              <w:autoSpaceDE/>
              <w:autoSpaceDN/>
              <w:adjustRightInd/>
              <w:jc w:val="center"/>
              <w:rPr>
                <w:rFonts w:hint="eastAsia" w:ascii="仿宋" w:hAnsi="仿宋" w:eastAsia="仿宋" w:cs="宋体"/>
                <w:b/>
                <w:bCs/>
                <w:color w:val="auto"/>
                <w:lang w:val="en" w:eastAsia="zh-CN"/>
              </w:rPr>
            </w:pPr>
            <w:r>
              <w:rPr>
                <w:rFonts w:hint="eastAsia" w:ascii="仿宋" w:hAnsi="仿宋" w:eastAsia="仿宋" w:cs="宋体"/>
                <w:b/>
                <w:bCs/>
                <w:color w:val="auto"/>
                <w:lang w:val="en" w:eastAsia="zh-CN"/>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281" w:type="pct"/>
            <w:vMerge w:val="restart"/>
            <w:shd w:val="clear" w:color="auto" w:fill="auto"/>
            <w:vAlign w:val="center"/>
          </w:tcPr>
          <w:p>
            <w:pPr>
              <w:widowControl/>
              <w:autoSpaceDE/>
              <w:autoSpaceDN/>
              <w:adjustRightInd/>
              <w:jc w:val="center"/>
              <w:rPr>
                <w:rFonts w:ascii="仿宋" w:hAnsi="仿宋" w:eastAsia="仿宋" w:cs="宋体"/>
                <w:color w:val="auto"/>
              </w:rPr>
            </w:pPr>
            <w:r>
              <w:rPr>
                <w:rFonts w:hint="eastAsia" w:ascii="仿宋" w:hAnsi="仿宋" w:eastAsia="仿宋" w:cs="宋体"/>
                <w:color w:val="auto"/>
              </w:rPr>
              <w:t>项目</w:t>
            </w:r>
            <w:r>
              <w:rPr>
                <w:rFonts w:hint="eastAsia" w:ascii="仿宋" w:hAnsi="仿宋" w:eastAsia="仿宋" w:cs="宋体"/>
                <w:color w:val="auto"/>
                <w:lang w:eastAsia="zh-CN"/>
              </w:rPr>
              <w:t>执业</w:t>
            </w:r>
            <w:r>
              <w:rPr>
                <w:rFonts w:hint="eastAsia" w:ascii="仿宋" w:hAnsi="仿宋" w:eastAsia="仿宋" w:cs="宋体"/>
                <w:color w:val="auto"/>
              </w:rPr>
              <w:t>质量</w:t>
            </w:r>
          </w:p>
        </w:tc>
        <w:tc>
          <w:tcPr>
            <w:tcW w:w="4718" w:type="pct"/>
            <w:gridSpan w:val="4"/>
            <w:shd w:val="clear" w:color="000000" w:fill="D9D9D9"/>
            <w:vAlign w:val="center"/>
          </w:tcPr>
          <w:p>
            <w:pPr>
              <w:widowControl/>
              <w:autoSpaceDE/>
              <w:autoSpaceDN/>
              <w:adjustRightInd/>
              <w:rPr>
                <w:rFonts w:ascii="仿宋" w:hAnsi="仿宋" w:eastAsia="仿宋" w:cs="宋体"/>
                <w:color w:val="auto"/>
              </w:rPr>
            </w:pPr>
            <w:r>
              <w:rPr>
                <w:rFonts w:hint="eastAsia" w:ascii="仿宋" w:hAnsi="仿宋" w:eastAsia="仿宋" w:cs="宋体"/>
                <w:color w:val="auto"/>
              </w:rPr>
              <w:t>负面事项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3803" w:type="pct"/>
            <w:gridSpan w:val="3"/>
            <w:shd w:val="clear" w:color="auto" w:fill="auto"/>
            <w:vAlign w:val="center"/>
          </w:tcPr>
          <w:p>
            <w:pPr>
              <w:widowControl/>
              <w:autoSpaceDE/>
              <w:autoSpaceDN/>
              <w:adjustRightInd/>
              <w:rPr>
                <w:rFonts w:ascii="仿宋" w:hAnsi="仿宋" w:eastAsia="仿宋" w:cs="宋体"/>
                <w:color w:val="auto"/>
              </w:rPr>
            </w:pPr>
            <w:r>
              <w:rPr>
                <w:rFonts w:hint="eastAsia" w:ascii="仿宋" w:hAnsi="仿宋" w:eastAsia="仿宋" w:cs="宋体"/>
                <w:color w:val="auto"/>
              </w:rPr>
              <w:t>1.保荐项目未通过上市委或发审委审核，不</w:t>
            </w:r>
            <w:r>
              <w:rPr>
                <w:rFonts w:hint="eastAsia" w:ascii="仿宋" w:hAnsi="仿宋" w:eastAsia="仿宋" w:cs="宋体"/>
                <w:color w:val="auto"/>
                <w:lang w:eastAsia="zh-CN"/>
              </w:rPr>
              <w:t>予</w:t>
            </w:r>
            <w:r>
              <w:rPr>
                <w:rFonts w:hint="eastAsia" w:ascii="仿宋" w:hAnsi="仿宋" w:eastAsia="仿宋" w:cs="宋体"/>
                <w:color w:val="auto"/>
              </w:rPr>
              <w:t>核准或注册，扣100分</w:t>
            </w:r>
          </w:p>
        </w:tc>
        <w:tc>
          <w:tcPr>
            <w:tcW w:w="915" w:type="pct"/>
            <w:shd w:val="clear" w:color="auto" w:fill="auto"/>
            <w:noWrap/>
            <w:vAlign w:val="center"/>
          </w:tcPr>
          <w:p>
            <w:pPr>
              <w:widowControl/>
              <w:autoSpaceDE/>
              <w:autoSpaceDN/>
              <w:adjustRightInd/>
              <w:rPr>
                <w:rFonts w:ascii="宋体" w:hAnsi="宋体" w:cs="宋体"/>
                <w:color w:val="auto"/>
              </w:rPr>
            </w:pPr>
            <w:r>
              <w:rPr>
                <w:rFonts w:hint="eastAsia" w:ascii="宋体" w:hAnsi="宋体"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905" w:type="pct"/>
            <w:vMerge w:val="restart"/>
            <w:shd w:val="clear" w:color="auto" w:fill="auto"/>
            <w:vAlign w:val="center"/>
          </w:tcPr>
          <w:p>
            <w:pPr>
              <w:widowControl/>
              <w:autoSpaceDE/>
              <w:autoSpaceDN/>
              <w:adjustRightInd/>
              <w:jc w:val="both"/>
              <w:rPr>
                <w:rFonts w:ascii="仿宋" w:hAnsi="仿宋" w:eastAsia="仿宋" w:cs="宋体"/>
                <w:color w:val="auto"/>
              </w:rPr>
            </w:pPr>
            <w:r>
              <w:rPr>
                <w:rFonts w:hint="eastAsia" w:ascii="仿宋" w:hAnsi="仿宋" w:eastAsia="仿宋" w:cs="宋体"/>
                <w:color w:val="auto"/>
              </w:rPr>
              <w:t>2.保荐项目撤回申请</w:t>
            </w:r>
          </w:p>
        </w:tc>
        <w:tc>
          <w:tcPr>
            <w:tcW w:w="2898" w:type="pct"/>
            <w:gridSpan w:val="2"/>
            <w:shd w:val="clear" w:color="auto" w:fill="auto"/>
            <w:vAlign w:val="center"/>
          </w:tcPr>
          <w:p>
            <w:pPr>
              <w:widowControl/>
              <w:autoSpaceDE/>
              <w:autoSpaceDN/>
              <w:adjustRightInd/>
              <w:rPr>
                <w:rFonts w:hint="default" w:ascii="仿宋" w:hAnsi="仿宋" w:eastAsia="仿宋" w:cs="宋体"/>
                <w:color w:val="auto"/>
                <w:lang w:val="en-US" w:eastAsia="zh-CN"/>
              </w:rPr>
            </w:pPr>
            <w:r>
              <w:rPr>
                <w:rFonts w:hint="eastAsia" w:ascii="仿宋" w:hAnsi="仿宋" w:eastAsia="仿宋" w:cs="宋体"/>
                <w:color w:val="auto"/>
              </w:rPr>
              <w:t>因初审环节发现影响发行条件的问题撤回</w:t>
            </w:r>
            <w:r>
              <w:rPr>
                <w:rFonts w:hint="eastAsia" w:ascii="仿宋" w:hAnsi="仿宋" w:eastAsia="仿宋" w:cs="宋体"/>
                <w:color w:val="auto"/>
                <w:lang w:eastAsia="zh-CN"/>
              </w:rPr>
              <w:t>，扣</w:t>
            </w:r>
            <w:r>
              <w:rPr>
                <w:rFonts w:hint="eastAsia" w:ascii="仿宋" w:hAnsi="仿宋" w:eastAsia="仿宋" w:cs="宋体"/>
                <w:color w:val="auto"/>
                <w:lang w:val="en-US" w:eastAsia="zh-CN"/>
              </w:rPr>
              <w:t>100分</w:t>
            </w:r>
          </w:p>
        </w:tc>
        <w:tc>
          <w:tcPr>
            <w:tcW w:w="915" w:type="pct"/>
            <w:shd w:val="clear" w:color="auto" w:fill="auto"/>
            <w:noWrap/>
            <w:vAlign w:val="center"/>
          </w:tcPr>
          <w:p>
            <w:pPr>
              <w:widowControl/>
              <w:autoSpaceDE/>
              <w:autoSpaceDN/>
              <w:adjustRightInd/>
              <w:rPr>
                <w:rFonts w:ascii="宋体" w:hAnsi="宋体" w:cs="宋体"/>
                <w:color w:val="auto"/>
              </w:rPr>
            </w:pPr>
            <w:r>
              <w:rPr>
                <w:rFonts w:hint="eastAsia" w:ascii="宋体" w:hAnsi="宋体"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905" w:type="pct"/>
            <w:vMerge w:val="continue"/>
            <w:vAlign w:val="center"/>
          </w:tcPr>
          <w:p>
            <w:pPr>
              <w:widowControl/>
              <w:autoSpaceDE/>
              <w:autoSpaceDN/>
              <w:adjustRightInd/>
              <w:rPr>
                <w:rFonts w:ascii="仿宋" w:hAnsi="仿宋" w:eastAsia="仿宋" w:cs="宋体"/>
                <w:color w:val="auto"/>
              </w:rPr>
            </w:pPr>
          </w:p>
        </w:tc>
        <w:tc>
          <w:tcPr>
            <w:tcW w:w="2898" w:type="pct"/>
            <w:gridSpan w:val="2"/>
            <w:shd w:val="clear" w:color="auto" w:fill="auto"/>
            <w:vAlign w:val="center"/>
          </w:tcPr>
          <w:p>
            <w:pPr>
              <w:widowControl/>
              <w:autoSpaceDE/>
              <w:autoSpaceDN/>
              <w:adjustRightInd/>
              <w:rPr>
                <w:rFonts w:hint="default" w:ascii="仿宋" w:hAnsi="仿宋" w:eastAsia="仿宋" w:cs="宋体"/>
                <w:color w:val="auto"/>
                <w:lang w:val="en-US" w:eastAsia="zh-CN"/>
              </w:rPr>
            </w:pPr>
            <w:r>
              <w:rPr>
                <w:rFonts w:hint="eastAsia" w:ascii="仿宋" w:hAnsi="仿宋" w:eastAsia="仿宋" w:cs="宋体"/>
                <w:color w:val="auto"/>
              </w:rPr>
              <w:t>因被确定为现场督导或现场检查对象后撤回</w:t>
            </w:r>
            <w:r>
              <w:rPr>
                <w:rFonts w:hint="eastAsia" w:ascii="仿宋" w:hAnsi="仿宋" w:eastAsia="仿宋" w:cs="宋体"/>
                <w:color w:val="auto"/>
                <w:lang w:eastAsia="zh-CN"/>
              </w:rPr>
              <w:t>，扣</w:t>
            </w:r>
            <w:r>
              <w:rPr>
                <w:rFonts w:hint="eastAsia" w:ascii="仿宋" w:hAnsi="仿宋" w:eastAsia="仿宋" w:cs="宋体"/>
                <w:color w:val="auto"/>
                <w:lang w:val="en-US" w:eastAsia="zh-CN"/>
              </w:rPr>
              <w:t>60分</w:t>
            </w:r>
          </w:p>
        </w:tc>
        <w:tc>
          <w:tcPr>
            <w:tcW w:w="915" w:type="pct"/>
            <w:shd w:val="clear" w:color="auto" w:fill="auto"/>
            <w:noWrap/>
            <w:vAlign w:val="center"/>
          </w:tcPr>
          <w:p>
            <w:pPr>
              <w:widowControl/>
              <w:autoSpaceDE/>
              <w:autoSpaceDN/>
              <w:adjustRightInd/>
              <w:rPr>
                <w:rFonts w:ascii="宋体" w:hAnsi="宋体" w:cs="宋体"/>
                <w:color w:val="auto"/>
              </w:rPr>
            </w:pPr>
            <w:r>
              <w:rPr>
                <w:rFonts w:hint="eastAsia" w:ascii="宋体" w:hAnsi="宋体"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905" w:type="pct"/>
            <w:vMerge w:val="continue"/>
            <w:vAlign w:val="center"/>
          </w:tcPr>
          <w:p>
            <w:pPr>
              <w:widowControl/>
              <w:autoSpaceDE/>
              <w:autoSpaceDN/>
              <w:adjustRightInd/>
              <w:rPr>
                <w:rFonts w:ascii="仿宋" w:hAnsi="仿宋" w:eastAsia="仿宋" w:cs="宋体"/>
                <w:color w:val="auto"/>
              </w:rPr>
            </w:pPr>
          </w:p>
        </w:tc>
        <w:tc>
          <w:tcPr>
            <w:tcW w:w="2898" w:type="pct"/>
            <w:gridSpan w:val="2"/>
            <w:shd w:val="clear" w:color="auto" w:fill="auto"/>
            <w:vAlign w:val="center"/>
          </w:tcPr>
          <w:p>
            <w:pPr>
              <w:widowControl/>
              <w:autoSpaceDE/>
              <w:autoSpaceDN/>
              <w:adjustRightInd/>
              <w:rPr>
                <w:rFonts w:hint="eastAsia" w:ascii="仿宋" w:hAnsi="仿宋" w:eastAsia="仿宋" w:cs="宋体"/>
                <w:color w:val="auto"/>
                <w:lang w:eastAsia="zh-CN"/>
              </w:rPr>
            </w:pPr>
            <w:r>
              <w:rPr>
                <w:rFonts w:hint="eastAsia" w:ascii="仿宋" w:hAnsi="仿宋" w:eastAsia="仿宋" w:cs="宋体"/>
                <w:color w:val="auto"/>
              </w:rPr>
              <w:t>除因行业政策变化、市场环境变化等合理原因撤回不扣分外，其他原因撤回</w:t>
            </w:r>
            <w:r>
              <w:rPr>
                <w:rFonts w:hint="eastAsia" w:ascii="仿宋" w:hAnsi="仿宋" w:eastAsia="仿宋" w:cs="宋体"/>
                <w:color w:val="auto"/>
                <w:lang w:eastAsia="zh-CN"/>
              </w:rPr>
              <w:t>，</w:t>
            </w:r>
            <w:r>
              <w:rPr>
                <w:rFonts w:hint="eastAsia" w:ascii="仿宋" w:hAnsi="仿宋" w:eastAsia="仿宋" w:cs="宋体"/>
                <w:color w:val="auto"/>
              </w:rPr>
              <w:t>扣20分</w:t>
            </w:r>
          </w:p>
        </w:tc>
        <w:tc>
          <w:tcPr>
            <w:tcW w:w="915" w:type="pct"/>
            <w:shd w:val="clear" w:color="auto" w:fill="auto"/>
            <w:noWrap/>
            <w:vAlign w:val="center"/>
          </w:tcPr>
          <w:p>
            <w:pPr>
              <w:widowControl/>
              <w:autoSpaceDE/>
              <w:autoSpaceDN/>
              <w:adjustRightInd/>
              <w:rPr>
                <w:rFonts w:ascii="宋体" w:hAnsi="宋体" w:cs="宋体"/>
                <w:color w:val="auto"/>
              </w:rPr>
            </w:pPr>
            <w:r>
              <w:rPr>
                <w:rFonts w:hint="eastAsia" w:ascii="宋体" w:hAnsi="宋体"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905" w:type="pct"/>
            <w:vMerge w:val="restart"/>
            <w:shd w:val="clear" w:color="auto" w:fill="auto"/>
            <w:vAlign w:val="center"/>
          </w:tcPr>
          <w:p>
            <w:pPr>
              <w:widowControl/>
              <w:autoSpaceDE/>
              <w:autoSpaceDN/>
              <w:adjustRightInd/>
              <w:jc w:val="both"/>
              <w:rPr>
                <w:rFonts w:hint="default" w:ascii="仿宋" w:hAnsi="仿宋" w:eastAsia="仿宋" w:cs="宋体"/>
                <w:color w:val="auto"/>
              </w:rPr>
            </w:pPr>
            <w:r>
              <w:rPr>
                <w:rFonts w:hint="eastAsia" w:ascii="仿宋" w:hAnsi="仿宋" w:eastAsia="仿宋" w:cs="宋体"/>
                <w:color w:val="auto"/>
              </w:rPr>
              <w:t>3.保荐机构因保荐项目被采取行政监管措施</w:t>
            </w:r>
            <w:r>
              <w:rPr>
                <w:rFonts w:hint="default" w:ascii="仿宋" w:hAnsi="仿宋" w:eastAsia="仿宋" w:cs="宋体"/>
                <w:color w:val="auto"/>
              </w:rPr>
              <w:t>等</w:t>
            </w:r>
          </w:p>
        </w:tc>
        <w:tc>
          <w:tcPr>
            <w:tcW w:w="2898" w:type="pct"/>
            <w:gridSpan w:val="2"/>
            <w:shd w:val="clear" w:color="auto" w:fill="auto"/>
            <w:vAlign w:val="center"/>
          </w:tcPr>
          <w:p>
            <w:pPr>
              <w:widowControl/>
              <w:autoSpaceDE/>
              <w:autoSpaceDN/>
              <w:adjustRightInd/>
              <w:rPr>
                <w:rFonts w:hint="eastAsia" w:ascii="仿宋" w:hAnsi="仿宋" w:eastAsia="仿宋" w:cs="宋体"/>
                <w:color w:val="auto"/>
                <w:lang w:eastAsia="zh-CN"/>
              </w:rPr>
            </w:pPr>
            <w:r>
              <w:rPr>
                <w:rFonts w:hint="eastAsia" w:ascii="仿宋" w:hAnsi="仿宋" w:eastAsia="仿宋" w:cs="宋体"/>
                <w:color w:val="auto"/>
              </w:rPr>
              <w:t>公司被限制业务活动，暂不受理与行政许可有关文件，董事、监事、高级管理人员因对公司违法违规行为负有责任被认定为不适当人选或者被采取证券市场禁入、公开谴责，公司被采取责令更换董事、监事、高级管理人员或限制其权利等</w:t>
            </w:r>
            <w:r>
              <w:rPr>
                <w:rFonts w:hint="eastAsia" w:ascii="仿宋" w:hAnsi="仿宋" w:eastAsia="仿宋" w:cs="宋体"/>
                <w:color w:val="auto"/>
                <w:lang w:eastAsia="zh-CN"/>
              </w:rPr>
              <w:t>，</w:t>
            </w:r>
            <w:r>
              <w:rPr>
                <w:rFonts w:hint="eastAsia" w:ascii="仿宋" w:hAnsi="仿宋" w:eastAsia="仿宋" w:cs="宋体"/>
                <w:color w:val="auto"/>
              </w:rPr>
              <w:t>扣100分</w:t>
            </w:r>
          </w:p>
        </w:tc>
        <w:tc>
          <w:tcPr>
            <w:tcW w:w="915" w:type="pct"/>
            <w:shd w:val="clear" w:color="auto" w:fill="auto"/>
            <w:noWrap/>
            <w:vAlign w:val="center"/>
          </w:tcPr>
          <w:p>
            <w:pPr>
              <w:widowControl/>
              <w:autoSpaceDE/>
              <w:autoSpaceDN/>
              <w:adjustRightInd/>
              <w:rPr>
                <w:rFonts w:ascii="宋体" w:hAnsi="宋体" w:cs="宋体"/>
                <w:color w:val="auto"/>
              </w:rPr>
            </w:pPr>
            <w:r>
              <w:rPr>
                <w:rFonts w:hint="eastAsia" w:ascii="宋体" w:hAnsi="宋体"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905" w:type="pct"/>
            <w:vMerge w:val="continue"/>
            <w:vAlign w:val="center"/>
          </w:tcPr>
          <w:p>
            <w:pPr>
              <w:widowControl/>
              <w:autoSpaceDE/>
              <w:autoSpaceDN/>
              <w:adjustRightInd/>
              <w:rPr>
                <w:rFonts w:ascii="仿宋" w:hAnsi="仿宋" w:eastAsia="仿宋" w:cs="宋体"/>
                <w:color w:val="auto"/>
              </w:rPr>
            </w:pPr>
          </w:p>
        </w:tc>
        <w:tc>
          <w:tcPr>
            <w:tcW w:w="2898" w:type="pct"/>
            <w:gridSpan w:val="2"/>
            <w:shd w:val="clear" w:color="auto" w:fill="auto"/>
            <w:vAlign w:val="center"/>
          </w:tcPr>
          <w:p>
            <w:pPr>
              <w:widowControl/>
              <w:autoSpaceDE/>
              <w:autoSpaceDN/>
              <w:adjustRightInd/>
              <w:rPr>
                <w:rFonts w:hint="eastAsia" w:ascii="仿宋" w:hAnsi="仿宋" w:eastAsia="仿宋" w:cs="宋体"/>
                <w:color w:val="auto"/>
                <w:lang w:eastAsia="zh-CN"/>
              </w:rPr>
            </w:pPr>
            <w:r>
              <w:rPr>
                <w:rFonts w:hint="eastAsia" w:ascii="仿宋" w:hAnsi="仿宋" w:eastAsia="仿宋" w:cs="宋体"/>
                <w:color w:val="auto"/>
              </w:rPr>
              <w:t>公司被采取责令处分有关人员，或者董事、监事、高级管理人员被监管谈话</w:t>
            </w:r>
            <w:r>
              <w:rPr>
                <w:rFonts w:hint="eastAsia" w:ascii="仿宋" w:hAnsi="仿宋" w:eastAsia="仿宋" w:cs="宋体"/>
                <w:color w:val="auto"/>
                <w:lang w:eastAsia="zh-CN"/>
              </w:rPr>
              <w:t>，</w:t>
            </w:r>
            <w:r>
              <w:rPr>
                <w:rFonts w:hint="eastAsia" w:ascii="仿宋" w:hAnsi="仿宋" w:eastAsia="仿宋" w:cs="宋体"/>
                <w:color w:val="auto"/>
              </w:rPr>
              <w:t>扣</w:t>
            </w:r>
            <w:r>
              <w:rPr>
                <w:rFonts w:hint="eastAsia" w:ascii="仿宋" w:hAnsi="仿宋" w:eastAsia="仿宋" w:cs="宋体"/>
                <w:color w:val="auto"/>
                <w:lang w:val="en-US" w:eastAsia="zh-CN"/>
              </w:rPr>
              <w:t>70</w:t>
            </w:r>
            <w:r>
              <w:rPr>
                <w:rFonts w:hint="eastAsia" w:ascii="仿宋" w:hAnsi="仿宋" w:eastAsia="仿宋" w:cs="宋体"/>
                <w:color w:val="auto"/>
              </w:rPr>
              <w:t>分</w:t>
            </w:r>
          </w:p>
        </w:tc>
        <w:tc>
          <w:tcPr>
            <w:tcW w:w="915" w:type="pct"/>
            <w:shd w:val="clear" w:color="auto" w:fill="auto"/>
            <w:noWrap/>
            <w:vAlign w:val="center"/>
          </w:tcPr>
          <w:p>
            <w:pPr>
              <w:widowControl/>
              <w:autoSpaceDE/>
              <w:autoSpaceDN/>
              <w:adjustRightInd/>
              <w:rPr>
                <w:rFonts w:ascii="宋体" w:hAnsi="宋体" w:cs="宋体"/>
                <w:color w:val="auto"/>
              </w:rPr>
            </w:pPr>
            <w:r>
              <w:rPr>
                <w:rFonts w:hint="eastAsia" w:ascii="宋体" w:hAnsi="宋体"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905" w:type="pct"/>
            <w:vMerge w:val="continue"/>
            <w:vAlign w:val="center"/>
          </w:tcPr>
          <w:p>
            <w:pPr>
              <w:widowControl/>
              <w:autoSpaceDE/>
              <w:autoSpaceDN/>
              <w:adjustRightInd/>
              <w:rPr>
                <w:rFonts w:ascii="仿宋" w:hAnsi="仿宋" w:eastAsia="仿宋" w:cs="宋体"/>
                <w:color w:val="auto"/>
              </w:rPr>
            </w:pPr>
          </w:p>
        </w:tc>
        <w:tc>
          <w:tcPr>
            <w:tcW w:w="2898" w:type="pct"/>
            <w:gridSpan w:val="2"/>
            <w:shd w:val="clear" w:color="auto" w:fill="auto"/>
            <w:vAlign w:val="center"/>
          </w:tcPr>
          <w:p>
            <w:pPr>
              <w:widowControl/>
              <w:autoSpaceDE/>
              <w:autoSpaceDN/>
              <w:adjustRightInd/>
              <w:rPr>
                <w:rFonts w:hint="eastAsia" w:ascii="仿宋" w:hAnsi="仿宋" w:eastAsia="仿宋" w:cs="宋体"/>
                <w:color w:val="auto"/>
                <w:lang w:eastAsia="zh-CN"/>
              </w:rPr>
            </w:pPr>
            <w:r>
              <w:rPr>
                <w:rFonts w:hint="eastAsia" w:ascii="仿宋" w:hAnsi="仿宋" w:eastAsia="仿宋" w:cs="宋体"/>
                <w:color w:val="auto"/>
              </w:rPr>
              <w:t>公司被采取责令改正，责令增加内部合规检查次数</w:t>
            </w:r>
            <w:r>
              <w:rPr>
                <w:rFonts w:hint="eastAsia" w:ascii="仿宋" w:hAnsi="仿宋" w:eastAsia="仿宋" w:cs="宋体"/>
                <w:color w:val="auto"/>
                <w:lang w:eastAsia="zh-CN"/>
              </w:rPr>
              <w:t>，</w:t>
            </w:r>
            <w:r>
              <w:rPr>
                <w:rFonts w:hint="eastAsia" w:ascii="仿宋" w:hAnsi="仿宋" w:eastAsia="仿宋" w:cs="宋体"/>
                <w:color w:val="auto"/>
              </w:rPr>
              <w:t>扣</w:t>
            </w:r>
            <w:r>
              <w:rPr>
                <w:rFonts w:hint="eastAsia" w:ascii="仿宋" w:hAnsi="仿宋" w:eastAsia="仿宋" w:cs="宋体"/>
                <w:color w:val="auto"/>
                <w:lang w:val="en-US" w:eastAsia="zh-CN"/>
              </w:rPr>
              <w:t>50</w:t>
            </w:r>
            <w:r>
              <w:rPr>
                <w:rFonts w:hint="eastAsia" w:ascii="仿宋" w:hAnsi="仿宋" w:eastAsia="仿宋" w:cs="宋体"/>
                <w:color w:val="auto"/>
              </w:rPr>
              <w:t>分</w:t>
            </w:r>
          </w:p>
        </w:tc>
        <w:tc>
          <w:tcPr>
            <w:tcW w:w="915" w:type="pct"/>
            <w:shd w:val="clear" w:color="auto" w:fill="auto"/>
            <w:noWrap/>
            <w:vAlign w:val="center"/>
          </w:tcPr>
          <w:p>
            <w:pPr>
              <w:widowControl/>
              <w:autoSpaceDE/>
              <w:autoSpaceDN/>
              <w:adjustRightInd/>
              <w:rPr>
                <w:rFonts w:ascii="宋体" w:hAnsi="宋体" w:cs="宋体"/>
                <w:color w:val="auto"/>
              </w:rPr>
            </w:pPr>
            <w:r>
              <w:rPr>
                <w:rFonts w:hint="eastAsia" w:ascii="宋体" w:hAnsi="宋体"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905" w:type="pct"/>
            <w:vMerge w:val="continue"/>
            <w:vAlign w:val="center"/>
          </w:tcPr>
          <w:p>
            <w:pPr>
              <w:widowControl/>
              <w:autoSpaceDE/>
              <w:autoSpaceDN/>
              <w:adjustRightInd/>
              <w:rPr>
                <w:rFonts w:ascii="仿宋" w:hAnsi="仿宋" w:eastAsia="仿宋" w:cs="宋体"/>
                <w:color w:val="auto"/>
              </w:rPr>
            </w:pPr>
          </w:p>
        </w:tc>
        <w:tc>
          <w:tcPr>
            <w:tcW w:w="2898" w:type="pct"/>
            <w:gridSpan w:val="2"/>
            <w:shd w:val="clear" w:color="auto" w:fill="auto"/>
            <w:vAlign w:val="center"/>
          </w:tcPr>
          <w:p>
            <w:pPr>
              <w:widowControl/>
              <w:autoSpaceDE/>
              <w:autoSpaceDN/>
              <w:adjustRightInd/>
              <w:rPr>
                <w:rFonts w:hint="eastAsia" w:ascii="仿宋" w:hAnsi="仿宋" w:eastAsia="仿宋" w:cs="宋体"/>
                <w:color w:val="auto"/>
                <w:lang w:eastAsia="zh-CN"/>
              </w:rPr>
            </w:pPr>
            <w:r>
              <w:rPr>
                <w:rFonts w:hint="eastAsia" w:ascii="仿宋" w:hAnsi="仿宋" w:eastAsia="仿宋" w:cs="宋体"/>
                <w:color w:val="auto"/>
              </w:rPr>
              <w:t>公司或者其董事、监管、高级管理人员被采取出具警示函，责令公开说明，责令定期报告</w:t>
            </w:r>
            <w:r>
              <w:rPr>
                <w:rFonts w:hint="eastAsia" w:ascii="仿宋" w:hAnsi="仿宋" w:eastAsia="仿宋" w:cs="宋体"/>
                <w:color w:val="auto"/>
                <w:lang w:eastAsia="zh-CN"/>
              </w:rPr>
              <w:t>，</w:t>
            </w:r>
            <w:r>
              <w:rPr>
                <w:rFonts w:hint="eastAsia" w:ascii="仿宋" w:hAnsi="仿宋" w:eastAsia="仿宋" w:cs="宋体"/>
                <w:color w:val="auto"/>
              </w:rPr>
              <w:t>扣</w:t>
            </w:r>
            <w:r>
              <w:rPr>
                <w:rFonts w:hint="eastAsia" w:ascii="仿宋" w:hAnsi="仿宋" w:eastAsia="仿宋" w:cs="宋体"/>
                <w:color w:val="auto"/>
                <w:lang w:val="en-US" w:eastAsia="zh-CN"/>
              </w:rPr>
              <w:t>30</w:t>
            </w:r>
            <w:r>
              <w:rPr>
                <w:rFonts w:hint="eastAsia" w:ascii="仿宋" w:hAnsi="仿宋" w:eastAsia="仿宋" w:cs="宋体"/>
                <w:color w:val="auto"/>
              </w:rPr>
              <w:t>分</w:t>
            </w:r>
          </w:p>
        </w:tc>
        <w:tc>
          <w:tcPr>
            <w:tcW w:w="915" w:type="pct"/>
            <w:shd w:val="clear" w:color="auto" w:fill="auto"/>
            <w:noWrap/>
            <w:vAlign w:val="center"/>
          </w:tcPr>
          <w:p>
            <w:pPr>
              <w:widowControl/>
              <w:autoSpaceDE/>
              <w:autoSpaceDN/>
              <w:adjustRightInd/>
              <w:rPr>
                <w:rFonts w:ascii="宋体" w:hAnsi="宋体" w:cs="宋体"/>
                <w:color w:val="auto"/>
              </w:rPr>
            </w:pPr>
            <w:r>
              <w:rPr>
                <w:rFonts w:hint="eastAsia" w:ascii="宋体" w:hAnsi="宋体"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905" w:type="pct"/>
            <w:vMerge w:val="restart"/>
            <w:shd w:val="clear" w:color="auto" w:fill="auto"/>
            <w:vAlign w:val="center"/>
          </w:tcPr>
          <w:p>
            <w:pPr>
              <w:widowControl/>
              <w:autoSpaceDE/>
              <w:autoSpaceDN/>
              <w:adjustRightInd/>
              <w:jc w:val="both"/>
              <w:rPr>
                <w:rFonts w:hint="default" w:ascii="仿宋" w:hAnsi="仿宋" w:eastAsia="仿宋" w:cs="宋体"/>
                <w:color w:val="auto"/>
              </w:rPr>
            </w:pPr>
            <w:r>
              <w:rPr>
                <w:rFonts w:hint="eastAsia" w:ascii="仿宋" w:hAnsi="仿宋" w:eastAsia="仿宋" w:cs="宋体"/>
                <w:color w:val="auto"/>
              </w:rPr>
              <w:t>4.保荐机构相关人员因保荐项目被中国证监会采取行政监管措施</w:t>
            </w:r>
            <w:r>
              <w:rPr>
                <w:rFonts w:hint="default" w:ascii="仿宋" w:hAnsi="仿宋" w:eastAsia="仿宋" w:cs="宋体"/>
                <w:color w:val="auto"/>
              </w:rPr>
              <w:t>等</w:t>
            </w:r>
          </w:p>
        </w:tc>
        <w:tc>
          <w:tcPr>
            <w:tcW w:w="2898" w:type="pct"/>
            <w:gridSpan w:val="2"/>
            <w:shd w:val="clear" w:color="auto" w:fill="auto"/>
            <w:vAlign w:val="center"/>
          </w:tcPr>
          <w:p>
            <w:pPr>
              <w:widowControl/>
              <w:autoSpaceDE/>
              <w:autoSpaceDN/>
              <w:adjustRightInd/>
              <w:rPr>
                <w:rFonts w:hint="eastAsia" w:ascii="仿宋" w:hAnsi="仿宋" w:eastAsia="仿宋" w:cs="宋体"/>
                <w:color w:val="auto"/>
                <w:lang w:eastAsia="zh-CN"/>
              </w:rPr>
            </w:pPr>
            <w:r>
              <w:rPr>
                <w:rFonts w:hint="eastAsia" w:ascii="仿宋" w:hAnsi="仿宋" w:eastAsia="仿宋" w:cs="宋体"/>
                <w:color w:val="auto"/>
              </w:rPr>
              <w:t>认定为不适当人选、证券市场禁入、不受理其具体负责的推荐等</w:t>
            </w:r>
            <w:r>
              <w:rPr>
                <w:rFonts w:hint="eastAsia" w:ascii="仿宋" w:hAnsi="仿宋" w:eastAsia="仿宋" w:cs="宋体"/>
                <w:color w:val="auto"/>
                <w:lang w:eastAsia="zh-CN"/>
              </w:rPr>
              <w:t>，</w:t>
            </w:r>
            <w:r>
              <w:rPr>
                <w:rFonts w:hint="eastAsia" w:ascii="仿宋" w:hAnsi="仿宋" w:eastAsia="仿宋" w:cs="宋体"/>
                <w:color w:val="auto"/>
              </w:rPr>
              <w:t>扣100分</w:t>
            </w:r>
          </w:p>
        </w:tc>
        <w:tc>
          <w:tcPr>
            <w:tcW w:w="915" w:type="pct"/>
            <w:shd w:val="clear" w:color="auto" w:fill="auto"/>
            <w:noWrap/>
            <w:vAlign w:val="center"/>
          </w:tcPr>
          <w:p>
            <w:pPr>
              <w:widowControl/>
              <w:autoSpaceDE/>
              <w:autoSpaceDN/>
              <w:adjustRightInd/>
              <w:rPr>
                <w:rFonts w:ascii="宋体" w:hAnsi="宋体" w:cs="宋体"/>
                <w:color w:val="auto"/>
              </w:rPr>
            </w:pPr>
            <w:r>
              <w:rPr>
                <w:rFonts w:hint="eastAsia" w:ascii="宋体" w:hAnsi="宋体"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905" w:type="pct"/>
            <w:vMerge w:val="continue"/>
            <w:vAlign w:val="center"/>
          </w:tcPr>
          <w:p>
            <w:pPr>
              <w:widowControl/>
              <w:autoSpaceDE/>
              <w:autoSpaceDN/>
              <w:adjustRightInd/>
              <w:rPr>
                <w:rFonts w:ascii="仿宋" w:hAnsi="仿宋" w:eastAsia="仿宋" w:cs="宋体"/>
                <w:color w:val="auto"/>
              </w:rPr>
            </w:pPr>
          </w:p>
        </w:tc>
        <w:tc>
          <w:tcPr>
            <w:tcW w:w="2898" w:type="pct"/>
            <w:gridSpan w:val="2"/>
            <w:shd w:val="clear" w:color="auto" w:fill="auto"/>
            <w:vAlign w:val="center"/>
          </w:tcPr>
          <w:p>
            <w:pPr>
              <w:widowControl/>
              <w:autoSpaceDE/>
              <w:autoSpaceDN/>
              <w:adjustRightInd/>
              <w:rPr>
                <w:rFonts w:hint="eastAsia" w:ascii="仿宋" w:hAnsi="仿宋" w:eastAsia="仿宋" w:cs="宋体"/>
                <w:color w:val="auto"/>
                <w:lang w:eastAsia="zh-CN"/>
              </w:rPr>
            </w:pPr>
            <w:r>
              <w:rPr>
                <w:rFonts w:hint="eastAsia" w:ascii="仿宋" w:hAnsi="仿宋" w:eastAsia="仿宋" w:cs="宋体"/>
                <w:color w:val="auto"/>
              </w:rPr>
              <w:t>监管谈话</w:t>
            </w:r>
            <w:r>
              <w:rPr>
                <w:rFonts w:hint="eastAsia" w:ascii="仿宋" w:hAnsi="仿宋" w:eastAsia="仿宋" w:cs="宋体"/>
                <w:color w:val="auto"/>
                <w:lang w:eastAsia="zh-CN"/>
              </w:rPr>
              <w:t>，</w:t>
            </w:r>
            <w:r>
              <w:rPr>
                <w:rFonts w:hint="eastAsia" w:ascii="仿宋" w:hAnsi="仿宋" w:eastAsia="仿宋" w:cs="宋体"/>
                <w:color w:val="auto"/>
              </w:rPr>
              <w:t>扣</w:t>
            </w:r>
            <w:r>
              <w:rPr>
                <w:rFonts w:hint="eastAsia" w:ascii="仿宋" w:hAnsi="仿宋" w:eastAsia="仿宋" w:cs="宋体"/>
                <w:color w:val="auto"/>
                <w:lang w:val="en-US" w:eastAsia="zh-CN"/>
              </w:rPr>
              <w:t>35</w:t>
            </w:r>
            <w:r>
              <w:rPr>
                <w:rFonts w:hint="eastAsia" w:ascii="仿宋" w:hAnsi="仿宋" w:eastAsia="仿宋" w:cs="宋体"/>
                <w:color w:val="auto"/>
              </w:rPr>
              <w:t>分</w:t>
            </w:r>
          </w:p>
        </w:tc>
        <w:tc>
          <w:tcPr>
            <w:tcW w:w="915" w:type="pct"/>
            <w:shd w:val="clear" w:color="auto" w:fill="auto"/>
            <w:noWrap/>
            <w:vAlign w:val="center"/>
          </w:tcPr>
          <w:p>
            <w:pPr>
              <w:widowControl/>
              <w:autoSpaceDE/>
              <w:autoSpaceDN/>
              <w:adjustRightInd/>
              <w:rPr>
                <w:rFonts w:ascii="宋体" w:hAnsi="宋体" w:cs="宋体"/>
                <w:color w:val="auto"/>
              </w:rPr>
            </w:pPr>
            <w:r>
              <w:rPr>
                <w:rFonts w:hint="eastAsia" w:ascii="宋体" w:hAnsi="宋体"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905" w:type="pct"/>
            <w:vMerge w:val="continue"/>
            <w:vAlign w:val="center"/>
          </w:tcPr>
          <w:p>
            <w:pPr>
              <w:widowControl/>
              <w:autoSpaceDE/>
              <w:autoSpaceDN/>
              <w:adjustRightInd/>
              <w:rPr>
                <w:rFonts w:ascii="仿宋" w:hAnsi="仿宋" w:eastAsia="仿宋" w:cs="宋体"/>
                <w:color w:val="auto"/>
              </w:rPr>
            </w:pPr>
          </w:p>
        </w:tc>
        <w:tc>
          <w:tcPr>
            <w:tcW w:w="2898" w:type="pct"/>
            <w:gridSpan w:val="2"/>
            <w:shd w:val="clear" w:color="auto" w:fill="auto"/>
            <w:vAlign w:val="center"/>
          </w:tcPr>
          <w:p>
            <w:pPr>
              <w:widowControl/>
              <w:autoSpaceDE/>
              <w:autoSpaceDN/>
              <w:adjustRightInd/>
              <w:rPr>
                <w:rFonts w:hint="eastAsia" w:ascii="仿宋" w:hAnsi="仿宋" w:eastAsia="仿宋" w:cs="宋体"/>
                <w:color w:val="auto"/>
                <w:lang w:eastAsia="zh-CN"/>
              </w:rPr>
            </w:pPr>
            <w:r>
              <w:rPr>
                <w:rFonts w:hint="eastAsia" w:ascii="仿宋" w:hAnsi="仿宋" w:eastAsia="仿宋" w:cs="宋体"/>
                <w:color w:val="auto"/>
              </w:rPr>
              <w:t>责令改正</w:t>
            </w:r>
            <w:r>
              <w:rPr>
                <w:rFonts w:hint="eastAsia" w:ascii="仿宋" w:hAnsi="仿宋" w:eastAsia="仿宋" w:cs="宋体"/>
                <w:color w:val="auto"/>
                <w:lang w:eastAsia="zh-CN"/>
              </w:rPr>
              <w:t>，</w:t>
            </w:r>
            <w:r>
              <w:rPr>
                <w:rFonts w:hint="eastAsia" w:ascii="仿宋" w:hAnsi="仿宋" w:eastAsia="仿宋" w:cs="宋体"/>
                <w:color w:val="auto"/>
              </w:rPr>
              <w:t>扣</w:t>
            </w:r>
            <w:r>
              <w:rPr>
                <w:rFonts w:hint="eastAsia" w:ascii="仿宋" w:hAnsi="仿宋" w:eastAsia="仿宋" w:cs="宋体"/>
                <w:color w:val="auto"/>
                <w:lang w:val="en-US" w:eastAsia="zh-CN"/>
              </w:rPr>
              <w:t>25</w:t>
            </w:r>
            <w:r>
              <w:rPr>
                <w:rFonts w:hint="eastAsia" w:ascii="仿宋" w:hAnsi="仿宋" w:eastAsia="仿宋" w:cs="宋体"/>
                <w:color w:val="auto"/>
              </w:rPr>
              <w:t>分</w:t>
            </w:r>
          </w:p>
        </w:tc>
        <w:tc>
          <w:tcPr>
            <w:tcW w:w="915" w:type="pct"/>
            <w:shd w:val="clear" w:color="auto" w:fill="auto"/>
            <w:noWrap/>
            <w:vAlign w:val="center"/>
          </w:tcPr>
          <w:p>
            <w:pPr>
              <w:widowControl/>
              <w:autoSpaceDE/>
              <w:autoSpaceDN/>
              <w:adjustRightInd/>
              <w:rPr>
                <w:rFonts w:ascii="宋体" w:hAnsi="宋体" w:cs="宋体"/>
                <w:color w:val="auto"/>
              </w:rPr>
            </w:pPr>
            <w:r>
              <w:rPr>
                <w:rFonts w:hint="eastAsia" w:ascii="宋体" w:hAnsi="宋体"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905" w:type="pct"/>
            <w:vMerge w:val="continue"/>
            <w:vAlign w:val="center"/>
          </w:tcPr>
          <w:p>
            <w:pPr>
              <w:widowControl/>
              <w:autoSpaceDE/>
              <w:autoSpaceDN/>
              <w:adjustRightInd/>
              <w:rPr>
                <w:rFonts w:ascii="仿宋" w:hAnsi="仿宋" w:eastAsia="仿宋" w:cs="宋体"/>
                <w:color w:val="auto"/>
              </w:rPr>
            </w:pPr>
          </w:p>
        </w:tc>
        <w:tc>
          <w:tcPr>
            <w:tcW w:w="2898" w:type="pct"/>
            <w:gridSpan w:val="2"/>
            <w:shd w:val="clear" w:color="auto" w:fill="auto"/>
            <w:vAlign w:val="center"/>
          </w:tcPr>
          <w:p>
            <w:pPr>
              <w:widowControl/>
              <w:autoSpaceDE/>
              <w:autoSpaceDN/>
              <w:adjustRightInd/>
              <w:rPr>
                <w:rFonts w:hint="eastAsia" w:ascii="仿宋" w:hAnsi="仿宋" w:eastAsia="仿宋" w:cs="宋体"/>
                <w:color w:val="auto"/>
                <w:lang w:eastAsia="zh-CN"/>
              </w:rPr>
            </w:pPr>
            <w:r>
              <w:rPr>
                <w:rFonts w:hint="eastAsia" w:ascii="仿宋" w:hAnsi="仿宋" w:eastAsia="仿宋" w:cs="宋体"/>
                <w:color w:val="auto"/>
              </w:rPr>
              <w:t>出具警示函</w:t>
            </w:r>
            <w:r>
              <w:rPr>
                <w:rFonts w:hint="eastAsia" w:ascii="仿宋" w:hAnsi="仿宋" w:eastAsia="仿宋" w:cs="宋体"/>
                <w:color w:val="auto"/>
                <w:lang w:eastAsia="zh-CN"/>
              </w:rPr>
              <w:t>，</w:t>
            </w:r>
            <w:r>
              <w:rPr>
                <w:rFonts w:hint="eastAsia" w:ascii="仿宋" w:hAnsi="仿宋" w:eastAsia="仿宋" w:cs="宋体"/>
                <w:color w:val="auto"/>
              </w:rPr>
              <w:t>扣</w:t>
            </w:r>
            <w:r>
              <w:rPr>
                <w:rFonts w:hint="eastAsia" w:ascii="仿宋" w:hAnsi="仿宋" w:eastAsia="仿宋" w:cs="宋体"/>
                <w:color w:val="auto"/>
                <w:lang w:val="en-US" w:eastAsia="zh-CN"/>
              </w:rPr>
              <w:t>15</w:t>
            </w:r>
            <w:r>
              <w:rPr>
                <w:rFonts w:hint="eastAsia" w:ascii="仿宋" w:hAnsi="仿宋" w:eastAsia="仿宋" w:cs="宋体"/>
                <w:color w:val="auto"/>
              </w:rPr>
              <w:t>分</w:t>
            </w:r>
          </w:p>
        </w:tc>
        <w:tc>
          <w:tcPr>
            <w:tcW w:w="915" w:type="pct"/>
            <w:shd w:val="clear" w:color="auto" w:fill="auto"/>
            <w:noWrap/>
            <w:vAlign w:val="center"/>
          </w:tcPr>
          <w:p>
            <w:pPr>
              <w:widowControl/>
              <w:autoSpaceDE/>
              <w:autoSpaceDN/>
              <w:adjustRightInd/>
              <w:rPr>
                <w:rFonts w:ascii="宋体" w:hAnsi="宋体" w:cs="宋体"/>
                <w:color w:val="auto"/>
              </w:rPr>
            </w:pPr>
            <w:r>
              <w:rPr>
                <w:rFonts w:hint="eastAsia" w:ascii="宋体" w:hAnsi="宋体"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905" w:type="pct"/>
            <w:vMerge w:val="restart"/>
            <w:shd w:val="clear" w:color="auto" w:fill="auto"/>
            <w:vAlign w:val="center"/>
          </w:tcPr>
          <w:p>
            <w:pPr>
              <w:widowControl/>
              <w:autoSpaceDE/>
              <w:autoSpaceDN/>
              <w:adjustRightInd/>
              <w:jc w:val="both"/>
              <w:rPr>
                <w:rFonts w:ascii="仿宋" w:hAnsi="仿宋" w:eastAsia="仿宋" w:cs="宋体"/>
                <w:color w:val="auto"/>
              </w:rPr>
            </w:pPr>
            <w:r>
              <w:rPr>
                <w:rFonts w:hint="eastAsia" w:ascii="仿宋" w:hAnsi="仿宋" w:eastAsia="仿宋" w:cs="宋体"/>
                <w:color w:val="auto"/>
                <w:lang w:val="en-US" w:eastAsia="zh-CN"/>
              </w:rPr>
              <w:t>5</w:t>
            </w:r>
            <w:r>
              <w:rPr>
                <w:rFonts w:hint="eastAsia" w:ascii="仿宋" w:hAnsi="仿宋" w:eastAsia="仿宋" w:cs="宋体"/>
                <w:color w:val="auto"/>
              </w:rPr>
              <w:t>.保荐机构因保荐项目被证券交易所采取自律</w:t>
            </w:r>
            <w:r>
              <w:rPr>
                <w:rFonts w:hint="eastAsia" w:ascii="仿宋" w:hAnsi="仿宋" w:eastAsia="仿宋" w:cs="宋体"/>
                <w:color w:val="auto"/>
                <w:lang w:eastAsia="zh-CN"/>
              </w:rPr>
              <w:t>监管</w:t>
            </w:r>
            <w:r>
              <w:rPr>
                <w:rFonts w:hint="eastAsia" w:ascii="仿宋" w:hAnsi="仿宋" w:eastAsia="仿宋" w:cs="宋体"/>
                <w:color w:val="auto"/>
              </w:rPr>
              <w:t>措施、纪律处分</w:t>
            </w:r>
          </w:p>
        </w:tc>
        <w:tc>
          <w:tcPr>
            <w:tcW w:w="2898" w:type="pct"/>
            <w:gridSpan w:val="2"/>
            <w:shd w:val="clear" w:color="auto" w:fill="auto"/>
            <w:vAlign w:val="center"/>
          </w:tcPr>
          <w:p>
            <w:pPr>
              <w:widowControl/>
              <w:autoSpaceDE/>
              <w:autoSpaceDN/>
              <w:adjustRightInd/>
              <w:rPr>
                <w:rFonts w:hint="eastAsia" w:ascii="仿宋" w:hAnsi="仿宋" w:eastAsia="仿宋" w:cs="宋体"/>
                <w:color w:val="auto"/>
                <w:lang w:eastAsia="zh-CN"/>
              </w:rPr>
            </w:pPr>
            <w:r>
              <w:rPr>
                <w:rFonts w:hint="eastAsia" w:ascii="仿宋" w:hAnsi="仿宋" w:eastAsia="仿宋" w:cs="宋体"/>
                <w:color w:val="auto"/>
              </w:rPr>
              <w:t>暂不受理</w:t>
            </w:r>
            <w:r>
              <w:rPr>
                <w:rFonts w:hint="default" w:ascii="仿宋" w:hAnsi="仿宋" w:eastAsia="仿宋" w:cs="宋体"/>
                <w:color w:val="auto"/>
              </w:rPr>
              <w:t>相关机构或者其从业人员提交的相关文件</w:t>
            </w:r>
            <w:r>
              <w:rPr>
                <w:rFonts w:hint="eastAsia" w:ascii="仿宋" w:hAnsi="仿宋" w:eastAsia="仿宋" w:cs="宋体"/>
                <w:color w:val="auto"/>
                <w:lang w:eastAsia="zh-CN"/>
              </w:rPr>
              <w:t>，</w:t>
            </w:r>
            <w:r>
              <w:rPr>
                <w:rFonts w:hint="eastAsia" w:ascii="仿宋" w:hAnsi="仿宋" w:eastAsia="仿宋" w:cs="宋体"/>
                <w:color w:val="auto"/>
              </w:rPr>
              <w:t>扣100分</w:t>
            </w:r>
          </w:p>
        </w:tc>
        <w:tc>
          <w:tcPr>
            <w:tcW w:w="915" w:type="pct"/>
            <w:shd w:val="clear" w:color="auto" w:fill="auto"/>
            <w:noWrap/>
            <w:vAlign w:val="center"/>
          </w:tcPr>
          <w:p>
            <w:pPr>
              <w:widowControl/>
              <w:autoSpaceDE/>
              <w:autoSpaceDN/>
              <w:adjustRightInd/>
              <w:rPr>
                <w:rFonts w:ascii="宋体" w:hAnsi="宋体" w:cs="宋体"/>
                <w:color w:val="auto"/>
              </w:rPr>
            </w:pPr>
            <w:r>
              <w:rPr>
                <w:rFonts w:hint="eastAsia" w:ascii="宋体" w:hAnsi="宋体"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905" w:type="pct"/>
            <w:vMerge w:val="continue"/>
            <w:vAlign w:val="center"/>
          </w:tcPr>
          <w:p>
            <w:pPr>
              <w:widowControl/>
              <w:autoSpaceDE/>
              <w:autoSpaceDN/>
              <w:adjustRightInd/>
              <w:rPr>
                <w:rFonts w:ascii="仿宋" w:hAnsi="仿宋" w:eastAsia="仿宋" w:cs="宋体"/>
                <w:color w:val="auto"/>
              </w:rPr>
            </w:pPr>
          </w:p>
        </w:tc>
        <w:tc>
          <w:tcPr>
            <w:tcW w:w="2898" w:type="pct"/>
            <w:gridSpan w:val="2"/>
            <w:shd w:val="clear" w:color="auto" w:fill="auto"/>
            <w:vAlign w:val="center"/>
          </w:tcPr>
          <w:p>
            <w:pPr>
              <w:widowControl/>
              <w:autoSpaceDE/>
              <w:autoSpaceDN/>
              <w:adjustRightInd/>
              <w:rPr>
                <w:rFonts w:hint="eastAsia" w:ascii="仿宋" w:hAnsi="仿宋" w:eastAsia="仿宋" w:cs="宋体"/>
                <w:color w:val="auto"/>
                <w:lang w:eastAsia="zh-CN"/>
              </w:rPr>
            </w:pPr>
            <w:r>
              <w:rPr>
                <w:rFonts w:hint="eastAsia" w:ascii="仿宋" w:hAnsi="仿宋" w:eastAsia="仿宋" w:cs="宋体"/>
                <w:color w:val="auto"/>
              </w:rPr>
              <w:t>公开谴责</w:t>
            </w:r>
            <w:r>
              <w:rPr>
                <w:rFonts w:hint="eastAsia" w:ascii="仿宋" w:hAnsi="仿宋" w:eastAsia="仿宋" w:cs="宋体"/>
                <w:color w:val="auto"/>
                <w:lang w:eastAsia="zh-CN"/>
              </w:rPr>
              <w:t>，</w:t>
            </w:r>
            <w:r>
              <w:rPr>
                <w:rFonts w:hint="eastAsia" w:ascii="仿宋" w:hAnsi="仿宋" w:eastAsia="仿宋" w:cs="宋体"/>
                <w:color w:val="auto"/>
              </w:rPr>
              <w:t>扣</w:t>
            </w:r>
            <w:r>
              <w:rPr>
                <w:rFonts w:hint="eastAsia" w:ascii="仿宋" w:hAnsi="仿宋" w:eastAsia="仿宋" w:cs="宋体"/>
                <w:color w:val="auto"/>
                <w:lang w:val="en-US" w:eastAsia="zh-CN"/>
              </w:rPr>
              <w:t>60</w:t>
            </w:r>
            <w:r>
              <w:rPr>
                <w:rFonts w:hint="eastAsia" w:ascii="仿宋" w:hAnsi="仿宋" w:eastAsia="仿宋" w:cs="宋体"/>
                <w:color w:val="auto"/>
              </w:rPr>
              <w:t>分</w:t>
            </w:r>
          </w:p>
        </w:tc>
        <w:tc>
          <w:tcPr>
            <w:tcW w:w="915" w:type="pct"/>
            <w:shd w:val="clear" w:color="auto" w:fill="auto"/>
            <w:noWrap/>
            <w:vAlign w:val="center"/>
          </w:tcPr>
          <w:p>
            <w:pPr>
              <w:widowControl/>
              <w:autoSpaceDE/>
              <w:autoSpaceDN/>
              <w:adjustRightInd/>
              <w:rPr>
                <w:rFonts w:ascii="宋体" w:hAnsi="宋体" w:cs="宋体"/>
                <w:color w:val="auto"/>
              </w:rPr>
            </w:pPr>
            <w:r>
              <w:rPr>
                <w:rFonts w:hint="eastAsia" w:ascii="宋体" w:hAnsi="宋体"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905" w:type="pct"/>
            <w:vMerge w:val="continue"/>
            <w:vAlign w:val="center"/>
          </w:tcPr>
          <w:p>
            <w:pPr>
              <w:widowControl/>
              <w:autoSpaceDE/>
              <w:autoSpaceDN/>
              <w:adjustRightInd/>
              <w:rPr>
                <w:rFonts w:ascii="仿宋" w:hAnsi="仿宋" w:eastAsia="仿宋" w:cs="宋体"/>
                <w:color w:val="auto"/>
              </w:rPr>
            </w:pPr>
          </w:p>
        </w:tc>
        <w:tc>
          <w:tcPr>
            <w:tcW w:w="2898" w:type="pct"/>
            <w:gridSpan w:val="2"/>
            <w:shd w:val="clear" w:color="auto" w:fill="auto"/>
            <w:vAlign w:val="center"/>
          </w:tcPr>
          <w:p>
            <w:pPr>
              <w:widowControl/>
              <w:autoSpaceDE/>
              <w:autoSpaceDN/>
              <w:adjustRightInd/>
              <w:rPr>
                <w:rFonts w:hint="eastAsia" w:ascii="仿宋" w:hAnsi="仿宋" w:eastAsia="仿宋" w:cs="宋体"/>
                <w:color w:val="auto"/>
                <w:lang w:eastAsia="zh-CN"/>
              </w:rPr>
            </w:pPr>
            <w:r>
              <w:rPr>
                <w:rFonts w:hint="eastAsia" w:ascii="仿宋" w:hAnsi="仿宋" w:eastAsia="仿宋" w:cs="宋体"/>
                <w:color w:val="auto"/>
              </w:rPr>
              <w:t>通报批评</w:t>
            </w:r>
            <w:r>
              <w:rPr>
                <w:rFonts w:hint="eastAsia" w:ascii="仿宋" w:hAnsi="仿宋" w:eastAsia="仿宋" w:cs="宋体"/>
                <w:color w:val="auto"/>
                <w:lang w:eastAsia="zh-CN"/>
              </w:rPr>
              <w:t>，</w:t>
            </w:r>
            <w:r>
              <w:rPr>
                <w:rFonts w:hint="eastAsia" w:ascii="仿宋" w:hAnsi="仿宋" w:eastAsia="仿宋" w:cs="宋体"/>
                <w:color w:val="auto"/>
              </w:rPr>
              <w:t>扣</w:t>
            </w:r>
            <w:r>
              <w:rPr>
                <w:rFonts w:hint="eastAsia" w:ascii="仿宋" w:hAnsi="仿宋" w:eastAsia="仿宋" w:cs="宋体"/>
                <w:color w:val="auto"/>
                <w:lang w:val="en-US" w:eastAsia="zh-CN"/>
              </w:rPr>
              <w:t>30</w:t>
            </w:r>
            <w:r>
              <w:rPr>
                <w:rFonts w:hint="eastAsia" w:ascii="仿宋" w:hAnsi="仿宋" w:eastAsia="仿宋" w:cs="宋体"/>
                <w:color w:val="auto"/>
              </w:rPr>
              <w:t>分</w:t>
            </w:r>
          </w:p>
        </w:tc>
        <w:tc>
          <w:tcPr>
            <w:tcW w:w="915" w:type="pct"/>
            <w:shd w:val="clear" w:color="auto" w:fill="auto"/>
            <w:noWrap/>
            <w:vAlign w:val="center"/>
          </w:tcPr>
          <w:p>
            <w:pPr>
              <w:widowControl/>
              <w:autoSpaceDE/>
              <w:autoSpaceDN/>
              <w:adjustRightInd/>
              <w:rPr>
                <w:rFonts w:ascii="宋体" w:hAnsi="宋体" w:cs="宋体"/>
                <w:color w:val="auto"/>
              </w:rPr>
            </w:pPr>
            <w:r>
              <w:rPr>
                <w:rFonts w:hint="eastAsia" w:ascii="宋体" w:hAnsi="宋体"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905" w:type="pct"/>
            <w:vMerge w:val="continue"/>
            <w:vAlign w:val="center"/>
          </w:tcPr>
          <w:p>
            <w:pPr>
              <w:widowControl/>
              <w:autoSpaceDE/>
              <w:autoSpaceDN/>
              <w:adjustRightInd/>
              <w:rPr>
                <w:rFonts w:ascii="仿宋" w:hAnsi="仿宋" w:eastAsia="仿宋" w:cs="宋体"/>
                <w:color w:val="auto"/>
              </w:rPr>
            </w:pPr>
          </w:p>
        </w:tc>
        <w:tc>
          <w:tcPr>
            <w:tcW w:w="2898" w:type="pct"/>
            <w:gridSpan w:val="2"/>
            <w:shd w:val="clear" w:color="auto" w:fill="auto"/>
            <w:vAlign w:val="center"/>
          </w:tcPr>
          <w:p>
            <w:pPr>
              <w:widowControl/>
              <w:autoSpaceDE/>
              <w:autoSpaceDN/>
              <w:adjustRightInd/>
              <w:rPr>
                <w:rFonts w:hint="eastAsia" w:ascii="仿宋" w:hAnsi="仿宋" w:eastAsia="仿宋" w:cs="宋体"/>
                <w:color w:val="auto"/>
                <w:lang w:eastAsia="zh-CN"/>
              </w:rPr>
            </w:pPr>
            <w:r>
              <w:rPr>
                <w:rFonts w:hint="eastAsia" w:ascii="仿宋" w:hAnsi="仿宋" w:eastAsia="仿宋" w:cs="宋体"/>
                <w:color w:val="auto"/>
              </w:rPr>
              <w:t>自律监管措施</w:t>
            </w:r>
            <w:r>
              <w:rPr>
                <w:rFonts w:hint="eastAsia" w:ascii="仿宋" w:hAnsi="仿宋" w:eastAsia="仿宋" w:cs="宋体"/>
                <w:color w:val="auto"/>
                <w:lang w:eastAsia="zh-CN"/>
              </w:rPr>
              <w:t>，</w:t>
            </w:r>
            <w:r>
              <w:rPr>
                <w:rFonts w:hint="eastAsia" w:ascii="仿宋" w:hAnsi="仿宋" w:eastAsia="仿宋" w:cs="宋体"/>
                <w:color w:val="auto"/>
              </w:rPr>
              <w:t>扣</w:t>
            </w:r>
            <w:r>
              <w:rPr>
                <w:rFonts w:hint="eastAsia" w:ascii="仿宋" w:hAnsi="仿宋" w:eastAsia="仿宋" w:cs="宋体"/>
                <w:color w:val="auto"/>
                <w:lang w:val="en-US" w:eastAsia="zh-CN"/>
              </w:rPr>
              <w:t>20</w:t>
            </w:r>
            <w:r>
              <w:rPr>
                <w:rFonts w:hint="eastAsia" w:ascii="仿宋" w:hAnsi="仿宋" w:eastAsia="仿宋" w:cs="宋体"/>
                <w:color w:val="auto"/>
              </w:rPr>
              <w:t>分</w:t>
            </w:r>
          </w:p>
        </w:tc>
        <w:tc>
          <w:tcPr>
            <w:tcW w:w="915" w:type="pct"/>
            <w:shd w:val="clear" w:color="auto" w:fill="auto"/>
            <w:noWrap/>
            <w:vAlign w:val="center"/>
          </w:tcPr>
          <w:p>
            <w:pPr>
              <w:widowControl/>
              <w:autoSpaceDE/>
              <w:autoSpaceDN/>
              <w:adjustRightInd/>
              <w:rPr>
                <w:rFonts w:ascii="宋体" w:hAnsi="宋体" w:cs="宋体"/>
                <w:color w:val="auto"/>
              </w:rPr>
            </w:pPr>
            <w:r>
              <w:rPr>
                <w:rFonts w:hint="eastAsia" w:ascii="宋体" w:hAnsi="宋体"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3803" w:type="pct"/>
            <w:gridSpan w:val="3"/>
            <w:shd w:val="clear" w:color="auto" w:fill="auto"/>
            <w:vAlign w:val="center"/>
          </w:tcPr>
          <w:p>
            <w:pPr>
              <w:widowControl/>
              <w:autoSpaceDE/>
              <w:autoSpaceDN/>
              <w:adjustRightInd/>
              <w:rPr>
                <w:rFonts w:ascii="仿宋" w:hAnsi="仿宋" w:eastAsia="仿宋" w:cs="宋体"/>
                <w:color w:val="auto"/>
              </w:rPr>
            </w:pPr>
            <w:r>
              <w:rPr>
                <w:rFonts w:hint="eastAsia" w:ascii="仿宋" w:hAnsi="仿宋" w:eastAsia="仿宋" w:cs="宋体"/>
                <w:color w:val="auto"/>
                <w:lang w:val="en-US" w:eastAsia="zh-CN"/>
              </w:rPr>
              <w:t>6</w:t>
            </w:r>
            <w:r>
              <w:rPr>
                <w:rFonts w:hint="eastAsia" w:ascii="仿宋" w:hAnsi="仿宋" w:eastAsia="仿宋" w:cs="宋体"/>
                <w:color w:val="auto"/>
              </w:rPr>
              <w:t>.保荐机构相关人员因保荐项目被证券交易所采取自律监管措施、纪律处分,按第</w:t>
            </w:r>
            <w:r>
              <w:rPr>
                <w:rFonts w:hint="default" w:ascii="仿宋" w:hAnsi="仿宋" w:eastAsia="仿宋" w:cs="宋体"/>
                <w:color w:val="auto"/>
                <w:lang w:val="en"/>
              </w:rPr>
              <w:t>5</w:t>
            </w:r>
            <w:r>
              <w:rPr>
                <w:rFonts w:hint="eastAsia" w:ascii="仿宋" w:hAnsi="仿宋" w:eastAsia="仿宋" w:cs="宋体"/>
                <w:color w:val="auto"/>
              </w:rPr>
              <w:t>项原则减半扣分</w:t>
            </w:r>
          </w:p>
        </w:tc>
        <w:tc>
          <w:tcPr>
            <w:tcW w:w="915" w:type="pct"/>
            <w:shd w:val="clear" w:color="auto" w:fill="auto"/>
            <w:noWrap/>
            <w:vAlign w:val="center"/>
          </w:tcPr>
          <w:p>
            <w:pPr>
              <w:widowControl/>
              <w:autoSpaceDE/>
              <w:autoSpaceDN/>
              <w:adjustRightInd/>
              <w:rPr>
                <w:rFonts w:ascii="宋体" w:hAnsi="宋体" w:cs="宋体"/>
                <w:color w:val="auto"/>
              </w:rPr>
            </w:pPr>
            <w:r>
              <w:rPr>
                <w:rFonts w:hint="eastAsia" w:ascii="宋体" w:hAnsi="宋体"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4718" w:type="pct"/>
            <w:gridSpan w:val="4"/>
            <w:shd w:val="clear" w:color="000000" w:fill="D9D9D9"/>
            <w:vAlign w:val="center"/>
          </w:tcPr>
          <w:p>
            <w:pPr>
              <w:widowControl/>
              <w:autoSpaceDE/>
              <w:autoSpaceDN/>
              <w:adjustRightInd/>
              <w:rPr>
                <w:rFonts w:hint="eastAsia" w:ascii="仿宋" w:hAnsi="仿宋" w:eastAsia="仿宋" w:cs="宋体"/>
                <w:color w:val="auto"/>
                <w:lang w:eastAsia="zh-CN"/>
              </w:rPr>
            </w:pPr>
            <w:r>
              <w:rPr>
                <w:rFonts w:hint="eastAsia" w:ascii="仿宋" w:hAnsi="仿宋" w:eastAsia="仿宋" w:cs="宋体"/>
                <w:color w:val="auto"/>
              </w:rPr>
              <w:t>负面事项：审核（含注册）环节发现的负面行为记录</w:t>
            </w:r>
            <w:r>
              <w:rPr>
                <w:rFonts w:hint="eastAsia" w:ascii="仿宋" w:hAnsi="仿宋" w:eastAsia="仿宋" w:cs="宋体"/>
                <w:color w:val="auto"/>
                <w:lang w:eastAsia="zh-CN"/>
              </w:rPr>
              <w:t>（</w:t>
            </w:r>
            <w:r>
              <w:rPr>
                <w:rFonts w:hint="default" w:ascii="仿宋" w:hAnsi="仿宋" w:eastAsia="仿宋" w:cs="宋体"/>
                <w:color w:val="auto"/>
                <w:lang w:eastAsia="zh-CN"/>
              </w:rPr>
              <w:t>若被采取监管工作措施可以在该项扣分限额内，按不超过扣分标准的2倍扣分</w:t>
            </w:r>
            <w:r>
              <w:rPr>
                <w:rFonts w:hint="eastAsia" w:ascii="仿宋" w:hAnsi="仿宋" w:eastAsia="仿宋" w:cs="宋体"/>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905" w:type="pct"/>
            <w:vMerge w:val="restart"/>
            <w:shd w:val="clear" w:color="auto" w:fill="auto"/>
            <w:vAlign w:val="center"/>
          </w:tcPr>
          <w:p>
            <w:pPr>
              <w:widowControl/>
              <w:autoSpaceDE/>
              <w:autoSpaceDN/>
              <w:adjustRightInd/>
              <w:jc w:val="both"/>
              <w:rPr>
                <w:rFonts w:ascii="仿宋" w:hAnsi="仿宋" w:eastAsia="仿宋" w:cs="宋体"/>
                <w:color w:val="auto"/>
              </w:rPr>
            </w:pPr>
            <w:r>
              <w:rPr>
                <w:rFonts w:hint="eastAsia" w:ascii="仿宋" w:hAnsi="仿宋" w:eastAsia="仿宋" w:cs="宋体"/>
                <w:color w:val="auto"/>
                <w:lang w:val="en-US" w:eastAsia="zh-CN"/>
              </w:rPr>
              <w:t>7.</w:t>
            </w:r>
            <w:r>
              <w:rPr>
                <w:rFonts w:hint="eastAsia" w:ascii="仿宋" w:hAnsi="仿宋" w:eastAsia="仿宋" w:cs="宋体"/>
                <w:color w:val="auto"/>
              </w:rPr>
              <w:t>申报文件存在一般质量问题，本项最多扣20分</w:t>
            </w:r>
          </w:p>
        </w:tc>
        <w:tc>
          <w:tcPr>
            <w:tcW w:w="918" w:type="pct"/>
            <w:vMerge w:val="restart"/>
            <w:shd w:val="clear" w:color="auto" w:fill="auto"/>
            <w:vAlign w:val="center"/>
          </w:tcPr>
          <w:p>
            <w:pPr>
              <w:widowControl/>
              <w:autoSpaceDE/>
              <w:autoSpaceDN/>
              <w:adjustRightInd/>
              <w:rPr>
                <w:rFonts w:ascii="仿宋" w:hAnsi="仿宋" w:eastAsia="仿宋" w:cs="宋体"/>
                <w:color w:val="auto"/>
              </w:rPr>
            </w:pPr>
            <w:r>
              <w:rPr>
                <w:rFonts w:hint="eastAsia" w:ascii="仿宋" w:hAnsi="仿宋" w:eastAsia="仿宋" w:cs="宋体"/>
                <w:color w:val="auto"/>
              </w:rPr>
              <w:t>招股说明书、募集说明书、非公开发行预案等招股文件信息披露不符合准则规定</w:t>
            </w:r>
          </w:p>
        </w:tc>
        <w:tc>
          <w:tcPr>
            <w:tcW w:w="1980" w:type="pct"/>
            <w:shd w:val="clear" w:color="auto" w:fill="auto"/>
            <w:vAlign w:val="center"/>
          </w:tcPr>
          <w:p>
            <w:pPr>
              <w:widowControl/>
              <w:autoSpaceDE/>
              <w:autoSpaceDN/>
              <w:adjustRightInd/>
              <w:rPr>
                <w:rFonts w:ascii="仿宋" w:hAnsi="仿宋" w:eastAsia="仿宋" w:cs="宋体"/>
                <w:color w:val="auto"/>
              </w:rPr>
            </w:pPr>
            <w:r>
              <w:rPr>
                <w:rFonts w:hint="eastAsia" w:ascii="仿宋" w:hAnsi="仿宋" w:eastAsia="仿宋" w:cs="宋体"/>
                <w:color w:val="auto"/>
              </w:rPr>
              <w:t>关联方、关联交易披露不准确、不完整</w:t>
            </w:r>
          </w:p>
        </w:tc>
        <w:tc>
          <w:tcPr>
            <w:tcW w:w="915" w:type="pct"/>
            <w:vMerge w:val="restart"/>
            <w:shd w:val="clear" w:color="auto" w:fill="auto"/>
            <w:vAlign w:val="center"/>
          </w:tcPr>
          <w:p>
            <w:pPr>
              <w:widowControl/>
              <w:autoSpaceDE/>
              <w:autoSpaceDN/>
              <w:adjustRightInd/>
              <w:jc w:val="left"/>
              <w:rPr>
                <w:rFonts w:ascii="仿宋" w:hAnsi="仿宋" w:eastAsia="仿宋" w:cs="宋体"/>
                <w:color w:val="auto"/>
              </w:rPr>
            </w:pPr>
            <w:r>
              <w:rPr>
                <w:rFonts w:hint="eastAsia" w:ascii="仿宋" w:hAnsi="仿宋" w:eastAsia="仿宋" w:cs="宋体"/>
                <w:color w:val="auto"/>
              </w:rPr>
              <w:t>考虑性质及重要性程度，扣0.5-3分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905" w:type="pct"/>
            <w:vMerge w:val="continue"/>
            <w:vAlign w:val="center"/>
          </w:tcPr>
          <w:p>
            <w:pPr>
              <w:widowControl/>
              <w:autoSpaceDE/>
              <w:autoSpaceDN/>
              <w:adjustRightInd/>
              <w:rPr>
                <w:rFonts w:ascii="仿宋" w:hAnsi="仿宋" w:eastAsia="仿宋" w:cs="宋体"/>
                <w:color w:val="auto"/>
              </w:rPr>
            </w:pPr>
          </w:p>
        </w:tc>
        <w:tc>
          <w:tcPr>
            <w:tcW w:w="918" w:type="pct"/>
            <w:vMerge w:val="continue"/>
            <w:vAlign w:val="center"/>
          </w:tcPr>
          <w:p>
            <w:pPr>
              <w:widowControl/>
              <w:autoSpaceDE/>
              <w:autoSpaceDN/>
              <w:adjustRightInd/>
              <w:rPr>
                <w:rFonts w:ascii="仿宋" w:hAnsi="仿宋" w:eastAsia="仿宋" w:cs="宋体"/>
                <w:color w:val="auto"/>
              </w:rPr>
            </w:pPr>
          </w:p>
        </w:tc>
        <w:tc>
          <w:tcPr>
            <w:tcW w:w="1980" w:type="pct"/>
            <w:shd w:val="clear" w:color="auto" w:fill="auto"/>
            <w:vAlign w:val="center"/>
          </w:tcPr>
          <w:p>
            <w:pPr>
              <w:widowControl/>
              <w:autoSpaceDE/>
              <w:autoSpaceDN/>
              <w:adjustRightInd/>
              <w:rPr>
                <w:rFonts w:hint="eastAsia" w:ascii="仿宋" w:hAnsi="仿宋" w:eastAsia="仿宋" w:cs="宋体"/>
                <w:color w:val="auto"/>
                <w:lang w:eastAsia="zh-CN"/>
              </w:rPr>
            </w:pPr>
            <w:r>
              <w:rPr>
                <w:rFonts w:hint="eastAsia" w:ascii="仿宋" w:hAnsi="仿宋" w:eastAsia="仿宋" w:cs="宋体"/>
                <w:color w:val="auto"/>
                <w:lang w:eastAsia="zh-CN"/>
              </w:rPr>
              <w:t>重大客户或供应商披露不准确</w:t>
            </w:r>
          </w:p>
        </w:tc>
        <w:tc>
          <w:tcPr>
            <w:tcW w:w="915" w:type="pct"/>
            <w:vMerge w:val="continue"/>
            <w:vAlign w:val="center"/>
          </w:tcPr>
          <w:p>
            <w:pPr>
              <w:widowControl/>
              <w:autoSpaceDE/>
              <w:autoSpaceDN/>
              <w:adjustRightInd/>
              <w:rPr>
                <w:rFonts w:ascii="仿宋" w:hAnsi="仿宋" w:eastAsia="仿宋"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905" w:type="pct"/>
            <w:vMerge w:val="continue"/>
            <w:vAlign w:val="center"/>
          </w:tcPr>
          <w:p>
            <w:pPr>
              <w:widowControl/>
              <w:autoSpaceDE/>
              <w:autoSpaceDN/>
              <w:adjustRightInd/>
              <w:rPr>
                <w:rFonts w:ascii="仿宋" w:hAnsi="仿宋" w:eastAsia="仿宋" w:cs="宋体"/>
                <w:color w:val="auto"/>
              </w:rPr>
            </w:pPr>
          </w:p>
        </w:tc>
        <w:tc>
          <w:tcPr>
            <w:tcW w:w="918" w:type="pct"/>
            <w:vMerge w:val="continue"/>
            <w:vAlign w:val="center"/>
          </w:tcPr>
          <w:p>
            <w:pPr>
              <w:widowControl/>
              <w:autoSpaceDE/>
              <w:autoSpaceDN/>
              <w:adjustRightInd/>
              <w:rPr>
                <w:rFonts w:ascii="仿宋" w:hAnsi="仿宋" w:eastAsia="仿宋" w:cs="宋体"/>
                <w:color w:val="auto"/>
              </w:rPr>
            </w:pPr>
          </w:p>
        </w:tc>
        <w:tc>
          <w:tcPr>
            <w:tcW w:w="1980" w:type="pct"/>
            <w:shd w:val="clear" w:color="auto" w:fill="auto"/>
            <w:vAlign w:val="center"/>
          </w:tcPr>
          <w:p>
            <w:pPr>
              <w:widowControl/>
              <w:autoSpaceDE/>
              <w:autoSpaceDN/>
              <w:adjustRightInd/>
              <w:rPr>
                <w:rFonts w:hint="eastAsia" w:ascii="仿宋" w:hAnsi="仿宋" w:eastAsia="仿宋" w:cs="宋体"/>
                <w:color w:val="auto"/>
                <w:lang w:eastAsia="zh-CN"/>
              </w:rPr>
            </w:pPr>
            <w:r>
              <w:rPr>
                <w:rFonts w:hint="eastAsia" w:ascii="仿宋" w:hAnsi="仿宋" w:eastAsia="仿宋" w:cs="宋体"/>
                <w:color w:val="auto"/>
                <w:lang w:eastAsia="zh-CN"/>
              </w:rPr>
              <w:t>擅自豁免信息披露</w:t>
            </w:r>
          </w:p>
        </w:tc>
        <w:tc>
          <w:tcPr>
            <w:tcW w:w="915" w:type="pct"/>
            <w:vMerge w:val="continue"/>
            <w:vAlign w:val="center"/>
          </w:tcPr>
          <w:p>
            <w:pPr>
              <w:widowControl/>
              <w:autoSpaceDE/>
              <w:autoSpaceDN/>
              <w:adjustRightInd/>
              <w:rPr>
                <w:rFonts w:ascii="仿宋" w:hAnsi="仿宋" w:eastAsia="仿宋"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905" w:type="pct"/>
            <w:vMerge w:val="continue"/>
            <w:vAlign w:val="center"/>
          </w:tcPr>
          <w:p>
            <w:pPr>
              <w:widowControl/>
              <w:autoSpaceDE/>
              <w:autoSpaceDN/>
              <w:adjustRightInd/>
              <w:rPr>
                <w:rFonts w:ascii="仿宋" w:hAnsi="仿宋" w:eastAsia="仿宋" w:cs="宋体"/>
                <w:color w:val="auto"/>
              </w:rPr>
            </w:pPr>
          </w:p>
        </w:tc>
        <w:tc>
          <w:tcPr>
            <w:tcW w:w="918" w:type="pct"/>
            <w:vMerge w:val="continue"/>
            <w:vAlign w:val="center"/>
          </w:tcPr>
          <w:p>
            <w:pPr>
              <w:widowControl/>
              <w:autoSpaceDE/>
              <w:autoSpaceDN/>
              <w:adjustRightInd/>
              <w:rPr>
                <w:rFonts w:ascii="仿宋" w:hAnsi="仿宋" w:eastAsia="仿宋" w:cs="宋体"/>
                <w:color w:val="auto"/>
              </w:rPr>
            </w:pPr>
          </w:p>
        </w:tc>
        <w:tc>
          <w:tcPr>
            <w:tcW w:w="1980" w:type="pct"/>
            <w:shd w:val="clear" w:color="auto" w:fill="auto"/>
            <w:vAlign w:val="center"/>
          </w:tcPr>
          <w:p>
            <w:pPr>
              <w:widowControl/>
              <w:autoSpaceDE/>
              <w:autoSpaceDN/>
              <w:adjustRightInd/>
              <w:jc w:val="both"/>
              <w:rPr>
                <w:rFonts w:hint="eastAsia" w:ascii="仿宋" w:hAnsi="仿宋" w:eastAsia="仿宋" w:cs="宋体"/>
                <w:color w:val="auto"/>
              </w:rPr>
            </w:pPr>
            <w:r>
              <w:rPr>
                <w:rFonts w:hint="eastAsia" w:ascii="仿宋" w:hAnsi="仿宋" w:eastAsia="仿宋" w:cs="宋体"/>
                <w:color w:val="auto"/>
              </w:rPr>
              <w:t>明显冗余，未遵循简明清晰的原则</w:t>
            </w:r>
          </w:p>
        </w:tc>
        <w:tc>
          <w:tcPr>
            <w:tcW w:w="915" w:type="pct"/>
            <w:vMerge w:val="restart"/>
            <w:vAlign w:val="center"/>
          </w:tcPr>
          <w:p>
            <w:pPr>
              <w:widowControl/>
              <w:autoSpaceDE/>
              <w:autoSpaceDN/>
              <w:adjustRightInd/>
              <w:rPr>
                <w:rFonts w:ascii="仿宋" w:hAnsi="仿宋" w:eastAsia="仿宋" w:cs="宋体"/>
                <w:color w:val="auto"/>
              </w:rPr>
            </w:pPr>
            <w:r>
              <w:rPr>
                <w:rFonts w:hint="eastAsia" w:ascii="仿宋" w:hAnsi="仿宋" w:eastAsia="仿宋" w:cs="宋体"/>
                <w:color w:val="auto"/>
              </w:rPr>
              <w:t>考虑性质及重要性程度，扣0.5-2分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905" w:type="pct"/>
            <w:vMerge w:val="continue"/>
            <w:vAlign w:val="center"/>
          </w:tcPr>
          <w:p>
            <w:pPr>
              <w:widowControl/>
              <w:autoSpaceDE/>
              <w:autoSpaceDN/>
              <w:adjustRightInd/>
              <w:rPr>
                <w:rFonts w:ascii="仿宋" w:hAnsi="仿宋" w:eastAsia="仿宋" w:cs="宋体"/>
                <w:color w:val="auto"/>
              </w:rPr>
            </w:pPr>
          </w:p>
        </w:tc>
        <w:tc>
          <w:tcPr>
            <w:tcW w:w="918" w:type="pct"/>
            <w:vMerge w:val="continue"/>
            <w:vAlign w:val="center"/>
          </w:tcPr>
          <w:p>
            <w:pPr>
              <w:widowControl/>
              <w:autoSpaceDE/>
              <w:autoSpaceDN/>
              <w:adjustRightInd/>
              <w:rPr>
                <w:rFonts w:ascii="仿宋" w:hAnsi="仿宋" w:eastAsia="仿宋" w:cs="宋体"/>
                <w:color w:val="auto"/>
              </w:rPr>
            </w:pPr>
          </w:p>
        </w:tc>
        <w:tc>
          <w:tcPr>
            <w:tcW w:w="1980" w:type="pct"/>
            <w:shd w:val="clear" w:color="auto" w:fill="auto"/>
            <w:vAlign w:val="center"/>
          </w:tcPr>
          <w:p>
            <w:pPr>
              <w:widowControl/>
              <w:autoSpaceDE/>
              <w:autoSpaceDN/>
              <w:adjustRightInd/>
              <w:jc w:val="both"/>
              <w:rPr>
                <w:rFonts w:hint="eastAsia" w:ascii="仿宋" w:hAnsi="仿宋" w:eastAsia="仿宋" w:cs="宋体"/>
                <w:color w:val="auto"/>
              </w:rPr>
            </w:pPr>
            <w:r>
              <w:rPr>
                <w:rFonts w:hint="eastAsia" w:ascii="仿宋" w:hAnsi="仿宋" w:eastAsia="仿宋" w:cs="宋体"/>
                <w:color w:val="auto"/>
              </w:rPr>
              <w:t>重大风险遗漏</w:t>
            </w:r>
          </w:p>
        </w:tc>
        <w:tc>
          <w:tcPr>
            <w:tcW w:w="915" w:type="pct"/>
            <w:vMerge w:val="continue"/>
            <w:vAlign w:val="center"/>
          </w:tcPr>
          <w:p>
            <w:pPr>
              <w:widowControl/>
              <w:autoSpaceDE/>
              <w:autoSpaceDN/>
              <w:adjustRightInd/>
              <w:rPr>
                <w:rFonts w:ascii="仿宋" w:hAnsi="仿宋" w:eastAsia="仿宋"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905" w:type="pct"/>
            <w:vMerge w:val="continue"/>
            <w:vAlign w:val="center"/>
          </w:tcPr>
          <w:p>
            <w:pPr>
              <w:widowControl/>
              <w:autoSpaceDE/>
              <w:autoSpaceDN/>
              <w:adjustRightInd/>
              <w:rPr>
                <w:rFonts w:ascii="仿宋" w:hAnsi="仿宋" w:eastAsia="仿宋" w:cs="宋体"/>
                <w:color w:val="auto"/>
              </w:rPr>
            </w:pPr>
          </w:p>
        </w:tc>
        <w:tc>
          <w:tcPr>
            <w:tcW w:w="918" w:type="pct"/>
            <w:vMerge w:val="continue"/>
            <w:vAlign w:val="center"/>
          </w:tcPr>
          <w:p>
            <w:pPr>
              <w:widowControl/>
              <w:autoSpaceDE/>
              <w:autoSpaceDN/>
              <w:adjustRightInd/>
              <w:rPr>
                <w:rFonts w:ascii="仿宋" w:hAnsi="仿宋" w:eastAsia="仿宋" w:cs="宋体"/>
                <w:color w:val="auto"/>
              </w:rPr>
            </w:pPr>
          </w:p>
        </w:tc>
        <w:tc>
          <w:tcPr>
            <w:tcW w:w="1980" w:type="pct"/>
            <w:shd w:val="clear" w:color="auto" w:fill="auto"/>
            <w:vAlign w:val="center"/>
          </w:tcPr>
          <w:p>
            <w:pPr>
              <w:widowControl/>
              <w:autoSpaceDE/>
              <w:autoSpaceDN/>
              <w:adjustRightInd/>
              <w:jc w:val="both"/>
              <w:rPr>
                <w:rFonts w:hint="eastAsia" w:ascii="仿宋" w:hAnsi="仿宋" w:eastAsia="仿宋" w:cs="宋体"/>
                <w:color w:val="auto"/>
              </w:rPr>
            </w:pPr>
            <w:r>
              <w:rPr>
                <w:rFonts w:hint="eastAsia" w:ascii="仿宋" w:hAnsi="仿宋" w:eastAsia="仿宋" w:cs="宋体"/>
                <w:color w:val="auto"/>
              </w:rPr>
              <w:t>未如实客观表述业务与技术、产品特点等</w:t>
            </w:r>
          </w:p>
        </w:tc>
        <w:tc>
          <w:tcPr>
            <w:tcW w:w="915" w:type="pct"/>
            <w:vMerge w:val="continue"/>
            <w:vAlign w:val="center"/>
          </w:tcPr>
          <w:p>
            <w:pPr>
              <w:widowControl/>
              <w:autoSpaceDE/>
              <w:autoSpaceDN/>
              <w:adjustRightInd/>
              <w:rPr>
                <w:rFonts w:ascii="仿宋" w:hAnsi="仿宋" w:eastAsia="仿宋"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905" w:type="pct"/>
            <w:vMerge w:val="continue"/>
            <w:vAlign w:val="center"/>
          </w:tcPr>
          <w:p>
            <w:pPr>
              <w:widowControl/>
              <w:autoSpaceDE/>
              <w:autoSpaceDN/>
              <w:adjustRightInd/>
              <w:rPr>
                <w:rFonts w:ascii="仿宋" w:hAnsi="仿宋" w:eastAsia="仿宋" w:cs="宋体"/>
                <w:color w:val="auto"/>
              </w:rPr>
            </w:pPr>
          </w:p>
        </w:tc>
        <w:tc>
          <w:tcPr>
            <w:tcW w:w="918" w:type="pct"/>
            <w:vMerge w:val="continue"/>
            <w:vAlign w:val="center"/>
          </w:tcPr>
          <w:p>
            <w:pPr>
              <w:widowControl/>
              <w:autoSpaceDE/>
              <w:autoSpaceDN/>
              <w:adjustRightInd/>
              <w:rPr>
                <w:rFonts w:ascii="仿宋" w:hAnsi="仿宋" w:eastAsia="仿宋" w:cs="宋体"/>
                <w:color w:val="auto"/>
              </w:rPr>
            </w:pPr>
          </w:p>
        </w:tc>
        <w:tc>
          <w:tcPr>
            <w:tcW w:w="1980" w:type="pct"/>
            <w:shd w:val="clear" w:color="auto" w:fill="auto"/>
            <w:vAlign w:val="center"/>
          </w:tcPr>
          <w:p>
            <w:pPr>
              <w:widowControl/>
              <w:autoSpaceDE/>
              <w:autoSpaceDN/>
              <w:adjustRightInd/>
              <w:jc w:val="both"/>
              <w:rPr>
                <w:rFonts w:hint="eastAsia" w:ascii="仿宋" w:hAnsi="仿宋" w:eastAsia="仿宋" w:cs="宋体"/>
                <w:color w:val="auto"/>
              </w:rPr>
            </w:pPr>
            <w:r>
              <w:rPr>
                <w:rFonts w:hint="eastAsia" w:ascii="仿宋" w:hAnsi="仿宋" w:eastAsia="仿宋" w:cs="宋体"/>
                <w:color w:val="auto"/>
              </w:rPr>
              <w:t>会计政策和会计估计披露模板化，财务信息与非财务信息相互矛盾</w:t>
            </w:r>
          </w:p>
        </w:tc>
        <w:tc>
          <w:tcPr>
            <w:tcW w:w="915" w:type="pct"/>
            <w:vMerge w:val="continue"/>
            <w:vAlign w:val="center"/>
          </w:tcPr>
          <w:p>
            <w:pPr>
              <w:widowControl/>
              <w:autoSpaceDE/>
              <w:autoSpaceDN/>
              <w:adjustRightInd/>
              <w:rPr>
                <w:rFonts w:ascii="仿宋" w:hAnsi="仿宋" w:eastAsia="仿宋"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905" w:type="pct"/>
            <w:vMerge w:val="continue"/>
            <w:vAlign w:val="center"/>
          </w:tcPr>
          <w:p>
            <w:pPr>
              <w:widowControl/>
              <w:autoSpaceDE/>
              <w:autoSpaceDN/>
              <w:adjustRightInd/>
              <w:rPr>
                <w:rFonts w:ascii="仿宋" w:hAnsi="仿宋" w:eastAsia="仿宋" w:cs="宋体"/>
                <w:color w:val="auto"/>
              </w:rPr>
            </w:pPr>
          </w:p>
        </w:tc>
        <w:tc>
          <w:tcPr>
            <w:tcW w:w="918" w:type="pct"/>
            <w:vMerge w:val="continue"/>
            <w:vAlign w:val="center"/>
          </w:tcPr>
          <w:p>
            <w:pPr>
              <w:widowControl/>
              <w:autoSpaceDE/>
              <w:autoSpaceDN/>
              <w:adjustRightInd/>
              <w:rPr>
                <w:rFonts w:ascii="仿宋" w:hAnsi="仿宋" w:eastAsia="仿宋" w:cs="宋体"/>
                <w:color w:val="auto"/>
              </w:rPr>
            </w:pPr>
          </w:p>
        </w:tc>
        <w:tc>
          <w:tcPr>
            <w:tcW w:w="1980" w:type="pct"/>
            <w:shd w:val="clear" w:color="auto" w:fill="auto"/>
            <w:vAlign w:val="center"/>
          </w:tcPr>
          <w:p>
            <w:pPr>
              <w:widowControl/>
              <w:autoSpaceDE/>
              <w:autoSpaceDN/>
              <w:adjustRightInd/>
              <w:jc w:val="both"/>
              <w:rPr>
                <w:rFonts w:hint="eastAsia" w:ascii="仿宋" w:hAnsi="仿宋" w:eastAsia="仿宋" w:cs="宋体"/>
                <w:color w:val="auto"/>
              </w:rPr>
            </w:pPr>
            <w:r>
              <w:rPr>
                <w:rFonts w:hint="eastAsia" w:ascii="仿宋" w:hAnsi="仿宋" w:eastAsia="仿宋" w:cs="宋体"/>
                <w:color w:val="auto"/>
              </w:rPr>
              <w:t>可比公司选择不恰当</w:t>
            </w:r>
          </w:p>
        </w:tc>
        <w:tc>
          <w:tcPr>
            <w:tcW w:w="915" w:type="pct"/>
            <w:vMerge w:val="restart"/>
            <w:vAlign w:val="center"/>
          </w:tcPr>
          <w:p>
            <w:pPr>
              <w:widowControl/>
              <w:autoSpaceDE/>
              <w:autoSpaceDN/>
              <w:adjustRightInd/>
              <w:rPr>
                <w:rFonts w:ascii="仿宋" w:hAnsi="仿宋" w:eastAsia="仿宋" w:cs="宋体"/>
                <w:color w:val="auto"/>
              </w:rPr>
            </w:pPr>
            <w:r>
              <w:rPr>
                <w:rFonts w:hint="eastAsia" w:ascii="仿宋" w:hAnsi="仿宋" w:eastAsia="仿宋" w:cs="宋体"/>
                <w:color w:val="auto"/>
              </w:rPr>
              <w:t>考虑性质及重要性程度，扣0.5-1分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905" w:type="pct"/>
            <w:vMerge w:val="continue"/>
            <w:vAlign w:val="center"/>
          </w:tcPr>
          <w:p>
            <w:pPr>
              <w:widowControl/>
              <w:autoSpaceDE/>
              <w:autoSpaceDN/>
              <w:adjustRightInd/>
              <w:rPr>
                <w:rFonts w:ascii="仿宋" w:hAnsi="仿宋" w:eastAsia="仿宋" w:cs="宋体"/>
                <w:color w:val="auto"/>
              </w:rPr>
            </w:pPr>
          </w:p>
        </w:tc>
        <w:tc>
          <w:tcPr>
            <w:tcW w:w="918" w:type="pct"/>
            <w:vMerge w:val="continue"/>
            <w:vAlign w:val="center"/>
          </w:tcPr>
          <w:p>
            <w:pPr>
              <w:widowControl/>
              <w:autoSpaceDE/>
              <w:autoSpaceDN/>
              <w:adjustRightInd/>
              <w:rPr>
                <w:rFonts w:ascii="仿宋" w:hAnsi="仿宋" w:eastAsia="仿宋" w:cs="宋体"/>
                <w:color w:val="auto"/>
              </w:rPr>
            </w:pPr>
          </w:p>
        </w:tc>
        <w:tc>
          <w:tcPr>
            <w:tcW w:w="1980" w:type="pct"/>
            <w:shd w:val="clear" w:color="auto" w:fill="auto"/>
            <w:vAlign w:val="center"/>
          </w:tcPr>
          <w:p>
            <w:pPr>
              <w:widowControl/>
              <w:autoSpaceDE/>
              <w:autoSpaceDN/>
              <w:adjustRightInd/>
              <w:jc w:val="both"/>
              <w:rPr>
                <w:rFonts w:hint="eastAsia" w:ascii="仿宋" w:hAnsi="仿宋" w:eastAsia="仿宋" w:cs="宋体"/>
                <w:color w:val="auto"/>
              </w:rPr>
            </w:pPr>
            <w:r>
              <w:rPr>
                <w:rFonts w:hint="eastAsia" w:ascii="仿宋" w:hAnsi="仿宋" w:eastAsia="仿宋" w:cs="宋体"/>
                <w:color w:val="auto"/>
              </w:rPr>
              <w:t>未披露重大性标准</w:t>
            </w:r>
          </w:p>
        </w:tc>
        <w:tc>
          <w:tcPr>
            <w:tcW w:w="915" w:type="pct"/>
            <w:vMerge w:val="continue"/>
            <w:vAlign w:val="center"/>
          </w:tcPr>
          <w:p>
            <w:pPr>
              <w:widowControl/>
              <w:autoSpaceDE/>
              <w:autoSpaceDN/>
              <w:adjustRightInd/>
              <w:rPr>
                <w:rFonts w:ascii="仿宋" w:hAnsi="仿宋" w:eastAsia="仿宋"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905" w:type="pct"/>
            <w:vMerge w:val="continue"/>
            <w:vAlign w:val="center"/>
          </w:tcPr>
          <w:p>
            <w:pPr>
              <w:widowControl/>
              <w:autoSpaceDE/>
              <w:autoSpaceDN/>
              <w:adjustRightInd/>
              <w:rPr>
                <w:rFonts w:ascii="仿宋" w:hAnsi="仿宋" w:eastAsia="仿宋" w:cs="宋体"/>
                <w:color w:val="auto"/>
              </w:rPr>
            </w:pPr>
          </w:p>
        </w:tc>
        <w:tc>
          <w:tcPr>
            <w:tcW w:w="918" w:type="pct"/>
            <w:vMerge w:val="continue"/>
            <w:vAlign w:val="center"/>
          </w:tcPr>
          <w:p>
            <w:pPr>
              <w:widowControl/>
              <w:autoSpaceDE/>
              <w:autoSpaceDN/>
              <w:adjustRightInd/>
              <w:rPr>
                <w:rFonts w:ascii="仿宋" w:hAnsi="仿宋" w:eastAsia="仿宋" w:cs="宋体"/>
                <w:color w:val="auto"/>
              </w:rPr>
            </w:pPr>
          </w:p>
        </w:tc>
        <w:tc>
          <w:tcPr>
            <w:tcW w:w="1980" w:type="pct"/>
            <w:shd w:val="clear" w:color="auto" w:fill="auto"/>
            <w:vAlign w:val="center"/>
          </w:tcPr>
          <w:p>
            <w:pPr>
              <w:widowControl/>
              <w:autoSpaceDE/>
              <w:autoSpaceDN/>
              <w:adjustRightInd/>
              <w:jc w:val="both"/>
              <w:rPr>
                <w:rFonts w:ascii="仿宋" w:hAnsi="仿宋" w:eastAsia="仿宋" w:cs="宋体"/>
                <w:color w:val="auto"/>
              </w:rPr>
            </w:pPr>
            <w:r>
              <w:rPr>
                <w:rFonts w:hint="eastAsia" w:ascii="仿宋" w:hAnsi="仿宋" w:eastAsia="仿宋" w:cs="宋体"/>
                <w:color w:val="auto"/>
              </w:rPr>
              <w:t>其他违反信息披露要求的事项</w:t>
            </w:r>
          </w:p>
        </w:tc>
        <w:tc>
          <w:tcPr>
            <w:tcW w:w="915" w:type="pct"/>
            <w:vAlign w:val="center"/>
          </w:tcPr>
          <w:p>
            <w:pPr>
              <w:widowControl/>
              <w:autoSpaceDE/>
              <w:autoSpaceDN/>
              <w:adjustRightInd/>
              <w:rPr>
                <w:rFonts w:ascii="仿宋" w:hAnsi="仿宋" w:eastAsia="仿宋" w:cs="宋体"/>
                <w:color w:val="auto"/>
              </w:rPr>
            </w:pPr>
            <w:r>
              <w:rPr>
                <w:rFonts w:hint="eastAsia" w:ascii="仿宋" w:hAnsi="仿宋" w:eastAsia="仿宋" w:cs="宋体"/>
                <w:color w:val="auto"/>
              </w:rPr>
              <w:t>考虑性质及重要性程度，扣0.5-5分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905" w:type="pct"/>
            <w:vMerge w:val="continue"/>
            <w:vAlign w:val="center"/>
          </w:tcPr>
          <w:p>
            <w:pPr>
              <w:widowControl/>
              <w:autoSpaceDE/>
              <w:autoSpaceDN/>
              <w:adjustRightInd/>
              <w:rPr>
                <w:rFonts w:ascii="仿宋" w:hAnsi="仿宋" w:eastAsia="仿宋" w:cs="宋体"/>
                <w:color w:val="auto"/>
              </w:rPr>
            </w:pPr>
          </w:p>
        </w:tc>
        <w:tc>
          <w:tcPr>
            <w:tcW w:w="918" w:type="pct"/>
            <w:vMerge w:val="continue"/>
            <w:shd w:val="clear" w:color="auto" w:fill="auto"/>
            <w:vAlign w:val="center"/>
          </w:tcPr>
          <w:p>
            <w:pPr>
              <w:widowControl/>
              <w:autoSpaceDE/>
              <w:autoSpaceDN/>
              <w:adjustRightInd/>
              <w:rPr>
                <w:rFonts w:hint="eastAsia" w:ascii="仿宋" w:hAnsi="仿宋" w:eastAsia="仿宋" w:cs="宋体"/>
                <w:color w:val="auto"/>
              </w:rPr>
            </w:pPr>
          </w:p>
        </w:tc>
        <w:tc>
          <w:tcPr>
            <w:tcW w:w="2895" w:type="pct"/>
            <w:gridSpan w:val="2"/>
            <w:shd w:val="clear" w:color="auto" w:fill="auto"/>
            <w:vAlign w:val="center"/>
          </w:tcPr>
          <w:p>
            <w:pPr>
              <w:widowControl/>
              <w:autoSpaceDE/>
              <w:autoSpaceDN/>
              <w:adjustRightInd/>
              <w:jc w:val="center"/>
              <w:rPr>
                <w:rFonts w:hint="eastAsia" w:ascii="仿宋" w:hAnsi="仿宋" w:eastAsia="仿宋" w:cs="宋体"/>
                <w:color w:val="auto"/>
              </w:rPr>
            </w:pPr>
            <w:r>
              <w:rPr>
                <w:rFonts w:hint="eastAsia" w:ascii="仿宋" w:hAnsi="仿宋" w:eastAsia="仿宋" w:cs="宋体"/>
                <w:b/>
                <w:bCs/>
                <w:color w:val="auto"/>
              </w:rPr>
              <w:t>本项最多扣10分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905" w:type="pct"/>
            <w:vMerge w:val="continue"/>
            <w:vAlign w:val="center"/>
          </w:tcPr>
          <w:p>
            <w:pPr>
              <w:widowControl/>
              <w:autoSpaceDE/>
              <w:autoSpaceDN/>
              <w:adjustRightInd/>
              <w:rPr>
                <w:rFonts w:ascii="仿宋" w:hAnsi="仿宋" w:eastAsia="仿宋" w:cs="宋体"/>
                <w:color w:val="auto"/>
              </w:rPr>
            </w:pPr>
          </w:p>
        </w:tc>
        <w:tc>
          <w:tcPr>
            <w:tcW w:w="918" w:type="pct"/>
            <w:vMerge w:val="restart"/>
            <w:shd w:val="clear" w:color="auto" w:fill="auto"/>
            <w:vAlign w:val="center"/>
          </w:tcPr>
          <w:p>
            <w:pPr>
              <w:widowControl/>
              <w:autoSpaceDE/>
              <w:autoSpaceDN/>
              <w:adjustRightInd/>
              <w:rPr>
                <w:rFonts w:ascii="仿宋" w:hAnsi="仿宋" w:eastAsia="仿宋" w:cs="宋体"/>
                <w:color w:val="auto"/>
              </w:rPr>
            </w:pPr>
            <w:r>
              <w:rPr>
                <w:rFonts w:hint="eastAsia" w:ascii="仿宋" w:hAnsi="仿宋" w:eastAsia="仿宋" w:cs="宋体"/>
                <w:color w:val="auto"/>
              </w:rPr>
              <w:t>申报文件一致性问题</w:t>
            </w:r>
          </w:p>
        </w:tc>
        <w:tc>
          <w:tcPr>
            <w:tcW w:w="1980" w:type="pct"/>
            <w:shd w:val="clear" w:color="auto" w:fill="auto"/>
            <w:vAlign w:val="center"/>
          </w:tcPr>
          <w:p>
            <w:pPr>
              <w:widowControl/>
              <w:autoSpaceDE/>
              <w:autoSpaceDN/>
              <w:adjustRightInd/>
              <w:jc w:val="both"/>
              <w:rPr>
                <w:rFonts w:hint="eastAsia" w:ascii="仿宋" w:hAnsi="仿宋" w:eastAsia="仿宋" w:cs="宋体"/>
                <w:color w:val="auto"/>
              </w:rPr>
            </w:pPr>
            <w:r>
              <w:rPr>
                <w:rFonts w:hint="eastAsia" w:ascii="仿宋" w:hAnsi="仿宋" w:eastAsia="仿宋" w:cs="宋体"/>
                <w:color w:val="auto"/>
              </w:rPr>
              <w:t>同一文件报送监管机构与信息披露公开版本不一致（已申请豁免除外）</w:t>
            </w:r>
          </w:p>
        </w:tc>
        <w:tc>
          <w:tcPr>
            <w:tcW w:w="915" w:type="pct"/>
            <w:vMerge w:val="restart"/>
            <w:shd w:val="clear" w:color="auto" w:fill="auto"/>
            <w:vAlign w:val="center"/>
          </w:tcPr>
          <w:p>
            <w:pPr>
              <w:widowControl/>
              <w:autoSpaceDE/>
              <w:autoSpaceDN/>
              <w:adjustRightInd/>
              <w:rPr>
                <w:rFonts w:hint="eastAsia" w:ascii="仿宋" w:hAnsi="仿宋" w:eastAsia="仿宋" w:cs="宋体"/>
                <w:color w:val="auto"/>
              </w:rPr>
            </w:pPr>
            <w:r>
              <w:rPr>
                <w:rFonts w:hint="eastAsia" w:ascii="仿宋" w:hAnsi="仿宋" w:eastAsia="仿宋" w:cs="宋体"/>
                <w:color w:val="auto"/>
              </w:rPr>
              <w:t>如影响投资者判断的重大信息披露内容每处扣3分，其他视情节轻重扣0.5-3分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905" w:type="pct"/>
            <w:vMerge w:val="continue"/>
            <w:vAlign w:val="center"/>
          </w:tcPr>
          <w:p>
            <w:pPr>
              <w:widowControl/>
              <w:autoSpaceDE/>
              <w:autoSpaceDN/>
              <w:adjustRightInd/>
              <w:rPr>
                <w:rFonts w:ascii="仿宋" w:hAnsi="仿宋" w:eastAsia="仿宋" w:cs="宋体"/>
                <w:color w:val="auto"/>
              </w:rPr>
            </w:pPr>
          </w:p>
        </w:tc>
        <w:tc>
          <w:tcPr>
            <w:tcW w:w="918" w:type="pct"/>
            <w:vMerge w:val="continue"/>
            <w:shd w:val="clear" w:color="auto" w:fill="auto"/>
            <w:vAlign w:val="center"/>
          </w:tcPr>
          <w:p>
            <w:pPr>
              <w:widowControl/>
              <w:autoSpaceDE/>
              <w:autoSpaceDN/>
              <w:adjustRightInd/>
              <w:rPr>
                <w:rFonts w:hint="eastAsia" w:ascii="仿宋" w:hAnsi="仿宋" w:eastAsia="仿宋" w:cs="宋体"/>
                <w:color w:val="auto"/>
              </w:rPr>
            </w:pPr>
          </w:p>
        </w:tc>
        <w:tc>
          <w:tcPr>
            <w:tcW w:w="1980" w:type="pct"/>
            <w:shd w:val="clear" w:color="auto" w:fill="auto"/>
            <w:vAlign w:val="center"/>
          </w:tcPr>
          <w:p>
            <w:pPr>
              <w:widowControl/>
              <w:autoSpaceDE/>
              <w:autoSpaceDN/>
              <w:adjustRightInd/>
              <w:jc w:val="both"/>
              <w:rPr>
                <w:rFonts w:hint="eastAsia" w:ascii="仿宋" w:hAnsi="仿宋" w:eastAsia="仿宋" w:cs="宋体"/>
                <w:color w:val="auto"/>
              </w:rPr>
            </w:pPr>
            <w:r>
              <w:rPr>
                <w:rFonts w:hint="eastAsia" w:ascii="仿宋" w:hAnsi="仿宋" w:eastAsia="仿宋" w:cs="宋体"/>
                <w:color w:val="auto"/>
              </w:rPr>
              <w:t>申报文件中同一内容单个文件中前后不一致，不同文件中不一致</w:t>
            </w:r>
          </w:p>
        </w:tc>
        <w:tc>
          <w:tcPr>
            <w:tcW w:w="915" w:type="pct"/>
            <w:vMerge w:val="continue"/>
            <w:shd w:val="clear" w:color="auto" w:fill="auto"/>
            <w:vAlign w:val="center"/>
          </w:tcPr>
          <w:p>
            <w:pPr>
              <w:widowControl/>
              <w:autoSpaceDE/>
              <w:autoSpaceDN/>
              <w:adjustRightInd/>
              <w:rPr>
                <w:rFonts w:hint="eastAsia" w:ascii="仿宋" w:hAnsi="仿宋" w:eastAsia="仿宋"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905" w:type="pct"/>
            <w:vMerge w:val="continue"/>
            <w:vAlign w:val="center"/>
          </w:tcPr>
          <w:p>
            <w:pPr>
              <w:widowControl/>
              <w:autoSpaceDE/>
              <w:autoSpaceDN/>
              <w:adjustRightInd/>
              <w:rPr>
                <w:rFonts w:ascii="仿宋" w:hAnsi="仿宋" w:eastAsia="仿宋" w:cs="宋体"/>
                <w:color w:val="auto"/>
              </w:rPr>
            </w:pPr>
          </w:p>
        </w:tc>
        <w:tc>
          <w:tcPr>
            <w:tcW w:w="918" w:type="pct"/>
            <w:vMerge w:val="continue"/>
            <w:shd w:val="clear" w:color="auto" w:fill="auto"/>
            <w:vAlign w:val="center"/>
          </w:tcPr>
          <w:p>
            <w:pPr>
              <w:widowControl/>
              <w:autoSpaceDE/>
              <w:autoSpaceDN/>
              <w:adjustRightInd/>
              <w:rPr>
                <w:rFonts w:ascii="仿宋" w:hAnsi="仿宋" w:eastAsia="仿宋" w:cs="宋体"/>
                <w:color w:val="auto"/>
              </w:rPr>
            </w:pPr>
          </w:p>
        </w:tc>
        <w:tc>
          <w:tcPr>
            <w:tcW w:w="1980" w:type="pct"/>
            <w:shd w:val="clear" w:color="auto" w:fill="auto"/>
            <w:vAlign w:val="center"/>
          </w:tcPr>
          <w:p>
            <w:pPr>
              <w:widowControl/>
              <w:autoSpaceDE/>
              <w:autoSpaceDN/>
              <w:adjustRightInd/>
              <w:jc w:val="both"/>
              <w:rPr>
                <w:rFonts w:hint="eastAsia" w:ascii="仿宋" w:hAnsi="仿宋" w:eastAsia="仿宋" w:cs="宋体"/>
                <w:color w:val="auto"/>
                <w:lang w:eastAsia="zh-CN"/>
              </w:rPr>
            </w:pPr>
            <w:r>
              <w:rPr>
                <w:rFonts w:hint="eastAsia" w:ascii="仿宋" w:hAnsi="仿宋" w:eastAsia="仿宋" w:cs="宋体"/>
                <w:color w:val="auto"/>
                <w:lang w:eastAsia="zh-CN"/>
              </w:rPr>
              <w:t>擅自修改申报材料</w:t>
            </w:r>
          </w:p>
        </w:tc>
        <w:tc>
          <w:tcPr>
            <w:tcW w:w="915" w:type="pct"/>
            <w:vMerge w:val="continue"/>
            <w:shd w:val="clear" w:color="auto" w:fill="auto"/>
            <w:vAlign w:val="center"/>
          </w:tcPr>
          <w:p>
            <w:pPr>
              <w:widowControl/>
              <w:autoSpaceDE/>
              <w:autoSpaceDN/>
              <w:adjustRightInd/>
              <w:rPr>
                <w:rFonts w:ascii="仿宋" w:hAnsi="仿宋" w:eastAsia="仿宋"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905" w:type="pct"/>
            <w:vMerge w:val="continue"/>
            <w:vAlign w:val="center"/>
          </w:tcPr>
          <w:p>
            <w:pPr>
              <w:widowControl/>
              <w:autoSpaceDE/>
              <w:autoSpaceDN/>
              <w:adjustRightInd/>
              <w:rPr>
                <w:rFonts w:ascii="仿宋" w:hAnsi="仿宋" w:eastAsia="仿宋" w:cs="宋体"/>
                <w:color w:val="auto"/>
              </w:rPr>
            </w:pPr>
          </w:p>
        </w:tc>
        <w:tc>
          <w:tcPr>
            <w:tcW w:w="918" w:type="pct"/>
            <w:vMerge w:val="continue"/>
            <w:shd w:val="clear" w:color="auto" w:fill="auto"/>
            <w:vAlign w:val="center"/>
          </w:tcPr>
          <w:p>
            <w:pPr>
              <w:widowControl/>
              <w:autoSpaceDE/>
              <w:autoSpaceDN/>
              <w:adjustRightInd/>
              <w:rPr>
                <w:rFonts w:ascii="仿宋" w:hAnsi="仿宋" w:eastAsia="仿宋" w:cs="宋体"/>
                <w:color w:val="auto"/>
              </w:rPr>
            </w:pPr>
          </w:p>
        </w:tc>
        <w:tc>
          <w:tcPr>
            <w:tcW w:w="2895" w:type="pct"/>
            <w:gridSpan w:val="2"/>
            <w:shd w:val="clear" w:color="auto" w:fill="auto"/>
            <w:vAlign w:val="center"/>
          </w:tcPr>
          <w:p>
            <w:pPr>
              <w:widowControl/>
              <w:autoSpaceDE/>
              <w:autoSpaceDN/>
              <w:adjustRightInd/>
              <w:jc w:val="center"/>
              <w:rPr>
                <w:rFonts w:ascii="仿宋" w:hAnsi="仿宋" w:eastAsia="仿宋" w:cs="宋体"/>
                <w:b/>
                <w:bCs/>
                <w:color w:val="auto"/>
              </w:rPr>
            </w:pPr>
            <w:r>
              <w:rPr>
                <w:rFonts w:hint="eastAsia" w:ascii="仿宋" w:hAnsi="仿宋" w:eastAsia="仿宋" w:cs="宋体"/>
                <w:b/>
                <w:bCs/>
                <w:color w:val="auto"/>
                <w:lang w:eastAsia="zh-CN"/>
              </w:rPr>
              <w:t>本项最多扣5分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905" w:type="pct"/>
            <w:vMerge w:val="continue"/>
            <w:vAlign w:val="center"/>
          </w:tcPr>
          <w:p>
            <w:pPr>
              <w:widowControl/>
              <w:autoSpaceDE/>
              <w:autoSpaceDN/>
              <w:adjustRightInd/>
              <w:rPr>
                <w:rFonts w:ascii="仿宋" w:hAnsi="仿宋" w:eastAsia="仿宋" w:cs="宋体"/>
                <w:color w:val="auto"/>
              </w:rPr>
            </w:pPr>
          </w:p>
        </w:tc>
        <w:tc>
          <w:tcPr>
            <w:tcW w:w="918" w:type="pct"/>
            <w:vMerge w:val="restart"/>
            <w:shd w:val="clear" w:color="auto" w:fill="auto"/>
            <w:vAlign w:val="center"/>
          </w:tcPr>
          <w:p>
            <w:pPr>
              <w:widowControl/>
              <w:autoSpaceDE/>
              <w:autoSpaceDN/>
              <w:adjustRightInd/>
              <w:rPr>
                <w:rFonts w:ascii="仿宋" w:hAnsi="仿宋" w:eastAsia="仿宋" w:cs="宋体"/>
                <w:color w:val="auto"/>
              </w:rPr>
            </w:pPr>
            <w:r>
              <w:rPr>
                <w:rFonts w:hint="eastAsia" w:ascii="仿宋" w:hAnsi="仿宋" w:eastAsia="仿宋" w:cs="宋体"/>
                <w:color w:val="auto"/>
              </w:rPr>
              <w:t>申报文件及时性问题</w:t>
            </w:r>
          </w:p>
        </w:tc>
        <w:tc>
          <w:tcPr>
            <w:tcW w:w="1980" w:type="pct"/>
            <w:shd w:val="clear" w:color="auto" w:fill="auto"/>
            <w:vAlign w:val="center"/>
          </w:tcPr>
          <w:p>
            <w:pPr>
              <w:widowControl/>
              <w:autoSpaceDE/>
              <w:autoSpaceDN/>
              <w:adjustRightInd/>
              <w:jc w:val="both"/>
              <w:rPr>
                <w:rFonts w:hint="eastAsia" w:ascii="仿宋" w:hAnsi="仿宋" w:eastAsia="仿宋" w:cs="宋体"/>
                <w:color w:val="auto"/>
                <w:lang w:eastAsia="zh-CN"/>
              </w:rPr>
            </w:pPr>
            <w:r>
              <w:rPr>
                <w:rFonts w:hint="eastAsia" w:ascii="仿宋" w:hAnsi="仿宋" w:eastAsia="仿宋" w:cs="宋体"/>
                <w:color w:val="auto"/>
                <w:lang w:eastAsia="zh-CN"/>
              </w:rPr>
              <w:t>未履行重大事项主动及时报告义务</w:t>
            </w:r>
          </w:p>
        </w:tc>
        <w:tc>
          <w:tcPr>
            <w:tcW w:w="915" w:type="pct"/>
            <w:shd w:val="clear" w:color="auto" w:fill="auto"/>
            <w:vAlign w:val="center"/>
          </w:tcPr>
          <w:p>
            <w:pPr>
              <w:widowControl/>
              <w:autoSpaceDE/>
              <w:autoSpaceDN/>
              <w:adjustRightInd/>
              <w:rPr>
                <w:rFonts w:ascii="仿宋" w:hAnsi="仿宋" w:eastAsia="仿宋" w:cs="宋体"/>
                <w:color w:val="auto"/>
              </w:rPr>
            </w:pPr>
            <w:r>
              <w:rPr>
                <w:rFonts w:hint="eastAsia" w:ascii="仿宋" w:hAnsi="仿宋" w:eastAsia="仿宋" w:cs="宋体"/>
                <w:color w:val="auto"/>
              </w:rPr>
              <w:t>视情节轻重，扣0.5-3分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905" w:type="pct"/>
            <w:vMerge w:val="continue"/>
            <w:vAlign w:val="center"/>
          </w:tcPr>
          <w:p>
            <w:pPr>
              <w:widowControl/>
              <w:autoSpaceDE/>
              <w:autoSpaceDN/>
              <w:adjustRightInd/>
              <w:rPr>
                <w:rFonts w:ascii="仿宋" w:hAnsi="仿宋" w:eastAsia="仿宋" w:cs="宋体"/>
                <w:color w:val="auto"/>
              </w:rPr>
            </w:pPr>
          </w:p>
        </w:tc>
        <w:tc>
          <w:tcPr>
            <w:tcW w:w="918" w:type="pct"/>
            <w:vMerge w:val="continue"/>
            <w:vAlign w:val="center"/>
          </w:tcPr>
          <w:p>
            <w:pPr>
              <w:widowControl/>
              <w:autoSpaceDE/>
              <w:autoSpaceDN/>
              <w:adjustRightInd/>
              <w:rPr>
                <w:rFonts w:ascii="仿宋" w:hAnsi="仿宋" w:eastAsia="仿宋" w:cs="宋体"/>
                <w:color w:val="auto"/>
              </w:rPr>
            </w:pPr>
          </w:p>
        </w:tc>
        <w:tc>
          <w:tcPr>
            <w:tcW w:w="1980" w:type="pct"/>
            <w:shd w:val="clear" w:color="auto" w:fill="auto"/>
            <w:vAlign w:val="center"/>
          </w:tcPr>
          <w:p>
            <w:pPr>
              <w:widowControl/>
              <w:autoSpaceDE/>
              <w:autoSpaceDN/>
              <w:adjustRightInd/>
              <w:jc w:val="both"/>
              <w:rPr>
                <w:rFonts w:hint="eastAsia" w:ascii="仿宋" w:hAnsi="仿宋" w:eastAsia="仿宋" w:cs="宋体"/>
                <w:color w:val="auto"/>
                <w:lang w:eastAsia="zh-CN"/>
              </w:rPr>
            </w:pPr>
            <w:r>
              <w:rPr>
                <w:rFonts w:hint="eastAsia" w:ascii="仿宋" w:hAnsi="仿宋" w:eastAsia="仿宋" w:cs="宋体"/>
                <w:color w:val="auto"/>
                <w:lang w:eastAsia="zh-CN"/>
              </w:rPr>
              <w:t>申报文件行业数据或同行业可比公司数据更新不及时</w:t>
            </w:r>
          </w:p>
        </w:tc>
        <w:tc>
          <w:tcPr>
            <w:tcW w:w="915" w:type="pct"/>
            <w:vAlign w:val="center"/>
          </w:tcPr>
          <w:p>
            <w:pPr>
              <w:widowControl/>
              <w:autoSpaceDE/>
              <w:autoSpaceDN/>
              <w:adjustRightInd/>
              <w:rPr>
                <w:rFonts w:ascii="仿宋" w:hAnsi="仿宋" w:eastAsia="仿宋" w:cs="宋体"/>
                <w:color w:val="auto"/>
              </w:rPr>
            </w:pPr>
            <w:r>
              <w:rPr>
                <w:rFonts w:hint="eastAsia" w:ascii="仿宋" w:hAnsi="仿宋" w:eastAsia="仿宋" w:cs="宋体"/>
                <w:color w:val="auto"/>
              </w:rPr>
              <w:t>视情节轻重，扣0.5-1分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905" w:type="pct"/>
            <w:vMerge w:val="continue"/>
            <w:vAlign w:val="center"/>
          </w:tcPr>
          <w:p>
            <w:pPr>
              <w:widowControl/>
              <w:autoSpaceDE/>
              <w:autoSpaceDN/>
              <w:adjustRightInd/>
              <w:rPr>
                <w:rFonts w:ascii="仿宋" w:hAnsi="仿宋" w:eastAsia="仿宋" w:cs="宋体"/>
                <w:color w:val="auto"/>
              </w:rPr>
            </w:pPr>
          </w:p>
        </w:tc>
        <w:tc>
          <w:tcPr>
            <w:tcW w:w="918" w:type="pct"/>
            <w:vMerge w:val="continue"/>
            <w:vAlign w:val="center"/>
          </w:tcPr>
          <w:p>
            <w:pPr>
              <w:widowControl/>
              <w:autoSpaceDE/>
              <w:autoSpaceDN/>
              <w:adjustRightInd/>
              <w:rPr>
                <w:rFonts w:ascii="仿宋" w:hAnsi="仿宋" w:eastAsia="仿宋" w:cs="宋体"/>
                <w:color w:val="auto"/>
              </w:rPr>
            </w:pPr>
          </w:p>
        </w:tc>
        <w:tc>
          <w:tcPr>
            <w:tcW w:w="1980" w:type="pct"/>
            <w:shd w:val="clear" w:color="auto" w:fill="auto"/>
            <w:vAlign w:val="center"/>
          </w:tcPr>
          <w:p>
            <w:pPr>
              <w:widowControl/>
              <w:autoSpaceDE/>
              <w:autoSpaceDN/>
              <w:adjustRightInd/>
              <w:jc w:val="both"/>
              <w:rPr>
                <w:rFonts w:hint="eastAsia" w:ascii="仿宋" w:hAnsi="仿宋" w:eastAsia="仿宋" w:cs="宋体"/>
                <w:color w:val="auto"/>
                <w:lang w:eastAsia="zh-CN"/>
              </w:rPr>
            </w:pPr>
            <w:r>
              <w:rPr>
                <w:rFonts w:hint="eastAsia" w:ascii="仿宋" w:hAnsi="仿宋" w:eastAsia="仿宋" w:cs="宋体"/>
                <w:color w:val="auto"/>
                <w:lang w:eastAsia="zh-CN"/>
              </w:rPr>
              <w:t>申报文件引用的财务数据超过有效期</w:t>
            </w:r>
          </w:p>
        </w:tc>
        <w:tc>
          <w:tcPr>
            <w:tcW w:w="915" w:type="pct"/>
            <w:vAlign w:val="center"/>
          </w:tcPr>
          <w:p>
            <w:pPr>
              <w:widowControl/>
              <w:autoSpaceDE/>
              <w:autoSpaceDN/>
              <w:adjustRightInd/>
              <w:rPr>
                <w:rFonts w:ascii="仿宋" w:hAnsi="仿宋" w:eastAsia="仿宋" w:cs="宋体"/>
                <w:color w:val="auto"/>
              </w:rPr>
            </w:pPr>
            <w:r>
              <w:rPr>
                <w:rFonts w:hint="eastAsia" w:ascii="仿宋" w:hAnsi="仿宋" w:eastAsia="仿宋" w:cs="宋体"/>
                <w:color w:val="auto"/>
              </w:rPr>
              <w:t>视情节轻重，扣0.5-1分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905" w:type="pct"/>
            <w:vMerge w:val="continue"/>
            <w:vAlign w:val="center"/>
          </w:tcPr>
          <w:p>
            <w:pPr>
              <w:widowControl/>
              <w:autoSpaceDE/>
              <w:autoSpaceDN/>
              <w:adjustRightInd/>
              <w:rPr>
                <w:rFonts w:ascii="仿宋" w:hAnsi="仿宋" w:eastAsia="仿宋" w:cs="宋体"/>
                <w:color w:val="auto"/>
              </w:rPr>
            </w:pPr>
          </w:p>
        </w:tc>
        <w:tc>
          <w:tcPr>
            <w:tcW w:w="918" w:type="pct"/>
            <w:vMerge w:val="continue"/>
            <w:vAlign w:val="center"/>
          </w:tcPr>
          <w:p>
            <w:pPr>
              <w:widowControl/>
              <w:autoSpaceDE/>
              <w:autoSpaceDN/>
              <w:adjustRightInd/>
              <w:rPr>
                <w:rFonts w:ascii="仿宋" w:hAnsi="仿宋" w:eastAsia="仿宋" w:cs="宋体"/>
                <w:color w:val="auto"/>
              </w:rPr>
            </w:pPr>
          </w:p>
        </w:tc>
        <w:tc>
          <w:tcPr>
            <w:tcW w:w="2895" w:type="pct"/>
            <w:gridSpan w:val="2"/>
            <w:shd w:val="clear" w:color="auto" w:fill="auto"/>
            <w:vAlign w:val="center"/>
          </w:tcPr>
          <w:p>
            <w:pPr>
              <w:widowControl/>
              <w:autoSpaceDE/>
              <w:autoSpaceDN/>
              <w:adjustRightInd/>
              <w:jc w:val="center"/>
              <w:rPr>
                <w:rFonts w:hint="eastAsia" w:ascii="仿宋" w:hAnsi="仿宋" w:eastAsia="仿宋" w:cs="宋体"/>
                <w:color w:val="auto"/>
              </w:rPr>
            </w:pPr>
            <w:r>
              <w:rPr>
                <w:rFonts w:hint="eastAsia" w:ascii="仿宋" w:hAnsi="仿宋" w:eastAsia="仿宋" w:cs="宋体"/>
                <w:b/>
                <w:bCs/>
                <w:color w:val="auto"/>
              </w:rPr>
              <w:t>本项最多扣3分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905" w:type="pct"/>
            <w:vMerge w:val="continue"/>
            <w:vAlign w:val="center"/>
          </w:tcPr>
          <w:p>
            <w:pPr>
              <w:widowControl/>
              <w:autoSpaceDE/>
              <w:autoSpaceDN/>
              <w:adjustRightInd/>
              <w:rPr>
                <w:rFonts w:ascii="仿宋" w:hAnsi="仿宋" w:eastAsia="仿宋" w:cs="宋体"/>
                <w:color w:val="auto"/>
              </w:rPr>
            </w:pPr>
          </w:p>
        </w:tc>
        <w:tc>
          <w:tcPr>
            <w:tcW w:w="2898" w:type="pct"/>
            <w:gridSpan w:val="2"/>
            <w:shd w:val="clear" w:color="auto" w:fill="auto"/>
            <w:vAlign w:val="center"/>
          </w:tcPr>
          <w:p>
            <w:pPr>
              <w:widowControl/>
              <w:autoSpaceDE/>
              <w:autoSpaceDN/>
              <w:adjustRightInd/>
              <w:rPr>
                <w:rFonts w:ascii="仿宋" w:hAnsi="仿宋" w:eastAsia="仿宋" w:cs="宋体"/>
                <w:color w:val="auto"/>
              </w:rPr>
            </w:pPr>
            <w:r>
              <w:rPr>
                <w:rFonts w:hint="eastAsia" w:ascii="仿宋" w:hAnsi="仿宋" w:eastAsia="仿宋" w:cs="宋体"/>
                <w:color w:val="auto"/>
              </w:rPr>
              <w:t>申报后对财务报表进行差错更正、不恰当采用会计政策或会计估计等</w:t>
            </w:r>
          </w:p>
        </w:tc>
        <w:tc>
          <w:tcPr>
            <w:tcW w:w="915" w:type="pct"/>
            <w:shd w:val="clear" w:color="auto" w:fill="auto"/>
            <w:vAlign w:val="center"/>
          </w:tcPr>
          <w:p>
            <w:pPr>
              <w:widowControl/>
              <w:autoSpaceDE/>
              <w:autoSpaceDN/>
              <w:adjustRightInd/>
              <w:rPr>
                <w:rFonts w:hint="eastAsia" w:ascii="仿宋" w:hAnsi="仿宋" w:eastAsia="仿宋" w:cs="宋体"/>
                <w:color w:val="auto"/>
              </w:rPr>
            </w:pPr>
            <w:r>
              <w:rPr>
                <w:rFonts w:hint="eastAsia" w:ascii="仿宋" w:hAnsi="仿宋" w:eastAsia="仿宋" w:cs="宋体"/>
                <w:color w:val="auto"/>
              </w:rPr>
              <w:t>本项应从调整性质及影响程度两个维度分别扣分：</w:t>
            </w:r>
          </w:p>
          <w:p>
            <w:pPr>
              <w:widowControl/>
              <w:autoSpaceDE/>
              <w:autoSpaceDN/>
              <w:adjustRightInd/>
              <w:rPr>
                <w:rFonts w:hint="eastAsia" w:ascii="仿宋" w:hAnsi="仿宋" w:eastAsia="仿宋" w:cs="宋体"/>
                <w:color w:val="auto"/>
              </w:rPr>
            </w:pPr>
            <w:r>
              <w:rPr>
                <w:rFonts w:hint="eastAsia" w:ascii="仿宋" w:hAnsi="仿宋" w:eastAsia="仿宋" w:cs="宋体"/>
                <w:color w:val="auto"/>
              </w:rPr>
              <w:t>考虑是否具有故意调节利润嫌疑的情形，视情节轻重扣分，扣1-5分；</w:t>
            </w:r>
          </w:p>
          <w:p>
            <w:pPr>
              <w:widowControl/>
              <w:autoSpaceDE/>
              <w:autoSpaceDN/>
              <w:adjustRightInd/>
              <w:rPr>
                <w:rFonts w:hint="eastAsia" w:ascii="仿宋" w:hAnsi="仿宋" w:eastAsia="仿宋" w:cs="宋体"/>
                <w:color w:val="auto"/>
              </w:rPr>
            </w:pPr>
            <w:r>
              <w:rPr>
                <w:rFonts w:hint="eastAsia" w:ascii="仿宋" w:hAnsi="仿宋" w:eastAsia="仿宋" w:cs="宋体"/>
                <w:color w:val="auto"/>
              </w:rPr>
              <w:t>调整累积对收入/净资产/净利润等发行上市条件涉及的财务指标影响不超过10%扣1分，10%-30%扣2分，30%-50%扣3分，超过50%扣5分；</w:t>
            </w:r>
          </w:p>
          <w:p>
            <w:pPr>
              <w:widowControl/>
              <w:autoSpaceDE/>
              <w:autoSpaceDN/>
              <w:adjustRightInd/>
              <w:rPr>
                <w:rFonts w:ascii="仿宋" w:hAnsi="仿宋" w:eastAsia="仿宋" w:cs="宋体"/>
                <w:color w:val="auto"/>
              </w:rPr>
            </w:pPr>
            <w:r>
              <w:rPr>
                <w:rFonts w:hint="eastAsia" w:ascii="仿宋" w:hAnsi="仿宋" w:eastAsia="仿宋" w:cs="宋体"/>
                <w:color w:val="auto"/>
              </w:rPr>
              <w:t>本项最多扣10分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905" w:type="pct"/>
            <w:vMerge w:val="continue"/>
            <w:vAlign w:val="center"/>
          </w:tcPr>
          <w:p>
            <w:pPr>
              <w:widowControl/>
              <w:autoSpaceDE/>
              <w:autoSpaceDN/>
              <w:adjustRightInd/>
              <w:rPr>
                <w:rFonts w:ascii="仿宋" w:hAnsi="仿宋" w:eastAsia="仿宋" w:cs="宋体"/>
                <w:color w:val="auto"/>
              </w:rPr>
            </w:pPr>
          </w:p>
        </w:tc>
        <w:tc>
          <w:tcPr>
            <w:tcW w:w="2898" w:type="pct"/>
            <w:gridSpan w:val="2"/>
            <w:shd w:val="clear" w:color="auto" w:fill="auto"/>
            <w:vAlign w:val="center"/>
          </w:tcPr>
          <w:p>
            <w:pPr>
              <w:widowControl/>
              <w:autoSpaceDE/>
              <w:autoSpaceDN/>
              <w:adjustRightInd/>
              <w:jc w:val="both"/>
              <w:rPr>
                <w:rFonts w:ascii="仿宋" w:hAnsi="仿宋" w:eastAsia="仿宋" w:cs="宋体"/>
                <w:color w:val="auto"/>
              </w:rPr>
            </w:pPr>
            <w:r>
              <w:rPr>
                <w:rFonts w:hint="eastAsia" w:ascii="仿宋" w:hAnsi="仿宋" w:eastAsia="仿宋" w:cs="宋体"/>
                <w:color w:val="auto"/>
              </w:rPr>
              <w:t>重大性选择标准不恰当</w:t>
            </w:r>
          </w:p>
        </w:tc>
        <w:tc>
          <w:tcPr>
            <w:tcW w:w="915" w:type="pct"/>
            <w:shd w:val="clear" w:color="auto" w:fill="auto"/>
            <w:vAlign w:val="center"/>
          </w:tcPr>
          <w:p>
            <w:pPr>
              <w:widowControl/>
              <w:autoSpaceDE/>
              <w:autoSpaceDN/>
              <w:adjustRightInd/>
              <w:jc w:val="both"/>
              <w:rPr>
                <w:rFonts w:ascii="仿宋" w:hAnsi="仿宋" w:eastAsia="仿宋" w:cs="宋体"/>
                <w:color w:val="auto"/>
              </w:rPr>
            </w:pPr>
            <w:r>
              <w:rPr>
                <w:rFonts w:hint="eastAsia" w:ascii="仿宋" w:hAnsi="仿宋" w:eastAsia="仿宋" w:cs="宋体"/>
                <w:color w:val="auto"/>
              </w:rPr>
              <w:t>考虑涉及项目的重要性，扣0.5-5分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905" w:type="pct"/>
            <w:vMerge w:val="continue"/>
            <w:vAlign w:val="center"/>
          </w:tcPr>
          <w:p>
            <w:pPr>
              <w:widowControl/>
              <w:autoSpaceDE/>
              <w:autoSpaceDN/>
              <w:adjustRightInd/>
              <w:rPr>
                <w:rFonts w:ascii="仿宋" w:hAnsi="仿宋" w:eastAsia="仿宋" w:cs="宋体"/>
                <w:color w:val="auto"/>
              </w:rPr>
            </w:pPr>
          </w:p>
        </w:tc>
        <w:tc>
          <w:tcPr>
            <w:tcW w:w="2898" w:type="pct"/>
            <w:gridSpan w:val="2"/>
            <w:shd w:val="clear" w:color="auto" w:fill="auto"/>
            <w:vAlign w:val="center"/>
          </w:tcPr>
          <w:p>
            <w:pPr>
              <w:widowControl/>
              <w:autoSpaceDE/>
              <w:autoSpaceDN/>
              <w:adjustRightInd/>
              <w:jc w:val="both"/>
              <w:rPr>
                <w:rFonts w:ascii="仿宋" w:hAnsi="仿宋" w:eastAsia="仿宋" w:cs="宋体"/>
                <w:color w:val="auto"/>
              </w:rPr>
            </w:pPr>
            <w:r>
              <w:rPr>
                <w:rFonts w:hint="eastAsia" w:ascii="仿宋" w:hAnsi="仿宋" w:eastAsia="仿宋" w:cs="宋体"/>
                <w:color w:val="auto"/>
              </w:rPr>
              <w:t>申报文件存在低级错误、数据计算错误</w:t>
            </w:r>
          </w:p>
        </w:tc>
        <w:tc>
          <w:tcPr>
            <w:tcW w:w="915" w:type="pct"/>
            <w:shd w:val="clear" w:color="auto" w:fill="auto"/>
            <w:vAlign w:val="center"/>
          </w:tcPr>
          <w:p>
            <w:pPr>
              <w:widowControl/>
              <w:autoSpaceDE/>
              <w:autoSpaceDN/>
              <w:adjustRightInd/>
              <w:jc w:val="both"/>
              <w:rPr>
                <w:rFonts w:hint="eastAsia" w:ascii="仿宋" w:hAnsi="仿宋" w:eastAsia="仿宋" w:cs="宋体"/>
                <w:color w:val="auto"/>
              </w:rPr>
            </w:pPr>
            <w:r>
              <w:rPr>
                <w:rFonts w:hint="eastAsia" w:ascii="仿宋" w:hAnsi="仿宋" w:eastAsia="仿宋" w:cs="宋体"/>
                <w:color w:val="auto"/>
              </w:rPr>
              <w:t>应考虑错误性质及数量，扣分0.5-1分</w:t>
            </w:r>
          </w:p>
          <w:p>
            <w:pPr>
              <w:widowControl/>
              <w:autoSpaceDE/>
              <w:autoSpaceDN/>
              <w:adjustRightInd/>
              <w:jc w:val="both"/>
              <w:rPr>
                <w:rFonts w:ascii="仿宋" w:hAnsi="仿宋" w:eastAsia="仿宋" w:cs="宋体"/>
                <w:color w:val="auto"/>
              </w:rPr>
            </w:pPr>
            <w:r>
              <w:rPr>
                <w:rFonts w:hint="eastAsia" w:ascii="仿宋" w:hAnsi="仿宋" w:eastAsia="仿宋" w:cs="宋体"/>
                <w:b/>
                <w:bCs/>
                <w:color w:val="auto"/>
              </w:rPr>
              <w:t>本项最多扣2分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905" w:type="pct"/>
            <w:vMerge w:val="restart"/>
            <w:shd w:val="clear" w:color="auto" w:fill="auto"/>
            <w:vAlign w:val="center"/>
          </w:tcPr>
          <w:p>
            <w:pPr>
              <w:widowControl/>
              <w:autoSpaceDE/>
              <w:autoSpaceDN/>
              <w:adjustRightInd/>
              <w:jc w:val="both"/>
              <w:rPr>
                <w:rFonts w:ascii="仿宋" w:hAnsi="仿宋" w:eastAsia="仿宋" w:cs="宋体"/>
                <w:color w:val="auto"/>
              </w:rPr>
            </w:pPr>
            <w:r>
              <w:rPr>
                <w:rFonts w:hint="eastAsia" w:ascii="仿宋" w:hAnsi="仿宋" w:eastAsia="仿宋" w:cs="宋体"/>
                <w:color w:val="auto"/>
                <w:lang w:val="en-US" w:eastAsia="zh-CN"/>
              </w:rPr>
              <w:t>8</w:t>
            </w:r>
            <w:r>
              <w:rPr>
                <w:rFonts w:hint="eastAsia" w:ascii="仿宋" w:hAnsi="仿宋" w:eastAsia="仿宋" w:cs="宋体"/>
                <w:color w:val="auto"/>
              </w:rPr>
              <w:t>.保荐机构工作存在一般质量问题，本项最多扣20分</w:t>
            </w:r>
          </w:p>
        </w:tc>
        <w:tc>
          <w:tcPr>
            <w:tcW w:w="918" w:type="pct"/>
            <w:vMerge w:val="restart"/>
            <w:shd w:val="clear" w:color="auto" w:fill="auto"/>
            <w:vAlign w:val="center"/>
          </w:tcPr>
          <w:p>
            <w:pPr>
              <w:widowControl/>
              <w:autoSpaceDE/>
              <w:autoSpaceDN/>
              <w:adjustRightInd/>
              <w:rPr>
                <w:rFonts w:ascii="仿宋" w:hAnsi="仿宋" w:eastAsia="仿宋" w:cs="宋体"/>
                <w:color w:val="auto"/>
              </w:rPr>
            </w:pPr>
            <w:r>
              <w:rPr>
                <w:rFonts w:hint="eastAsia" w:ascii="仿宋" w:hAnsi="仿宋" w:eastAsia="仿宋" w:cs="宋体"/>
                <w:color w:val="auto"/>
              </w:rPr>
              <w:t>问询回复不到位</w:t>
            </w:r>
          </w:p>
        </w:tc>
        <w:tc>
          <w:tcPr>
            <w:tcW w:w="1980" w:type="pct"/>
            <w:shd w:val="clear" w:color="auto" w:fill="auto"/>
            <w:vAlign w:val="center"/>
          </w:tcPr>
          <w:p>
            <w:pPr>
              <w:widowControl/>
              <w:autoSpaceDE/>
              <w:autoSpaceDN/>
              <w:adjustRightInd/>
              <w:jc w:val="both"/>
              <w:rPr>
                <w:rFonts w:ascii="仿宋" w:hAnsi="仿宋" w:eastAsia="仿宋" w:cs="宋体"/>
                <w:color w:val="auto"/>
              </w:rPr>
            </w:pPr>
            <w:r>
              <w:rPr>
                <w:rFonts w:hint="eastAsia" w:ascii="仿宋" w:hAnsi="仿宋" w:eastAsia="仿宋" w:cs="宋体"/>
                <w:color w:val="auto"/>
              </w:rPr>
              <w:t>问询轮数超过3轮/补充反馈超过2轮</w:t>
            </w:r>
          </w:p>
        </w:tc>
        <w:tc>
          <w:tcPr>
            <w:tcW w:w="915" w:type="pct"/>
            <w:shd w:val="clear" w:color="auto" w:fill="auto"/>
            <w:vAlign w:val="center"/>
          </w:tcPr>
          <w:p>
            <w:pPr>
              <w:widowControl/>
              <w:autoSpaceDE/>
              <w:autoSpaceDN/>
              <w:adjustRightInd/>
              <w:jc w:val="both"/>
              <w:rPr>
                <w:rFonts w:ascii="仿宋" w:hAnsi="仿宋" w:eastAsia="仿宋" w:cs="宋体"/>
                <w:color w:val="auto"/>
              </w:rPr>
            </w:pPr>
            <w:r>
              <w:rPr>
                <w:rFonts w:hint="eastAsia" w:ascii="仿宋" w:hAnsi="仿宋" w:eastAsia="仿宋" w:cs="宋体"/>
                <w:color w:val="auto"/>
              </w:rPr>
              <w:t>考虑问询回复质量，扣0.5-2分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905" w:type="pct"/>
            <w:vMerge w:val="continue"/>
            <w:vAlign w:val="center"/>
          </w:tcPr>
          <w:p>
            <w:pPr>
              <w:widowControl/>
              <w:autoSpaceDE/>
              <w:autoSpaceDN/>
              <w:adjustRightInd/>
              <w:rPr>
                <w:rFonts w:ascii="仿宋" w:hAnsi="仿宋" w:eastAsia="仿宋" w:cs="宋体"/>
                <w:color w:val="auto"/>
              </w:rPr>
            </w:pPr>
          </w:p>
        </w:tc>
        <w:tc>
          <w:tcPr>
            <w:tcW w:w="918" w:type="pct"/>
            <w:vMerge w:val="continue"/>
            <w:vAlign w:val="center"/>
          </w:tcPr>
          <w:p>
            <w:pPr>
              <w:widowControl/>
              <w:autoSpaceDE/>
              <w:autoSpaceDN/>
              <w:adjustRightInd/>
              <w:rPr>
                <w:rFonts w:ascii="仿宋" w:hAnsi="仿宋" w:eastAsia="仿宋" w:cs="宋体"/>
                <w:color w:val="auto"/>
              </w:rPr>
            </w:pPr>
          </w:p>
        </w:tc>
        <w:tc>
          <w:tcPr>
            <w:tcW w:w="1980" w:type="pct"/>
            <w:shd w:val="clear" w:color="auto" w:fill="auto"/>
            <w:vAlign w:val="center"/>
          </w:tcPr>
          <w:p>
            <w:pPr>
              <w:widowControl/>
              <w:autoSpaceDE/>
              <w:autoSpaceDN/>
              <w:adjustRightInd/>
              <w:jc w:val="both"/>
              <w:rPr>
                <w:rFonts w:hint="eastAsia" w:ascii="仿宋" w:hAnsi="仿宋" w:eastAsia="仿宋" w:cs="宋体"/>
                <w:color w:val="auto"/>
                <w:lang w:eastAsia="zh-CN"/>
              </w:rPr>
            </w:pPr>
            <w:r>
              <w:rPr>
                <w:rFonts w:hint="eastAsia" w:ascii="仿宋" w:hAnsi="仿宋" w:eastAsia="仿宋" w:cs="宋体"/>
                <w:color w:val="auto"/>
              </w:rPr>
              <w:t>单次问询/反馈回复修订超3次</w:t>
            </w:r>
          </w:p>
        </w:tc>
        <w:tc>
          <w:tcPr>
            <w:tcW w:w="915" w:type="pct"/>
            <w:vAlign w:val="center"/>
          </w:tcPr>
          <w:p>
            <w:pPr>
              <w:widowControl/>
              <w:autoSpaceDE/>
              <w:autoSpaceDN/>
              <w:adjustRightInd/>
              <w:rPr>
                <w:rFonts w:ascii="仿宋" w:hAnsi="仿宋" w:eastAsia="仿宋" w:cs="宋体"/>
                <w:color w:val="auto"/>
              </w:rPr>
            </w:pPr>
            <w:r>
              <w:rPr>
                <w:rFonts w:hint="eastAsia" w:ascii="仿宋" w:hAnsi="仿宋" w:eastAsia="仿宋" w:cs="宋体"/>
                <w:color w:val="auto"/>
              </w:rPr>
              <w:t>考虑问询回复质量及问题重要性，扣0.5-2分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905" w:type="pct"/>
            <w:vMerge w:val="continue"/>
            <w:vAlign w:val="center"/>
          </w:tcPr>
          <w:p>
            <w:pPr>
              <w:widowControl/>
              <w:autoSpaceDE/>
              <w:autoSpaceDN/>
              <w:adjustRightInd/>
              <w:rPr>
                <w:rFonts w:ascii="仿宋" w:hAnsi="仿宋" w:eastAsia="仿宋" w:cs="宋体"/>
                <w:color w:val="auto"/>
              </w:rPr>
            </w:pPr>
          </w:p>
        </w:tc>
        <w:tc>
          <w:tcPr>
            <w:tcW w:w="918" w:type="pct"/>
            <w:vMerge w:val="continue"/>
            <w:vAlign w:val="center"/>
          </w:tcPr>
          <w:p>
            <w:pPr>
              <w:widowControl/>
              <w:autoSpaceDE/>
              <w:autoSpaceDN/>
              <w:adjustRightInd/>
              <w:rPr>
                <w:rFonts w:ascii="仿宋" w:hAnsi="仿宋" w:eastAsia="仿宋" w:cs="宋体"/>
                <w:color w:val="auto"/>
              </w:rPr>
            </w:pPr>
          </w:p>
        </w:tc>
        <w:tc>
          <w:tcPr>
            <w:tcW w:w="1980" w:type="pct"/>
            <w:shd w:val="clear" w:color="auto" w:fill="auto"/>
            <w:vAlign w:val="center"/>
          </w:tcPr>
          <w:p>
            <w:pPr>
              <w:widowControl/>
              <w:autoSpaceDE/>
              <w:autoSpaceDN/>
              <w:adjustRightInd/>
              <w:jc w:val="both"/>
              <w:rPr>
                <w:rFonts w:hint="eastAsia" w:ascii="仿宋" w:hAnsi="仿宋" w:eastAsia="仿宋" w:cs="宋体"/>
                <w:color w:val="auto"/>
                <w:lang w:eastAsia="zh-CN"/>
              </w:rPr>
            </w:pPr>
            <w:r>
              <w:rPr>
                <w:rFonts w:hint="eastAsia" w:ascii="仿宋" w:hAnsi="仿宋" w:eastAsia="仿宋" w:cs="宋体"/>
                <w:color w:val="auto"/>
              </w:rPr>
              <w:t>擅自修改、删除、漏答问询/反馈问题</w:t>
            </w:r>
          </w:p>
        </w:tc>
        <w:tc>
          <w:tcPr>
            <w:tcW w:w="915" w:type="pct"/>
            <w:vAlign w:val="center"/>
          </w:tcPr>
          <w:p>
            <w:pPr>
              <w:widowControl/>
              <w:autoSpaceDE/>
              <w:autoSpaceDN/>
              <w:adjustRightInd/>
              <w:rPr>
                <w:rFonts w:ascii="仿宋" w:hAnsi="仿宋" w:eastAsia="仿宋" w:cs="宋体"/>
                <w:color w:val="auto"/>
              </w:rPr>
            </w:pPr>
            <w:r>
              <w:rPr>
                <w:rFonts w:hint="eastAsia" w:ascii="仿宋" w:hAnsi="仿宋" w:eastAsia="仿宋" w:cs="宋体"/>
                <w:color w:val="auto"/>
              </w:rPr>
              <w:t>考虑问题重要性，扣0.5-3分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905" w:type="pct"/>
            <w:vMerge w:val="continue"/>
            <w:vAlign w:val="center"/>
          </w:tcPr>
          <w:p>
            <w:pPr>
              <w:widowControl/>
              <w:autoSpaceDE/>
              <w:autoSpaceDN/>
              <w:adjustRightInd/>
              <w:rPr>
                <w:rFonts w:ascii="仿宋" w:hAnsi="仿宋" w:eastAsia="仿宋" w:cs="宋体"/>
                <w:color w:val="auto"/>
              </w:rPr>
            </w:pPr>
          </w:p>
        </w:tc>
        <w:tc>
          <w:tcPr>
            <w:tcW w:w="918" w:type="pct"/>
            <w:vMerge w:val="continue"/>
            <w:vAlign w:val="center"/>
          </w:tcPr>
          <w:p>
            <w:pPr>
              <w:widowControl/>
              <w:autoSpaceDE/>
              <w:autoSpaceDN/>
              <w:adjustRightInd/>
              <w:rPr>
                <w:rFonts w:ascii="仿宋" w:hAnsi="仿宋" w:eastAsia="仿宋" w:cs="宋体"/>
                <w:color w:val="auto"/>
              </w:rPr>
            </w:pPr>
          </w:p>
        </w:tc>
        <w:tc>
          <w:tcPr>
            <w:tcW w:w="2895" w:type="pct"/>
            <w:gridSpan w:val="2"/>
            <w:shd w:val="clear" w:color="auto" w:fill="auto"/>
            <w:vAlign w:val="center"/>
          </w:tcPr>
          <w:p>
            <w:pPr>
              <w:widowControl/>
              <w:autoSpaceDE/>
              <w:autoSpaceDN/>
              <w:adjustRightInd/>
              <w:jc w:val="center"/>
              <w:rPr>
                <w:rFonts w:hint="eastAsia" w:ascii="仿宋" w:hAnsi="仿宋" w:eastAsia="仿宋" w:cs="宋体"/>
                <w:color w:val="auto"/>
              </w:rPr>
            </w:pPr>
            <w:r>
              <w:rPr>
                <w:rFonts w:hint="eastAsia" w:ascii="仿宋" w:hAnsi="仿宋" w:eastAsia="仿宋" w:cs="宋体"/>
                <w:b/>
                <w:bCs/>
                <w:color w:val="auto"/>
              </w:rPr>
              <w:t>本项最多扣3分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905" w:type="pct"/>
            <w:vMerge w:val="continue"/>
            <w:vAlign w:val="center"/>
          </w:tcPr>
          <w:p>
            <w:pPr>
              <w:widowControl/>
              <w:autoSpaceDE/>
              <w:autoSpaceDN/>
              <w:adjustRightInd/>
              <w:rPr>
                <w:rFonts w:ascii="仿宋" w:hAnsi="仿宋" w:eastAsia="仿宋" w:cs="宋体"/>
                <w:color w:val="auto"/>
              </w:rPr>
            </w:pPr>
          </w:p>
        </w:tc>
        <w:tc>
          <w:tcPr>
            <w:tcW w:w="918" w:type="pct"/>
            <w:vMerge w:val="restart"/>
            <w:shd w:val="clear" w:color="auto" w:fill="auto"/>
            <w:vAlign w:val="center"/>
          </w:tcPr>
          <w:p>
            <w:pPr>
              <w:widowControl/>
              <w:autoSpaceDE/>
              <w:autoSpaceDN/>
              <w:adjustRightInd/>
              <w:rPr>
                <w:rFonts w:ascii="仿宋" w:hAnsi="仿宋" w:eastAsia="仿宋" w:cs="宋体"/>
                <w:color w:val="auto"/>
              </w:rPr>
            </w:pPr>
            <w:r>
              <w:rPr>
                <w:rFonts w:hint="eastAsia" w:ascii="仿宋" w:hAnsi="仿宋" w:eastAsia="仿宋" w:cs="宋体"/>
                <w:color w:val="auto"/>
              </w:rPr>
              <w:t>未按规定履行程序</w:t>
            </w:r>
          </w:p>
        </w:tc>
        <w:tc>
          <w:tcPr>
            <w:tcW w:w="1980" w:type="pct"/>
            <w:shd w:val="clear" w:color="auto" w:fill="auto"/>
            <w:vAlign w:val="center"/>
          </w:tcPr>
          <w:p>
            <w:pPr>
              <w:widowControl/>
              <w:autoSpaceDE/>
              <w:autoSpaceDN/>
              <w:adjustRightInd/>
              <w:rPr>
                <w:rFonts w:hint="eastAsia" w:ascii="仿宋" w:hAnsi="仿宋" w:eastAsia="仿宋" w:cs="宋体"/>
                <w:color w:val="auto"/>
                <w:lang w:eastAsia="zh-CN"/>
              </w:rPr>
            </w:pPr>
            <w:r>
              <w:rPr>
                <w:rFonts w:hint="eastAsia" w:ascii="仿宋" w:hAnsi="仿宋" w:eastAsia="仿宋" w:cs="宋体"/>
                <w:color w:val="auto"/>
                <w:lang w:eastAsia="zh-CN"/>
              </w:rPr>
              <w:t>未按照有关规定及时进行信息披露公开，如再融资反馈修订版本等</w:t>
            </w:r>
          </w:p>
        </w:tc>
        <w:tc>
          <w:tcPr>
            <w:tcW w:w="915" w:type="pct"/>
            <w:vMerge w:val="restart"/>
            <w:shd w:val="clear" w:color="auto" w:fill="auto"/>
            <w:vAlign w:val="center"/>
          </w:tcPr>
          <w:p>
            <w:pPr>
              <w:widowControl/>
              <w:autoSpaceDE/>
              <w:autoSpaceDN/>
              <w:adjustRightInd/>
              <w:rPr>
                <w:rFonts w:ascii="仿宋" w:hAnsi="仿宋" w:eastAsia="仿宋" w:cs="宋体"/>
                <w:color w:val="auto"/>
              </w:rPr>
            </w:pPr>
            <w:r>
              <w:rPr>
                <w:rFonts w:hint="eastAsia" w:ascii="仿宋" w:hAnsi="仿宋" w:eastAsia="仿宋" w:cs="宋体"/>
                <w:color w:val="auto"/>
              </w:rPr>
              <w:t>视情节轻重，每次扣0.5-1分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905" w:type="pct"/>
            <w:vMerge w:val="continue"/>
            <w:vAlign w:val="center"/>
          </w:tcPr>
          <w:p>
            <w:pPr>
              <w:widowControl/>
              <w:autoSpaceDE/>
              <w:autoSpaceDN/>
              <w:adjustRightInd/>
              <w:rPr>
                <w:rFonts w:ascii="仿宋" w:hAnsi="仿宋" w:eastAsia="仿宋" w:cs="宋体"/>
                <w:color w:val="auto"/>
              </w:rPr>
            </w:pPr>
          </w:p>
        </w:tc>
        <w:tc>
          <w:tcPr>
            <w:tcW w:w="918" w:type="pct"/>
            <w:vMerge w:val="continue"/>
            <w:shd w:val="clear" w:color="auto" w:fill="auto"/>
            <w:vAlign w:val="center"/>
          </w:tcPr>
          <w:p>
            <w:pPr>
              <w:widowControl/>
              <w:autoSpaceDE/>
              <w:autoSpaceDN/>
              <w:adjustRightInd/>
              <w:rPr>
                <w:rFonts w:hint="eastAsia" w:ascii="仿宋" w:hAnsi="仿宋" w:eastAsia="仿宋" w:cs="宋体"/>
                <w:color w:val="auto"/>
              </w:rPr>
            </w:pPr>
          </w:p>
        </w:tc>
        <w:tc>
          <w:tcPr>
            <w:tcW w:w="1980" w:type="pct"/>
            <w:shd w:val="clear" w:color="auto" w:fill="auto"/>
            <w:vAlign w:val="center"/>
          </w:tcPr>
          <w:p>
            <w:pPr>
              <w:widowControl/>
              <w:autoSpaceDE/>
              <w:autoSpaceDN/>
              <w:adjustRightInd/>
              <w:rPr>
                <w:rFonts w:hint="eastAsia" w:ascii="仿宋" w:hAnsi="仿宋" w:eastAsia="仿宋" w:cs="宋体"/>
                <w:color w:val="auto"/>
                <w:lang w:eastAsia="zh-CN"/>
              </w:rPr>
            </w:pPr>
            <w:r>
              <w:rPr>
                <w:rFonts w:hint="eastAsia" w:ascii="仿宋" w:hAnsi="仿宋" w:eastAsia="仿宋" w:cs="宋体"/>
                <w:color w:val="auto"/>
                <w:lang w:eastAsia="zh-CN"/>
              </w:rPr>
              <w:t>未按要求及时报送问询回复/反馈回复/预先披露更新文件/上会稿/会后事项/封卷材料</w:t>
            </w:r>
          </w:p>
        </w:tc>
        <w:tc>
          <w:tcPr>
            <w:tcW w:w="915" w:type="pct"/>
            <w:vMerge w:val="continue"/>
            <w:shd w:val="clear" w:color="auto" w:fill="auto"/>
            <w:vAlign w:val="center"/>
          </w:tcPr>
          <w:p>
            <w:pPr>
              <w:widowControl/>
              <w:autoSpaceDE/>
              <w:autoSpaceDN/>
              <w:adjustRightInd/>
              <w:rPr>
                <w:rFonts w:ascii="仿宋" w:hAnsi="仿宋" w:eastAsia="仿宋"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905" w:type="pct"/>
            <w:vMerge w:val="continue"/>
            <w:vAlign w:val="center"/>
          </w:tcPr>
          <w:p>
            <w:pPr>
              <w:widowControl/>
              <w:autoSpaceDE/>
              <w:autoSpaceDN/>
              <w:adjustRightInd/>
              <w:rPr>
                <w:rFonts w:ascii="仿宋" w:hAnsi="仿宋" w:eastAsia="仿宋" w:cs="宋体"/>
                <w:color w:val="auto"/>
              </w:rPr>
            </w:pPr>
          </w:p>
        </w:tc>
        <w:tc>
          <w:tcPr>
            <w:tcW w:w="918" w:type="pct"/>
            <w:vMerge w:val="continue"/>
            <w:shd w:val="clear" w:color="auto" w:fill="auto"/>
            <w:vAlign w:val="center"/>
          </w:tcPr>
          <w:p>
            <w:pPr>
              <w:widowControl/>
              <w:autoSpaceDE/>
              <w:autoSpaceDN/>
              <w:adjustRightInd/>
              <w:rPr>
                <w:rFonts w:hint="eastAsia" w:ascii="仿宋" w:hAnsi="仿宋" w:eastAsia="仿宋" w:cs="宋体"/>
                <w:color w:val="auto"/>
              </w:rPr>
            </w:pPr>
          </w:p>
        </w:tc>
        <w:tc>
          <w:tcPr>
            <w:tcW w:w="2895" w:type="pct"/>
            <w:gridSpan w:val="2"/>
            <w:shd w:val="clear" w:color="auto" w:fill="auto"/>
            <w:vAlign w:val="center"/>
          </w:tcPr>
          <w:p>
            <w:pPr>
              <w:widowControl/>
              <w:autoSpaceDE/>
              <w:autoSpaceDN/>
              <w:adjustRightInd/>
              <w:jc w:val="center"/>
              <w:rPr>
                <w:rFonts w:ascii="仿宋" w:hAnsi="仿宋" w:eastAsia="仿宋" w:cs="宋体"/>
                <w:color w:val="auto"/>
              </w:rPr>
            </w:pPr>
            <w:r>
              <w:rPr>
                <w:rFonts w:hint="eastAsia" w:ascii="仿宋" w:hAnsi="仿宋" w:eastAsia="仿宋" w:cs="宋体"/>
                <w:b/>
                <w:bCs/>
                <w:color w:val="auto"/>
              </w:rPr>
              <w:t>本项最多扣2分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905" w:type="pct"/>
            <w:vMerge w:val="continue"/>
            <w:vAlign w:val="center"/>
          </w:tcPr>
          <w:p>
            <w:pPr>
              <w:widowControl/>
              <w:autoSpaceDE/>
              <w:autoSpaceDN/>
              <w:adjustRightInd/>
              <w:rPr>
                <w:rFonts w:ascii="仿宋" w:hAnsi="仿宋" w:eastAsia="仿宋" w:cs="宋体"/>
                <w:color w:val="auto"/>
              </w:rPr>
            </w:pPr>
          </w:p>
        </w:tc>
        <w:tc>
          <w:tcPr>
            <w:tcW w:w="918" w:type="pct"/>
            <w:vMerge w:val="restart"/>
            <w:shd w:val="clear" w:color="auto" w:fill="auto"/>
            <w:vAlign w:val="center"/>
          </w:tcPr>
          <w:p>
            <w:pPr>
              <w:widowControl/>
              <w:autoSpaceDE/>
              <w:autoSpaceDN/>
              <w:adjustRightInd/>
              <w:rPr>
                <w:rFonts w:ascii="仿宋" w:hAnsi="仿宋" w:eastAsia="仿宋" w:cs="宋体"/>
                <w:color w:val="auto"/>
              </w:rPr>
            </w:pPr>
            <w:r>
              <w:rPr>
                <w:rFonts w:hint="eastAsia" w:ascii="仿宋" w:hAnsi="仿宋" w:eastAsia="仿宋" w:cs="宋体"/>
                <w:color w:val="auto"/>
              </w:rPr>
              <w:t>未严格执行相关规定</w:t>
            </w:r>
          </w:p>
        </w:tc>
        <w:tc>
          <w:tcPr>
            <w:tcW w:w="1980" w:type="pct"/>
            <w:shd w:val="clear" w:color="auto" w:fill="auto"/>
            <w:vAlign w:val="center"/>
          </w:tcPr>
          <w:p>
            <w:pPr>
              <w:widowControl/>
              <w:autoSpaceDE/>
              <w:autoSpaceDN/>
              <w:adjustRightInd/>
              <w:jc w:val="both"/>
              <w:rPr>
                <w:rFonts w:hint="eastAsia" w:ascii="仿宋" w:hAnsi="仿宋" w:eastAsia="仿宋" w:cs="宋体"/>
                <w:color w:val="auto"/>
                <w:lang w:eastAsia="zh-CN"/>
              </w:rPr>
            </w:pPr>
            <w:r>
              <w:rPr>
                <w:rFonts w:hint="eastAsia" w:ascii="仿宋" w:hAnsi="仿宋" w:eastAsia="仿宋" w:cs="宋体"/>
                <w:color w:val="auto"/>
                <w:lang w:eastAsia="zh-CN"/>
              </w:rPr>
              <w:t>未按照首发/再融资业务若干问题解答进行规范，如对赌协议、三类股东、财务内控不规范等；保荐工作报告未详细说明发行人主要问题与风险；现场检查或督导配合度差。</w:t>
            </w:r>
          </w:p>
        </w:tc>
        <w:tc>
          <w:tcPr>
            <w:tcW w:w="915" w:type="pct"/>
            <w:shd w:val="clear" w:color="auto" w:fill="auto"/>
            <w:vAlign w:val="center"/>
          </w:tcPr>
          <w:p>
            <w:pPr>
              <w:widowControl/>
              <w:autoSpaceDE/>
              <w:autoSpaceDN/>
              <w:adjustRightInd/>
              <w:jc w:val="both"/>
              <w:rPr>
                <w:rFonts w:hint="eastAsia" w:ascii="仿宋" w:hAnsi="仿宋" w:eastAsia="仿宋" w:cs="宋体"/>
                <w:color w:val="auto"/>
              </w:rPr>
            </w:pPr>
            <w:r>
              <w:rPr>
                <w:rFonts w:hint="eastAsia" w:ascii="仿宋" w:hAnsi="仿宋" w:eastAsia="仿宋" w:cs="宋体"/>
                <w:color w:val="auto"/>
              </w:rPr>
              <w:t>考虑涉及事项的重要性程度,每项扣2-5分；</w:t>
            </w:r>
          </w:p>
          <w:p>
            <w:pPr>
              <w:widowControl/>
              <w:autoSpaceDE/>
              <w:autoSpaceDN/>
              <w:adjustRightInd/>
              <w:jc w:val="both"/>
              <w:rPr>
                <w:rFonts w:ascii="仿宋" w:hAnsi="仿宋" w:eastAsia="仿宋" w:cs="宋体"/>
                <w:color w:val="auto"/>
              </w:rPr>
            </w:pPr>
            <w:r>
              <w:rPr>
                <w:rFonts w:hint="eastAsia" w:ascii="仿宋" w:hAnsi="仿宋" w:eastAsia="仿宋" w:cs="宋体"/>
                <w:b/>
                <w:bCs/>
                <w:color w:val="auto"/>
              </w:rPr>
              <w:t>本项最多扣10分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905" w:type="pct"/>
            <w:vMerge w:val="continue"/>
            <w:vAlign w:val="center"/>
          </w:tcPr>
          <w:p>
            <w:pPr>
              <w:widowControl/>
              <w:autoSpaceDE/>
              <w:autoSpaceDN/>
              <w:adjustRightInd/>
              <w:rPr>
                <w:rFonts w:ascii="仿宋" w:hAnsi="仿宋" w:eastAsia="仿宋" w:cs="宋体"/>
                <w:color w:val="auto"/>
              </w:rPr>
            </w:pPr>
          </w:p>
        </w:tc>
        <w:tc>
          <w:tcPr>
            <w:tcW w:w="918" w:type="pct"/>
            <w:vMerge w:val="continue"/>
            <w:vAlign w:val="center"/>
          </w:tcPr>
          <w:p>
            <w:pPr>
              <w:widowControl/>
              <w:autoSpaceDE/>
              <w:autoSpaceDN/>
              <w:adjustRightInd/>
              <w:rPr>
                <w:rFonts w:ascii="仿宋" w:hAnsi="仿宋" w:eastAsia="仿宋" w:cs="宋体"/>
                <w:color w:val="auto"/>
              </w:rPr>
            </w:pPr>
          </w:p>
        </w:tc>
        <w:tc>
          <w:tcPr>
            <w:tcW w:w="1980" w:type="pct"/>
            <w:shd w:val="clear" w:color="auto" w:fill="auto"/>
            <w:vAlign w:val="center"/>
          </w:tcPr>
          <w:p>
            <w:pPr>
              <w:widowControl/>
              <w:autoSpaceDE/>
              <w:autoSpaceDN/>
              <w:adjustRightInd/>
              <w:jc w:val="both"/>
              <w:rPr>
                <w:rFonts w:ascii="仿宋" w:hAnsi="仿宋" w:eastAsia="仿宋" w:cs="宋体"/>
                <w:color w:val="auto"/>
              </w:rPr>
            </w:pPr>
            <w:r>
              <w:rPr>
                <w:rFonts w:hint="eastAsia" w:ascii="仿宋" w:hAnsi="仿宋" w:eastAsia="仿宋" w:cs="宋体"/>
                <w:color w:val="auto"/>
              </w:rPr>
              <w:t>涉及影响投资者判断的相关事项，未按要求进行核查并出具核查结论</w:t>
            </w:r>
          </w:p>
        </w:tc>
        <w:tc>
          <w:tcPr>
            <w:tcW w:w="915" w:type="pct"/>
            <w:shd w:val="clear" w:color="auto" w:fill="auto"/>
            <w:vAlign w:val="center"/>
          </w:tcPr>
          <w:p>
            <w:pPr>
              <w:widowControl/>
              <w:autoSpaceDE/>
              <w:autoSpaceDN/>
              <w:adjustRightInd/>
              <w:jc w:val="both"/>
              <w:rPr>
                <w:rFonts w:hint="eastAsia" w:ascii="仿宋" w:hAnsi="仿宋" w:eastAsia="仿宋" w:cs="宋体"/>
                <w:color w:val="auto"/>
              </w:rPr>
            </w:pPr>
            <w:r>
              <w:rPr>
                <w:rFonts w:hint="eastAsia" w:ascii="仿宋" w:hAnsi="仿宋" w:eastAsia="仿宋" w:cs="宋体"/>
                <w:color w:val="auto"/>
              </w:rPr>
              <w:t>核查程序缺失或不充分或没有论证过程，仅有核查结论，扣3分；</w:t>
            </w:r>
          </w:p>
          <w:p>
            <w:pPr>
              <w:widowControl/>
              <w:autoSpaceDE/>
              <w:autoSpaceDN/>
              <w:adjustRightInd/>
              <w:jc w:val="both"/>
              <w:rPr>
                <w:rFonts w:hint="eastAsia" w:ascii="仿宋" w:hAnsi="仿宋" w:eastAsia="仿宋" w:cs="宋体"/>
                <w:color w:val="auto"/>
              </w:rPr>
            </w:pPr>
            <w:r>
              <w:rPr>
                <w:rFonts w:hint="eastAsia" w:ascii="仿宋" w:hAnsi="仿宋" w:eastAsia="仿宋" w:cs="宋体"/>
                <w:color w:val="auto"/>
              </w:rPr>
              <w:t>核查意见结论不明确或有所保留，未按照要求出具核查意见，扣3分</w:t>
            </w:r>
          </w:p>
          <w:p>
            <w:pPr>
              <w:widowControl/>
              <w:autoSpaceDE/>
              <w:autoSpaceDN/>
              <w:adjustRightInd/>
              <w:jc w:val="both"/>
              <w:rPr>
                <w:rFonts w:ascii="仿宋" w:hAnsi="仿宋" w:eastAsia="仿宋" w:cs="宋体"/>
                <w:color w:val="auto"/>
              </w:rPr>
            </w:pPr>
            <w:r>
              <w:rPr>
                <w:rFonts w:hint="eastAsia" w:ascii="仿宋" w:hAnsi="仿宋" w:eastAsia="仿宋" w:cs="宋体"/>
                <w:b/>
                <w:bCs/>
                <w:color w:val="auto"/>
              </w:rPr>
              <w:t>本项最多扣5分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4718" w:type="pct"/>
            <w:gridSpan w:val="4"/>
            <w:shd w:val="clear" w:color="000000" w:fill="D9D9D9"/>
            <w:vAlign w:val="center"/>
          </w:tcPr>
          <w:p>
            <w:pPr>
              <w:widowControl/>
              <w:autoSpaceDE/>
              <w:autoSpaceDN/>
              <w:adjustRightInd/>
              <w:rPr>
                <w:rFonts w:ascii="仿宋" w:hAnsi="仿宋" w:eastAsia="仿宋" w:cs="宋体"/>
                <w:color w:val="auto"/>
              </w:rPr>
            </w:pPr>
            <w:r>
              <w:rPr>
                <w:rFonts w:hint="eastAsia" w:ascii="仿宋" w:hAnsi="仿宋" w:eastAsia="仿宋" w:cs="宋体"/>
                <w:color w:val="auto"/>
              </w:rPr>
              <w:t>负面事项：受理环节发现的负面行为记录</w:t>
            </w:r>
            <w:r>
              <w:rPr>
                <w:rFonts w:hint="eastAsia" w:ascii="仿宋" w:hAnsi="仿宋" w:eastAsia="仿宋" w:cs="宋体"/>
                <w:color w:val="auto"/>
                <w:lang w:eastAsia="zh-CN"/>
              </w:rPr>
              <w:t>（</w:t>
            </w:r>
            <w:r>
              <w:rPr>
                <w:rFonts w:hint="default" w:ascii="仿宋" w:hAnsi="仿宋" w:eastAsia="仿宋" w:cs="宋体"/>
                <w:color w:val="auto"/>
                <w:lang w:eastAsia="zh-CN"/>
              </w:rPr>
              <w:t>若被采取监管工作措施可以在该项扣分限额内，按不超过扣分标准的2倍扣分</w:t>
            </w:r>
            <w:r>
              <w:rPr>
                <w:rFonts w:hint="eastAsia" w:ascii="仿宋" w:hAnsi="仿宋" w:eastAsia="仿宋" w:cs="宋体"/>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1823" w:type="pct"/>
            <w:gridSpan w:val="2"/>
            <w:shd w:val="clear" w:color="auto" w:fill="auto"/>
            <w:vAlign w:val="center"/>
          </w:tcPr>
          <w:p>
            <w:pPr>
              <w:widowControl/>
              <w:autoSpaceDE/>
              <w:autoSpaceDN/>
              <w:adjustRightInd/>
              <w:rPr>
                <w:rFonts w:ascii="仿宋" w:hAnsi="仿宋" w:eastAsia="仿宋" w:cs="宋体"/>
                <w:color w:val="auto"/>
              </w:rPr>
            </w:pPr>
            <w:r>
              <w:rPr>
                <w:rFonts w:hint="eastAsia" w:ascii="仿宋" w:hAnsi="仿宋" w:eastAsia="仿宋" w:cs="宋体"/>
                <w:color w:val="auto"/>
                <w:lang w:val="en-US" w:eastAsia="zh-CN"/>
              </w:rPr>
              <w:t>9.</w:t>
            </w:r>
            <w:r>
              <w:rPr>
                <w:rFonts w:hint="eastAsia" w:ascii="仿宋" w:hAnsi="仿宋" w:eastAsia="仿宋" w:cs="宋体"/>
                <w:color w:val="auto"/>
              </w:rPr>
              <w:t>申报文件齐备性、规范性存在瑕疵；项目申报后补充（补正）材料次数过多</w:t>
            </w:r>
          </w:p>
        </w:tc>
        <w:tc>
          <w:tcPr>
            <w:tcW w:w="2895" w:type="pct"/>
            <w:gridSpan w:val="2"/>
            <w:shd w:val="clear" w:color="auto" w:fill="auto"/>
            <w:vAlign w:val="center"/>
          </w:tcPr>
          <w:p>
            <w:pPr>
              <w:widowControl/>
              <w:autoSpaceDE/>
              <w:autoSpaceDN/>
              <w:adjustRightInd/>
              <w:rPr>
                <w:rFonts w:hint="eastAsia" w:ascii="仿宋" w:hAnsi="仿宋" w:eastAsia="仿宋" w:cs="宋体"/>
                <w:color w:val="auto"/>
              </w:rPr>
            </w:pPr>
            <w:r>
              <w:rPr>
                <w:rFonts w:hint="eastAsia" w:ascii="仿宋" w:hAnsi="仿宋" w:eastAsia="仿宋" w:cs="宋体"/>
                <w:color w:val="auto"/>
              </w:rPr>
              <w:t>应同时考虑文件重要性程度及问题文件数量，一般缺少或需修订文件3个以内扣0.5分，3个以上扣1分；补正（补充）文件次数超过2次扣0.5分</w:t>
            </w:r>
          </w:p>
          <w:p>
            <w:pPr>
              <w:widowControl/>
              <w:autoSpaceDE/>
              <w:autoSpaceDN/>
              <w:adjustRightInd/>
              <w:rPr>
                <w:rFonts w:ascii="仿宋" w:hAnsi="仿宋" w:eastAsia="仿宋" w:cs="宋体"/>
                <w:color w:val="auto"/>
              </w:rPr>
            </w:pPr>
            <w:r>
              <w:rPr>
                <w:rFonts w:hint="eastAsia" w:ascii="仿宋" w:hAnsi="仿宋" w:eastAsia="仿宋" w:cs="宋体"/>
                <w:b/>
                <w:bCs/>
                <w:color w:val="auto"/>
              </w:rPr>
              <w:t>本项最多扣1分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4718" w:type="pct"/>
            <w:gridSpan w:val="4"/>
            <w:shd w:val="clear" w:color="000000" w:fill="D9D9D9"/>
            <w:vAlign w:val="center"/>
          </w:tcPr>
          <w:p>
            <w:pPr>
              <w:widowControl/>
              <w:autoSpaceDE/>
              <w:autoSpaceDN/>
              <w:adjustRightInd/>
              <w:rPr>
                <w:rFonts w:ascii="仿宋" w:hAnsi="仿宋" w:eastAsia="仿宋" w:cs="宋体"/>
                <w:color w:val="auto"/>
              </w:rPr>
            </w:pPr>
            <w:r>
              <w:rPr>
                <w:rFonts w:hint="eastAsia" w:ascii="仿宋" w:hAnsi="仿宋" w:eastAsia="仿宋" w:cs="宋体"/>
                <w:color w:val="auto"/>
              </w:rPr>
              <w:t>负面事项</w:t>
            </w:r>
            <w:r>
              <w:rPr>
                <w:rFonts w:hint="eastAsia" w:ascii="仿宋" w:hAnsi="仿宋" w:eastAsia="仿宋" w:cs="宋体"/>
                <w:color w:val="auto"/>
                <w:lang w:eastAsia="zh-CN"/>
              </w:rPr>
              <w:t>：</w:t>
            </w:r>
            <w:r>
              <w:rPr>
                <w:rFonts w:hint="eastAsia" w:ascii="仿宋" w:hAnsi="仿宋" w:eastAsia="仿宋" w:cs="宋体"/>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281" w:type="pct"/>
            <w:vMerge w:val="continue"/>
            <w:vAlign w:val="center"/>
          </w:tcPr>
          <w:p>
            <w:pPr>
              <w:widowControl/>
              <w:autoSpaceDE/>
              <w:autoSpaceDN/>
              <w:adjustRightInd/>
              <w:rPr>
                <w:rFonts w:ascii="仿宋" w:hAnsi="仿宋" w:eastAsia="仿宋" w:cs="宋体"/>
                <w:color w:val="auto"/>
              </w:rPr>
            </w:pPr>
          </w:p>
        </w:tc>
        <w:tc>
          <w:tcPr>
            <w:tcW w:w="4718" w:type="pct"/>
            <w:gridSpan w:val="4"/>
            <w:shd w:val="clear" w:color="auto" w:fill="auto"/>
            <w:noWrap/>
            <w:vAlign w:val="center"/>
          </w:tcPr>
          <w:p>
            <w:pPr>
              <w:widowControl/>
              <w:autoSpaceDE/>
              <w:autoSpaceDN/>
              <w:adjustRightInd/>
              <w:rPr>
                <w:rFonts w:ascii="仿宋" w:hAnsi="仿宋" w:eastAsia="仿宋" w:cs="宋体"/>
                <w:color w:val="auto"/>
              </w:rPr>
            </w:pPr>
            <w:r>
              <w:rPr>
                <w:rFonts w:hint="eastAsia" w:ascii="仿宋" w:hAnsi="仿宋" w:eastAsia="仿宋" w:cs="宋体"/>
                <w:color w:val="auto"/>
                <w:lang w:val="en-US" w:eastAsia="zh-CN"/>
              </w:rPr>
              <w:t>10</w:t>
            </w:r>
            <w:r>
              <w:rPr>
                <w:rFonts w:hint="eastAsia" w:ascii="仿宋" w:hAnsi="仿宋" w:eastAsia="仿宋" w:cs="宋体"/>
                <w:color w:val="auto"/>
              </w:rPr>
              <w:t>.其他</w:t>
            </w:r>
            <w:r>
              <w:rPr>
                <w:rFonts w:hint="eastAsia" w:ascii="仿宋" w:hAnsi="仿宋" w:eastAsia="仿宋" w:cs="宋体"/>
                <w:color w:val="auto"/>
                <w:lang w:eastAsia="zh-CN"/>
              </w:rPr>
              <w:t>一般</w:t>
            </w:r>
            <w:r>
              <w:rPr>
                <w:rFonts w:hint="eastAsia" w:ascii="仿宋" w:hAnsi="仿宋" w:eastAsia="仿宋" w:cs="宋体"/>
                <w:color w:val="auto"/>
              </w:rPr>
              <w:t>负面事项可由审核、注册部门视情节、性质等，参照以上原则和标准酌情扣分</w:t>
            </w:r>
          </w:p>
        </w:tc>
      </w:tr>
    </w:tbl>
    <w:p>
      <w:pPr>
        <w:spacing w:beforeLines="50"/>
        <w:ind w:left="-1418" w:leftChars="-709"/>
        <w:outlineLvl w:val="0"/>
        <w:rPr>
          <w:rFonts w:ascii="仿宋" w:hAnsi="仿宋" w:eastAsia="仿宋"/>
          <w:b/>
          <w:color w:val="auto"/>
          <w:sz w:val="24"/>
          <w:szCs w:val="24"/>
        </w:rPr>
      </w:pPr>
    </w:p>
    <w:p>
      <w:pPr>
        <w:numPr>
          <w:ilvl w:val="0"/>
          <w:numId w:val="0"/>
        </w:numPr>
        <w:spacing w:beforeLines="50"/>
        <w:outlineLvl w:val="0"/>
        <w:rPr>
          <w:rFonts w:ascii="仿宋" w:hAnsi="仿宋" w:eastAsia="仿宋"/>
          <w:b/>
          <w:color w:val="auto"/>
          <w:sz w:val="24"/>
          <w:szCs w:val="24"/>
          <w:highlight w:val="none"/>
        </w:rPr>
      </w:pPr>
      <w:r>
        <w:rPr>
          <w:rFonts w:hint="eastAsia" w:ascii="仿宋" w:hAnsi="仿宋" w:eastAsia="仿宋"/>
          <w:b/>
          <w:color w:val="auto"/>
          <w:sz w:val="24"/>
          <w:szCs w:val="24"/>
          <w:highlight w:val="none"/>
          <w:lang w:eastAsia="zh-CN"/>
        </w:rPr>
        <w:t>二、</w:t>
      </w:r>
      <w:r>
        <w:rPr>
          <w:rFonts w:hint="eastAsia" w:ascii="仿宋" w:hAnsi="仿宋" w:eastAsia="仿宋"/>
          <w:b/>
          <w:color w:val="auto"/>
          <w:sz w:val="24"/>
          <w:szCs w:val="24"/>
          <w:highlight w:val="none"/>
        </w:rPr>
        <w:t>内部控制评价（2</w:t>
      </w:r>
      <w:r>
        <w:rPr>
          <w:rFonts w:hint="eastAsia" w:ascii="仿宋" w:hAnsi="仿宋" w:eastAsia="仿宋"/>
          <w:b/>
          <w:color w:val="auto"/>
          <w:sz w:val="24"/>
          <w:szCs w:val="24"/>
          <w:highlight w:val="none"/>
          <w:lang w:val="en-US" w:eastAsia="zh-CN"/>
        </w:rPr>
        <w:t>0</w:t>
      </w:r>
      <w:r>
        <w:rPr>
          <w:rFonts w:hint="eastAsia" w:ascii="仿宋" w:hAnsi="仿宋" w:eastAsia="仿宋"/>
          <w:b/>
          <w:color w:val="auto"/>
          <w:sz w:val="24"/>
          <w:szCs w:val="24"/>
          <w:highlight w:val="none"/>
        </w:rPr>
        <w:t>分）</w:t>
      </w:r>
    </w:p>
    <w:p>
      <w:pPr>
        <w:spacing w:beforeLines="50"/>
        <w:ind w:firstLine="480" w:firstLineChars="200"/>
        <w:outlineLvl w:val="0"/>
        <w:rPr>
          <w:rFonts w:hint="default" w:ascii="仿宋" w:hAnsi="仿宋" w:eastAsia="仿宋"/>
          <w:color w:val="auto"/>
          <w:sz w:val="24"/>
          <w:szCs w:val="24"/>
        </w:rPr>
      </w:pPr>
      <w:r>
        <w:rPr>
          <w:rFonts w:hint="eastAsia" w:ascii="仿宋" w:hAnsi="仿宋" w:eastAsia="仿宋"/>
          <w:color w:val="auto"/>
          <w:sz w:val="24"/>
          <w:szCs w:val="24"/>
        </w:rPr>
        <w:t>试点期内部控制评价为证券公司投行业务内部控制和治理体系的整体建设运行情况的评价</w:t>
      </w:r>
      <w:r>
        <w:rPr>
          <w:rFonts w:hint="eastAsia" w:ascii="仿宋" w:hAnsi="仿宋" w:eastAsia="仿宋"/>
          <w:color w:val="auto"/>
          <w:sz w:val="24"/>
          <w:szCs w:val="24"/>
          <w:lang w:eastAsia="zh-CN"/>
        </w:rPr>
        <w:t>。</w:t>
      </w:r>
      <w:r>
        <w:rPr>
          <w:rFonts w:hint="eastAsia" w:ascii="仿宋" w:hAnsi="仿宋" w:eastAsia="仿宋"/>
          <w:color w:val="auto"/>
          <w:sz w:val="24"/>
          <w:szCs w:val="24"/>
        </w:rPr>
        <w:t>评价采用扣分方式，根据各类负面事项的扣分标准对基准分进行扣减</w:t>
      </w:r>
      <w:r>
        <w:rPr>
          <w:rFonts w:hint="eastAsia" w:ascii="仿宋" w:hAnsi="仿宋" w:eastAsia="仿宋"/>
          <w:color w:val="auto"/>
          <w:sz w:val="24"/>
          <w:szCs w:val="24"/>
          <w:lang w:eastAsia="zh-CN"/>
        </w:rPr>
        <w:t>，直至</w:t>
      </w:r>
      <w:r>
        <w:rPr>
          <w:rFonts w:hint="eastAsia" w:ascii="仿宋" w:hAnsi="仿宋" w:eastAsia="仿宋"/>
          <w:color w:val="auto"/>
          <w:sz w:val="24"/>
          <w:szCs w:val="24"/>
          <w:lang w:val="en-US" w:eastAsia="zh-CN"/>
        </w:rPr>
        <w:t>0分。本项基准分为20分。</w:t>
      </w:r>
      <w:r>
        <w:rPr>
          <w:rFonts w:hint="default" w:ascii="仿宋" w:hAnsi="仿宋" w:eastAsia="仿宋"/>
          <w:color w:val="auto"/>
          <w:sz w:val="24"/>
          <w:szCs w:val="24"/>
          <w:lang w:eastAsia="zh-CN"/>
        </w:rPr>
        <w:t>相关信息由中国证监会及其派出机构提供。</w:t>
      </w:r>
    </w:p>
    <w:tbl>
      <w:tblPr>
        <w:tblStyle w:val="10"/>
        <w:tblW w:w="14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1991"/>
        <w:gridCol w:w="6431"/>
        <w:gridCol w:w="4007"/>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Align w:val="center"/>
          </w:tcPr>
          <w:p>
            <w:pPr>
              <w:jc w:val="center"/>
              <w:rPr>
                <w:rFonts w:ascii="仿宋" w:hAnsi="仿宋" w:eastAsia="仿宋"/>
                <w:b/>
                <w:color w:val="auto"/>
                <w:sz w:val="21"/>
                <w:szCs w:val="24"/>
              </w:rPr>
            </w:pPr>
            <w:r>
              <w:rPr>
                <w:rFonts w:hint="eastAsia" w:ascii="仿宋" w:hAnsi="仿宋" w:eastAsia="仿宋"/>
                <w:b/>
                <w:color w:val="auto"/>
                <w:sz w:val="21"/>
                <w:szCs w:val="24"/>
              </w:rPr>
              <w:t>一级评价指标</w:t>
            </w:r>
          </w:p>
        </w:tc>
        <w:tc>
          <w:tcPr>
            <w:tcW w:w="0" w:type="auto"/>
            <w:vAlign w:val="center"/>
          </w:tcPr>
          <w:p>
            <w:pPr>
              <w:jc w:val="center"/>
              <w:rPr>
                <w:rFonts w:ascii="仿宋" w:hAnsi="仿宋" w:eastAsia="仿宋"/>
                <w:b/>
                <w:color w:val="auto"/>
                <w:sz w:val="21"/>
                <w:szCs w:val="24"/>
              </w:rPr>
            </w:pPr>
            <w:r>
              <w:rPr>
                <w:rFonts w:hint="eastAsia" w:ascii="仿宋" w:hAnsi="仿宋" w:eastAsia="仿宋"/>
                <w:b/>
                <w:color w:val="auto"/>
                <w:sz w:val="21"/>
                <w:szCs w:val="24"/>
              </w:rPr>
              <w:t>二级评价指标</w:t>
            </w:r>
          </w:p>
        </w:tc>
        <w:tc>
          <w:tcPr>
            <w:tcW w:w="6431" w:type="dxa"/>
            <w:vAlign w:val="center"/>
          </w:tcPr>
          <w:p>
            <w:pPr>
              <w:jc w:val="center"/>
              <w:rPr>
                <w:rFonts w:ascii="仿宋" w:hAnsi="仿宋" w:eastAsia="仿宋"/>
                <w:b/>
                <w:color w:val="auto"/>
                <w:sz w:val="21"/>
                <w:szCs w:val="24"/>
              </w:rPr>
            </w:pPr>
            <w:r>
              <w:rPr>
                <w:rFonts w:hint="eastAsia" w:ascii="仿宋" w:hAnsi="仿宋" w:eastAsia="仿宋"/>
                <w:b/>
                <w:color w:val="auto"/>
                <w:sz w:val="21"/>
                <w:szCs w:val="24"/>
              </w:rPr>
              <w:t>评价标准</w:t>
            </w:r>
          </w:p>
        </w:tc>
        <w:tc>
          <w:tcPr>
            <w:tcW w:w="0" w:type="auto"/>
            <w:vAlign w:val="center"/>
          </w:tcPr>
          <w:p>
            <w:pPr>
              <w:jc w:val="center"/>
              <w:rPr>
                <w:rFonts w:ascii="仿宋" w:hAnsi="仿宋" w:eastAsia="仿宋"/>
                <w:b/>
                <w:color w:val="auto"/>
                <w:sz w:val="21"/>
                <w:szCs w:val="24"/>
              </w:rPr>
            </w:pPr>
            <w:r>
              <w:rPr>
                <w:rFonts w:hint="eastAsia" w:ascii="仿宋" w:hAnsi="仿宋" w:eastAsia="仿宋"/>
                <w:b/>
                <w:color w:val="auto"/>
                <w:sz w:val="21"/>
                <w:szCs w:val="24"/>
              </w:rPr>
              <w:t>计分标准</w:t>
            </w:r>
          </w:p>
        </w:tc>
        <w:tc>
          <w:tcPr>
            <w:tcW w:w="0" w:type="auto"/>
            <w:vAlign w:val="center"/>
          </w:tcPr>
          <w:p>
            <w:pPr>
              <w:jc w:val="center"/>
              <w:rPr>
                <w:rFonts w:ascii="仿宋" w:hAnsi="仿宋" w:eastAsia="仿宋"/>
                <w:b/>
                <w:color w:val="auto"/>
                <w:sz w:val="21"/>
                <w:szCs w:val="24"/>
              </w:rPr>
            </w:pPr>
            <w:r>
              <w:rPr>
                <w:rFonts w:hint="eastAsia" w:ascii="仿宋" w:hAnsi="仿宋" w:eastAsia="仿宋"/>
                <w:b/>
                <w:color w:val="auto"/>
                <w:sz w:val="21"/>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restart"/>
            <w:vAlign w:val="center"/>
          </w:tcPr>
          <w:p>
            <w:pPr>
              <w:jc w:val="both"/>
              <w:rPr>
                <w:rFonts w:ascii="仿宋" w:hAnsi="仿宋" w:eastAsia="仿宋"/>
                <w:color w:val="auto"/>
                <w:sz w:val="21"/>
                <w:szCs w:val="24"/>
              </w:rPr>
            </w:pPr>
            <w:r>
              <w:rPr>
                <w:rFonts w:hint="eastAsia" w:ascii="仿宋" w:hAnsi="仿宋" w:eastAsia="仿宋"/>
                <w:color w:val="auto"/>
                <w:sz w:val="21"/>
                <w:szCs w:val="24"/>
              </w:rPr>
              <w:t>公司层面内控治理</w:t>
            </w:r>
          </w:p>
          <w:p>
            <w:pPr>
              <w:jc w:val="both"/>
              <w:rPr>
                <w:rFonts w:ascii="仿宋" w:hAnsi="仿宋" w:eastAsia="仿宋"/>
                <w:color w:val="auto"/>
                <w:sz w:val="21"/>
                <w:szCs w:val="24"/>
              </w:rPr>
            </w:pPr>
          </w:p>
        </w:tc>
        <w:tc>
          <w:tcPr>
            <w:tcW w:w="0" w:type="auto"/>
            <w:vAlign w:val="center"/>
          </w:tcPr>
          <w:p>
            <w:pPr>
              <w:jc w:val="both"/>
              <w:rPr>
                <w:rFonts w:ascii="仿宋" w:hAnsi="仿宋" w:eastAsia="仿宋"/>
                <w:color w:val="auto"/>
                <w:sz w:val="21"/>
                <w:szCs w:val="24"/>
              </w:rPr>
            </w:pPr>
            <w:r>
              <w:rPr>
                <w:rFonts w:hint="eastAsia" w:ascii="仿宋" w:hAnsi="仿宋" w:eastAsia="仿宋"/>
                <w:color w:val="auto"/>
                <w:sz w:val="21"/>
                <w:szCs w:val="24"/>
              </w:rPr>
              <w:t>1</w:t>
            </w:r>
            <w:r>
              <w:rPr>
                <w:rFonts w:ascii="仿宋" w:hAnsi="仿宋" w:eastAsia="仿宋"/>
                <w:color w:val="auto"/>
                <w:sz w:val="21"/>
                <w:szCs w:val="24"/>
              </w:rPr>
              <w:t>.统一管理</w:t>
            </w:r>
          </w:p>
        </w:tc>
        <w:tc>
          <w:tcPr>
            <w:tcW w:w="6431" w:type="dxa"/>
            <w:vAlign w:val="center"/>
          </w:tcPr>
          <w:p>
            <w:pPr>
              <w:jc w:val="both"/>
              <w:rPr>
                <w:rFonts w:ascii="仿宋" w:hAnsi="仿宋" w:eastAsia="仿宋"/>
                <w:color w:val="auto"/>
                <w:sz w:val="21"/>
                <w:szCs w:val="24"/>
              </w:rPr>
            </w:pPr>
            <w:r>
              <w:rPr>
                <w:rFonts w:ascii="仿宋" w:hAnsi="仿宋" w:eastAsia="仿宋"/>
                <w:color w:val="auto"/>
                <w:sz w:val="21"/>
                <w:szCs w:val="24"/>
              </w:rPr>
              <w:t>证券公司应当对投行业务承做实行集中统一管理，原则上非单一从事投行业务的分支机构不得开展除项目承揽等辅助性活动以外的投行业务。</w:t>
            </w:r>
          </w:p>
        </w:tc>
        <w:tc>
          <w:tcPr>
            <w:tcW w:w="0" w:type="auto"/>
            <w:vAlign w:val="center"/>
          </w:tcPr>
          <w:p>
            <w:pPr>
              <w:jc w:val="both"/>
              <w:rPr>
                <w:rFonts w:ascii="仿宋" w:hAnsi="仿宋" w:eastAsia="仿宋"/>
                <w:color w:val="auto"/>
                <w:sz w:val="21"/>
                <w:szCs w:val="24"/>
              </w:rPr>
            </w:pPr>
            <w:r>
              <w:rPr>
                <w:rFonts w:ascii="仿宋" w:hAnsi="仿宋" w:eastAsia="仿宋"/>
                <w:color w:val="auto"/>
                <w:sz w:val="21"/>
                <w:szCs w:val="24"/>
              </w:rPr>
              <w:t>存在相关不足的，视情节轻重</w:t>
            </w:r>
            <w:r>
              <w:rPr>
                <w:rFonts w:hint="eastAsia" w:ascii="仿宋" w:hAnsi="仿宋" w:eastAsia="仿宋"/>
                <w:color w:val="auto"/>
                <w:sz w:val="21"/>
                <w:szCs w:val="24"/>
                <w:lang w:eastAsia="zh-CN"/>
              </w:rPr>
              <w:t>扣分</w:t>
            </w:r>
            <w:r>
              <w:rPr>
                <w:rFonts w:ascii="仿宋" w:hAnsi="仿宋" w:eastAsia="仿宋"/>
                <w:color w:val="auto"/>
                <w:sz w:val="21"/>
                <w:szCs w:val="24"/>
              </w:rPr>
              <w:t>。</w:t>
            </w:r>
          </w:p>
        </w:tc>
        <w:tc>
          <w:tcPr>
            <w:tcW w:w="0" w:type="auto"/>
            <w:vAlign w:val="center"/>
          </w:tcPr>
          <w:p>
            <w:pPr>
              <w:jc w:val="both"/>
              <w:rPr>
                <w:rFonts w:ascii="仿宋" w:hAnsi="仿宋" w:eastAsia="仿宋"/>
                <w:color w:val="auto"/>
                <w:sz w:val="21"/>
                <w:szCs w:val="24"/>
              </w:rPr>
            </w:pPr>
            <w:r>
              <w:rPr>
                <w:rFonts w:hint="eastAsia" w:ascii="仿宋" w:hAnsi="仿宋" w:eastAsia="仿宋"/>
                <w:color w:val="auto"/>
                <w:sz w:val="21"/>
                <w:szCs w:val="24"/>
              </w:rPr>
              <w:t>最多扣</w:t>
            </w:r>
            <w:r>
              <w:rPr>
                <w:rFonts w:hint="default" w:ascii="仿宋" w:hAnsi="仿宋" w:eastAsia="仿宋"/>
                <w:color w:val="auto"/>
                <w:sz w:val="21"/>
                <w:szCs w:val="24"/>
                <w:lang w:val="en-US"/>
              </w:rPr>
              <w:t>3</w:t>
            </w:r>
            <w:r>
              <w:rPr>
                <w:rFonts w:hint="eastAsia" w:ascii="仿宋" w:hAnsi="仿宋" w:eastAsia="仿宋"/>
                <w:color w:val="auto"/>
                <w:sz w:val="21"/>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both"/>
              <w:rPr>
                <w:rFonts w:ascii="仿宋" w:hAnsi="仿宋" w:eastAsia="仿宋"/>
                <w:color w:val="auto"/>
                <w:sz w:val="21"/>
                <w:szCs w:val="24"/>
              </w:rPr>
            </w:pPr>
          </w:p>
        </w:tc>
        <w:tc>
          <w:tcPr>
            <w:tcW w:w="0" w:type="auto"/>
            <w:vAlign w:val="center"/>
          </w:tcPr>
          <w:p>
            <w:pPr>
              <w:jc w:val="both"/>
              <w:rPr>
                <w:rFonts w:ascii="仿宋" w:hAnsi="仿宋" w:eastAsia="仿宋"/>
                <w:color w:val="auto"/>
                <w:sz w:val="21"/>
                <w:szCs w:val="24"/>
              </w:rPr>
            </w:pPr>
            <w:r>
              <w:rPr>
                <w:rFonts w:hint="eastAsia" w:ascii="仿宋" w:hAnsi="仿宋" w:eastAsia="仿宋"/>
                <w:color w:val="auto"/>
                <w:sz w:val="21"/>
                <w:szCs w:val="24"/>
              </w:rPr>
              <w:t>2</w:t>
            </w:r>
            <w:r>
              <w:rPr>
                <w:rFonts w:ascii="仿宋" w:hAnsi="仿宋" w:eastAsia="仿宋"/>
                <w:color w:val="auto"/>
                <w:sz w:val="21"/>
                <w:szCs w:val="24"/>
              </w:rPr>
              <w:t>.有效制衡</w:t>
            </w:r>
          </w:p>
        </w:tc>
        <w:tc>
          <w:tcPr>
            <w:tcW w:w="6431" w:type="dxa"/>
            <w:vAlign w:val="center"/>
          </w:tcPr>
          <w:p>
            <w:pPr>
              <w:jc w:val="both"/>
              <w:rPr>
                <w:rFonts w:ascii="仿宋" w:hAnsi="仿宋" w:eastAsia="仿宋"/>
                <w:color w:val="auto"/>
                <w:sz w:val="21"/>
                <w:szCs w:val="24"/>
              </w:rPr>
            </w:pPr>
            <w:r>
              <w:rPr>
                <w:rFonts w:ascii="仿宋" w:hAnsi="仿宋" w:eastAsia="仿宋"/>
                <w:color w:val="auto"/>
                <w:sz w:val="21"/>
                <w:szCs w:val="24"/>
              </w:rPr>
              <w:t>证券公司应当建立健全“三道防线”内控体系，并从组织架构、权责分工、流程设置等方面保证业务部门和内控部门、各内控部门之间相互独立、相互制约、相互监督。内控部门应当对业务人员的执业质量跟踪评价，评价结果纳入业务人员绩效考核。</w:t>
            </w:r>
          </w:p>
        </w:tc>
        <w:tc>
          <w:tcPr>
            <w:tcW w:w="0" w:type="auto"/>
            <w:vAlign w:val="center"/>
          </w:tcPr>
          <w:p>
            <w:pPr>
              <w:jc w:val="both"/>
              <w:rPr>
                <w:rFonts w:ascii="仿宋" w:hAnsi="仿宋" w:eastAsia="仿宋"/>
                <w:color w:val="auto"/>
                <w:sz w:val="21"/>
                <w:szCs w:val="24"/>
              </w:rPr>
            </w:pPr>
            <w:r>
              <w:rPr>
                <w:rFonts w:ascii="仿宋" w:hAnsi="仿宋" w:eastAsia="仿宋"/>
                <w:color w:val="auto"/>
                <w:sz w:val="21"/>
                <w:szCs w:val="24"/>
              </w:rPr>
              <w:t>存在相关不足的，视情节轻重</w:t>
            </w:r>
            <w:r>
              <w:rPr>
                <w:rFonts w:hint="eastAsia" w:ascii="仿宋" w:hAnsi="仿宋" w:eastAsia="仿宋"/>
                <w:color w:val="auto"/>
                <w:sz w:val="21"/>
                <w:szCs w:val="24"/>
                <w:lang w:eastAsia="zh-CN"/>
              </w:rPr>
              <w:t>扣分</w:t>
            </w:r>
            <w:r>
              <w:rPr>
                <w:rFonts w:ascii="仿宋" w:hAnsi="仿宋" w:eastAsia="仿宋"/>
                <w:color w:val="auto"/>
                <w:sz w:val="21"/>
                <w:szCs w:val="24"/>
              </w:rPr>
              <w:t>。</w:t>
            </w:r>
          </w:p>
        </w:tc>
        <w:tc>
          <w:tcPr>
            <w:tcW w:w="0" w:type="auto"/>
            <w:vAlign w:val="center"/>
          </w:tcPr>
          <w:p>
            <w:pPr>
              <w:jc w:val="both"/>
              <w:rPr>
                <w:rFonts w:ascii="仿宋" w:hAnsi="仿宋" w:eastAsia="仿宋"/>
                <w:color w:val="auto"/>
                <w:sz w:val="21"/>
                <w:szCs w:val="24"/>
              </w:rPr>
            </w:pPr>
            <w:r>
              <w:rPr>
                <w:rFonts w:hint="eastAsia" w:ascii="仿宋" w:hAnsi="仿宋" w:eastAsia="仿宋"/>
                <w:color w:val="auto"/>
                <w:sz w:val="21"/>
                <w:szCs w:val="24"/>
              </w:rPr>
              <w:t>最多扣</w:t>
            </w:r>
            <w:r>
              <w:rPr>
                <w:rFonts w:hint="default" w:ascii="仿宋" w:hAnsi="仿宋" w:eastAsia="仿宋"/>
                <w:color w:val="auto"/>
                <w:sz w:val="21"/>
                <w:szCs w:val="24"/>
                <w:lang w:val="en-US"/>
              </w:rPr>
              <w:t>3</w:t>
            </w:r>
            <w:r>
              <w:rPr>
                <w:rFonts w:hint="eastAsia" w:ascii="仿宋" w:hAnsi="仿宋" w:eastAsia="仿宋"/>
                <w:color w:val="auto"/>
                <w:sz w:val="21"/>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both"/>
              <w:rPr>
                <w:rFonts w:ascii="仿宋" w:hAnsi="仿宋" w:eastAsia="仿宋"/>
                <w:color w:val="auto"/>
                <w:sz w:val="21"/>
                <w:szCs w:val="24"/>
              </w:rPr>
            </w:pPr>
          </w:p>
        </w:tc>
        <w:tc>
          <w:tcPr>
            <w:tcW w:w="0" w:type="auto"/>
            <w:vAlign w:val="center"/>
          </w:tcPr>
          <w:p>
            <w:pPr>
              <w:jc w:val="both"/>
              <w:rPr>
                <w:rFonts w:ascii="仿宋" w:hAnsi="仿宋" w:eastAsia="仿宋"/>
                <w:color w:val="auto"/>
                <w:sz w:val="21"/>
                <w:szCs w:val="24"/>
              </w:rPr>
            </w:pPr>
            <w:r>
              <w:rPr>
                <w:rFonts w:hint="eastAsia" w:ascii="仿宋" w:hAnsi="仿宋" w:eastAsia="仿宋"/>
                <w:color w:val="auto"/>
                <w:sz w:val="21"/>
                <w:szCs w:val="24"/>
              </w:rPr>
              <w:t>3</w:t>
            </w:r>
            <w:r>
              <w:rPr>
                <w:rFonts w:ascii="仿宋" w:hAnsi="仿宋" w:eastAsia="仿宋"/>
                <w:color w:val="auto"/>
                <w:sz w:val="21"/>
                <w:szCs w:val="24"/>
              </w:rPr>
              <w:t>.充分保障</w:t>
            </w:r>
          </w:p>
        </w:tc>
        <w:tc>
          <w:tcPr>
            <w:tcW w:w="6431" w:type="dxa"/>
            <w:vAlign w:val="center"/>
          </w:tcPr>
          <w:p>
            <w:pPr>
              <w:jc w:val="both"/>
              <w:rPr>
                <w:rFonts w:ascii="仿宋" w:hAnsi="仿宋" w:eastAsia="仿宋"/>
                <w:color w:val="auto"/>
                <w:sz w:val="21"/>
                <w:szCs w:val="24"/>
              </w:rPr>
            </w:pPr>
            <w:r>
              <w:rPr>
                <w:rFonts w:hint="eastAsia" w:ascii="仿宋" w:hAnsi="仿宋" w:eastAsia="仿宋"/>
                <w:color w:val="auto"/>
                <w:sz w:val="21"/>
                <w:szCs w:val="24"/>
              </w:rPr>
              <w:t>证券公司</w:t>
            </w:r>
            <w:r>
              <w:rPr>
                <w:rFonts w:ascii="仿宋" w:hAnsi="仿宋" w:eastAsia="仿宋"/>
                <w:color w:val="auto"/>
                <w:sz w:val="21"/>
                <w:szCs w:val="24"/>
              </w:rPr>
              <w:t>应当为</w:t>
            </w:r>
            <w:r>
              <w:rPr>
                <w:rFonts w:hint="eastAsia" w:ascii="仿宋" w:hAnsi="仿宋" w:eastAsia="仿宋"/>
                <w:color w:val="auto"/>
                <w:sz w:val="21"/>
                <w:szCs w:val="24"/>
              </w:rPr>
              <w:t>投行业务配备具备相关专业知识和履职能力</w:t>
            </w:r>
            <w:r>
              <w:rPr>
                <w:rFonts w:ascii="仿宋" w:hAnsi="仿宋" w:eastAsia="仿宋"/>
                <w:color w:val="auto"/>
                <w:sz w:val="21"/>
                <w:szCs w:val="24"/>
              </w:rPr>
              <w:t>的内控人员，人员</w:t>
            </w:r>
            <w:r>
              <w:rPr>
                <w:rFonts w:hint="eastAsia" w:ascii="仿宋" w:hAnsi="仿宋" w:eastAsia="仿宋"/>
                <w:color w:val="auto"/>
                <w:sz w:val="21"/>
                <w:szCs w:val="24"/>
              </w:rPr>
              <w:t>数量应当与</w:t>
            </w:r>
            <w:r>
              <w:rPr>
                <w:rFonts w:ascii="仿宋" w:hAnsi="仿宋" w:eastAsia="仿宋"/>
                <w:color w:val="auto"/>
                <w:sz w:val="21"/>
                <w:szCs w:val="24"/>
              </w:rPr>
              <w:t>投行</w:t>
            </w:r>
            <w:r>
              <w:rPr>
                <w:rFonts w:hint="eastAsia" w:ascii="仿宋" w:hAnsi="仿宋" w:eastAsia="仿宋"/>
                <w:color w:val="auto"/>
                <w:sz w:val="21"/>
                <w:szCs w:val="24"/>
              </w:rPr>
              <w:t>业务规模</w:t>
            </w:r>
            <w:r>
              <w:rPr>
                <w:rFonts w:ascii="仿宋" w:hAnsi="仿宋" w:eastAsia="仿宋"/>
                <w:color w:val="auto"/>
                <w:sz w:val="21"/>
                <w:szCs w:val="24"/>
              </w:rPr>
              <w:t>、内控流程设置和</w:t>
            </w:r>
            <w:r>
              <w:rPr>
                <w:rFonts w:hint="eastAsia" w:ascii="仿宋" w:hAnsi="仿宋" w:eastAsia="仿宋"/>
                <w:color w:val="auto"/>
                <w:sz w:val="21"/>
                <w:szCs w:val="24"/>
              </w:rPr>
              <w:t>风险状况等相适应</w:t>
            </w:r>
            <w:r>
              <w:rPr>
                <w:rFonts w:ascii="仿宋" w:hAnsi="仿宋" w:eastAsia="仿宋"/>
                <w:color w:val="auto"/>
                <w:sz w:val="21"/>
                <w:szCs w:val="24"/>
              </w:rPr>
              <w:t>。</w:t>
            </w:r>
          </w:p>
        </w:tc>
        <w:tc>
          <w:tcPr>
            <w:tcW w:w="0" w:type="auto"/>
            <w:vAlign w:val="center"/>
          </w:tcPr>
          <w:p>
            <w:pPr>
              <w:jc w:val="both"/>
              <w:rPr>
                <w:rFonts w:ascii="仿宋" w:hAnsi="仿宋" w:eastAsia="仿宋"/>
                <w:color w:val="auto"/>
                <w:sz w:val="21"/>
                <w:szCs w:val="24"/>
              </w:rPr>
            </w:pPr>
            <w:r>
              <w:rPr>
                <w:rFonts w:ascii="仿宋" w:hAnsi="仿宋" w:eastAsia="仿宋"/>
                <w:color w:val="auto"/>
                <w:sz w:val="21"/>
                <w:szCs w:val="24"/>
              </w:rPr>
              <w:t>存在相关不足的，视情节轻重</w:t>
            </w:r>
            <w:r>
              <w:rPr>
                <w:rFonts w:hint="eastAsia" w:ascii="仿宋" w:hAnsi="仿宋" w:eastAsia="仿宋"/>
                <w:color w:val="auto"/>
                <w:sz w:val="21"/>
                <w:szCs w:val="24"/>
                <w:lang w:eastAsia="zh-CN"/>
              </w:rPr>
              <w:t>扣分</w:t>
            </w:r>
            <w:r>
              <w:rPr>
                <w:rFonts w:ascii="仿宋" w:hAnsi="仿宋" w:eastAsia="仿宋"/>
                <w:color w:val="auto"/>
                <w:sz w:val="21"/>
                <w:szCs w:val="24"/>
              </w:rPr>
              <w:t>。</w:t>
            </w:r>
          </w:p>
        </w:tc>
        <w:tc>
          <w:tcPr>
            <w:tcW w:w="0" w:type="auto"/>
            <w:vAlign w:val="center"/>
          </w:tcPr>
          <w:p>
            <w:pPr>
              <w:jc w:val="both"/>
              <w:rPr>
                <w:rFonts w:ascii="仿宋" w:hAnsi="仿宋" w:eastAsia="仿宋"/>
                <w:color w:val="auto"/>
                <w:sz w:val="21"/>
                <w:szCs w:val="24"/>
              </w:rPr>
            </w:pPr>
            <w:r>
              <w:rPr>
                <w:rFonts w:hint="eastAsia" w:ascii="仿宋" w:hAnsi="仿宋" w:eastAsia="仿宋"/>
                <w:color w:val="auto"/>
                <w:sz w:val="21"/>
                <w:szCs w:val="24"/>
              </w:rPr>
              <w:t>最多扣</w:t>
            </w:r>
            <w:r>
              <w:rPr>
                <w:rFonts w:hint="default" w:ascii="仿宋" w:hAnsi="仿宋" w:eastAsia="仿宋"/>
                <w:color w:val="auto"/>
                <w:sz w:val="21"/>
                <w:szCs w:val="24"/>
                <w:lang w:val="en-US"/>
              </w:rPr>
              <w:t>3</w:t>
            </w:r>
            <w:r>
              <w:rPr>
                <w:rFonts w:hint="eastAsia" w:ascii="仿宋" w:hAnsi="仿宋" w:eastAsia="仿宋"/>
                <w:color w:val="auto"/>
                <w:sz w:val="21"/>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both"/>
              <w:rPr>
                <w:rFonts w:ascii="仿宋" w:hAnsi="仿宋" w:eastAsia="仿宋"/>
                <w:color w:val="auto"/>
                <w:sz w:val="21"/>
                <w:szCs w:val="24"/>
              </w:rPr>
            </w:pPr>
          </w:p>
        </w:tc>
        <w:tc>
          <w:tcPr>
            <w:tcW w:w="0" w:type="auto"/>
            <w:vAlign w:val="center"/>
          </w:tcPr>
          <w:p>
            <w:pPr>
              <w:jc w:val="both"/>
              <w:rPr>
                <w:rFonts w:ascii="仿宋" w:hAnsi="仿宋" w:eastAsia="仿宋"/>
                <w:color w:val="auto"/>
                <w:sz w:val="21"/>
                <w:szCs w:val="24"/>
              </w:rPr>
            </w:pPr>
            <w:r>
              <w:rPr>
                <w:rFonts w:hint="eastAsia" w:ascii="仿宋" w:hAnsi="仿宋" w:eastAsia="仿宋"/>
                <w:color w:val="auto"/>
                <w:sz w:val="21"/>
                <w:szCs w:val="24"/>
              </w:rPr>
              <w:t>4</w:t>
            </w:r>
            <w:r>
              <w:rPr>
                <w:rFonts w:ascii="仿宋" w:hAnsi="仿宋" w:eastAsia="仿宋"/>
                <w:color w:val="auto"/>
                <w:sz w:val="21"/>
                <w:szCs w:val="24"/>
              </w:rPr>
              <w:t>.合理激励</w:t>
            </w:r>
          </w:p>
        </w:tc>
        <w:tc>
          <w:tcPr>
            <w:tcW w:w="6431" w:type="dxa"/>
            <w:vAlign w:val="center"/>
          </w:tcPr>
          <w:p>
            <w:pPr>
              <w:jc w:val="both"/>
              <w:rPr>
                <w:rFonts w:ascii="仿宋" w:hAnsi="仿宋" w:eastAsia="仿宋"/>
                <w:color w:val="auto"/>
                <w:sz w:val="21"/>
                <w:szCs w:val="24"/>
              </w:rPr>
            </w:pPr>
            <w:r>
              <w:rPr>
                <w:rFonts w:hint="eastAsia" w:ascii="仿宋" w:hAnsi="仿宋" w:eastAsia="仿宋"/>
                <w:color w:val="auto"/>
                <w:sz w:val="21"/>
                <w:szCs w:val="24"/>
              </w:rPr>
              <w:t>证券公司应当</w:t>
            </w:r>
            <w:r>
              <w:rPr>
                <w:rFonts w:ascii="仿宋" w:hAnsi="仿宋" w:eastAsia="仿宋"/>
                <w:color w:val="auto"/>
                <w:sz w:val="21"/>
                <w:szCs w:val="24"/>
              </w:rPr>
              <w:t>制定科学、合理的投行业务薪酬考核体系，避免</w:t>
            </w:r>
            <w:r>
              <w:rPr>
                <w:rFonts w:hint="eastAsia" w:ascii="仿宋" w:hAnsi="仿宋" w:eastAsia="仿宋"/>
                <w:color w:val="auto"/>
                <w:sz w:val="21"/>
                <w:szCs w:val="24"/>
              </w:rPr>
              <w:t>过度激励。综合考虑专业胜任能力、执业质量、合规情况、业务收入等因素</w:t>
            </w:r>
            <w:r>
              <w:rPr>
                <w:rFonts w:ascii="仿宋" w:hAnsi="仿宋" w:eastAsia="仿宋"/>
                <w:color w:val="auto"/>
                <w:sz w:val="21"/>
                <w:szCs w:val="24"/>
              </w:rPr>
              <w:t>确定业务人员的薪酬，并制定完善的收入递延支付机制，合理确定收入递延支付标准、递延支付人员范围、递延支付年限和比例等。</w:t>
            </w:r>
          </w:p>
        </w:tc>
        <w:tc>
          <w:tcPr>
            <w:tcW w:w="0" w:type="auto"/>
            <w:vAlign w:val="center"/>
          </w:tcPr>
          <w:p>
            <w:pPr>
              <w:jc w:val="both"/>
              <w:rPr>
                <w:rFonts w:ascii="仿宋" w:hAnsi="仿宋" w:eastAsia="仿宋"/>
                <w:color w:val="auto"/>
                <w:sz w:val="21"/>
                <w:szCs w:val="24"/>
              </w:rPr>
            </w:pPr>
            <w:r>
              <w:rPr>
                <w:rFonts w:ascii="仿宋" w:hAnsi="仿宋" w:eastAsia="仿宋"/>
                <w:color w:val="auto"/>
                <w:sz w:val="21"/>
                <w:szCs w:val="24"/>
              </w:rPr>
              <w:t>存在相关不足的，视情节轻重</w:t>
            </w:r>
            <w:r>
              <w:rPr>
                <w:rFonts w:hint="eastAsia" w:ascii="仿宋" w:hAnsi="仿宋" w:eastAsia="仿宋"/>
                <w:color w:val="auto"/>
                <w:sz w:val="21"/>
                <w:szCs w:val="24"/>
                <w:lang w:eastAsia="zh-CN"/>
              </w:rPr>
              <w:t>扣分</w:t>
            </w:r>
            <w:r>
              <w:rPr>
                <w:rFonts w:ascii="仿宋" w:hAnsi="仿宋" w:eastAsia="仿宋"/>
                <w:color w:val="auto"/>
                <w:sz w:val="21"/>
                <w:szCs w:val="24"/>
              </w:rPr>
              <w:t>。</w:t>
            </w:r>
          </w:p>
        </w:tc>
        <w:tc>
          <w:tcPr>
            <w:tcW w:w="0" w:type="auto"/>
            <w:vAlign w:val="center"/>
          </w:tcPr>
          <w:p>
            <w:pPr>
              <w:jc w:val="both"/>
              <w:rPr>
                <w:rFonts w:ascii="仿宋" w:hAnsi="仿宋" w:eastAsia="仿宋"/>
                <w:color w:val="auto"/>
                <w:sz w:val="21"/>
                <w:szCs w:val="24"/>
              </w:rPr>
            </w:pPr>
            <w:r>
              <w:rPr>
                <w:rFonts w:hint="eastAsia" w:ascii="仿宋" w:hAnsi="仿宋" w:eastAsia="仿宋"/>
                <w:color w:val="auto"/>
                <w:sz w:val="21"/>
                <w:szCs w:val="24"/>
              </w:rPr>
              <w:t>最多扣</w:t>
            </w:r>
            <w:r>
              <w:rPr>
                <w:rFonts w:hint="default" w:ascii="仿宋" w:hAnsi="仿宋" w:eastAsia="仿宋"/>
                <w:color w:val="auto"/>
                <w:sz w:val="21"/>
                <w:szCs w:val="24"/>
                <w:lang w:val="en-US"/>
              </w:rPr>
              <w:t>3</w:t>
            </w:r>
            <w:r>
              <w:rPr>
                <w:rFonts w:hint="eastAsia" w:ascii="仿宋" w:hAnsi="仿宋" w:eastAsia="仿宋"/>
                <w:color w:val="auto"/>
                <w:sz w:val="21"/>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both"/>
              <w:rPr>
                <w:rFonts w:ascii="仿宋" w:hAnsi="仿宋" w:eastAsia="仿宋"/>
                <w:color w:val="auto"/>
                <w:sz w:val="21"/>
                <w:szCs w:val="24"/>
              </w:rPr>
            </w:pPr>
          </w:p>
        </w:tc>
        <w:tc>
          <w:tcPr>
            <w:tcW w:w="0" w:type="auto"/>
            <w:vAlign w:val="center"/>
          </w:tcPr>
          <w:p>
            <w:pPr>
              <w:jc w:val="both"/>
              <w:rPr>
                <w:rFonts w:ascii="仿宋" w:hAnsi="仿宋" w:eastAsia="仿宋"/>
                <w:color w:val="auto"/>
                <w:sz w:val="21"/>
                <w:szCs w:val="24"/>
              </w:rPr>
            </w:pPr>
            <w:r>
              <w:rPr>
                <w:rFonts w:hint="eastAsia" w:ascii="仿宋" w:hAnsi="仿宋" w:eastAsia="仿宋"/>
                <w:color w:val="auto"/>
                <w:sz w:val="21"/>
                <w:szCs w:val="24"/>
              </w:rPr>
              <w:t>5</w:t>
            </w:r>
            <w:r>
              <w:rPr>
                <w:rFonts w:ascii="仿宋" w:hAnsi="仿宋" w:eastAsia="仿宋"/>
                <w:color w:val="auto"/>
                <w:sz w:val="21"/>
                <w:szCs w:val="24"/>
              </w:rPr>
              <w:t>.严格问责</w:t>
            </w:r>
          </w:p>
        </w:tc>
        <w:tc>
          <w:tcPr>
            <w:tcW w:w="6431" w:type="dxa"/>
            <w:vAlign w:val="center"/>
          </w:tcPr>
          <w:p>
            <w:pPr>
              <w:jc w:val="both"/>
              <w:rPr>
                <w:rFonts w:ascii="仿宋" w:hAnsi="仿宋" w:eastAsia="仿宋"/>
                <w:color w:val="auto"/>
                <w:sz w:val="21"/>
                <w:szCs w:val="24"/>
              </w:rPr>
            </w:pPr>
            <w:r>
              <w:rPr>
                <w:rFonts w:hint="eastAsia" w:ascii="仿宋" w:hAnsi="仿宋" w:eastAsia="仿宋"/>
                <w:color w:val="auto"/>
                <w:sz w:val="21"/>
                <w:szCs w:val="24"/>
              </w:rPr>
              <w:t>证券公司应当建立健全内部问责机制，</w:t>
            </w:r>
            <w:r>
              <w:rPr>
                <w:rFonts w:ascii="仿宋" w:hAnsi="仿宋" w:eastAsia="仿宋"/>
                <w:color w:val="auto"/>
                <w:sz w:val="21"/>
                <w:szCs w:val="24"/>
              </w:rPr>
              <w:t>按照</w:t>
            </w:r>
            <w:r>
              <w:rPr>
                <w:rFonts w:hint="eastAsia" w:ascii="仿宋" w:hAnsi="仿宋" w:eastAsia="仿宋"/>
                <w:color w:val="auto"/>
                <w:sz w:val="21"/>
                <w:szCs w:val="24"/>
              </w:rPr>
              <w:t>全链条问责的要求</w:t>
            </w:r>
            <w:r>
              <w:rPr>
                <w:rFonts w:ascii="仿宋" w:hAnsi="仿宋" w:eastAsia="仿宋"/>
                <w:color w:val="auto"/>
                <w:sz w:val="21"/>
                <w:szCs w:val="24"/>
              </w:rPr>
              <w:t>，</w:t>
            </w:r>
            <w:r>
              <w:rPr>
                <w:rFonts w:hint="eastAsia" w:ascii="仿宋" w:hAnsi="仿宋" w:eastAsia="仿宋"/>
                <w:color w:val="auto"/>
                <w:sz w:val="21"/>
                <w:szCs w:val="24"/>
              </w:rPr>
              <w:t>明确问责范围、问责形式和种类、问责程序等</w:t>
            </w:r>
            <w:r>
              <w:rPr>
                <w:rFonts w:ascii="仿宋" w:hAnsi="仿宋" w:eastAsia="仿宋"/>
                <w:color w:val="auto"/>
                <w:sz w:val="21"/>
                <w:szCs w:val="24"/>
              </w:rPr>
              <w:t>，并严格执行</w:t>
            </w:r>
            <w:r>
              <w:rPr>
                <w:rFonts w:hint="eastAsia" w:ascii="仿宋" w:hAnsi="仿宋" w:eastAsia="仿宋"/>
                <w:color w:val="auto"/>
                <w:sz w:val="21"/>
                <w:szCs w:val="24"/>
              </w:rPr>
              <w:t>。</w:t>
            </w:r>
            <w:r>
              <w:rPr>
                <w:rFonts w:ascii="仿宋" w:hAnsi="仿宋" w:eastAsia="仿宋"/>
                <w:color w:val="auto"/>
                <w:sz w:val="21"/>
                <w:szCs w:val="24"/>
              </w:rPr>
              <w:t>对被监管问责的投行业务人员，应当实施“经济罚”。</w:t>
            </w:r>
          </w:p>
        </w:tc>
        <w:tc>
          <w:tcPr>
            <w:tcW w:w="0" w:type="auto"/>
            <w:vAlign w:val="center"/>
          </w:tcPr>
          <w:p>
            <w:pPr>
              <w:jc w:val="both"/>
              <w:rPr>
                <w:rFonts w:ascii="仿宋" w:hAnsi="仿宋" w:eastAsia="仿宋"/>
                <w:color w:val="auto"/>
                <w:sz w:val="21"/>
                <w:szCs w:val="24"/>
              </w:rPr>
            </w:pPr>
            <w:r>
              <w:rPr>
                <w:rFonts w:ascii="仿宋" w:hAnsi="仿宋" w:eastAsia="仿宋"/>
                <w:color w:val="auto"/>
                <w:sz w:val="21"/>
                <w:szCs w:val="24"/>
              </w:rPr>
              <w:t>存在相关不足的，视情节轻重</w:t>
            </w:r>
            <w:r>
              <w:rPr>
                <w:rFonts w:hint="eastAsia" w:ascii="仿宋" w:hAnsi="仿宋" w:eastAsia="仿宋"/>
                <w:color w:val="auto"/>
                <w:sz w:val="21"/>
                <w:szCs w:val="24"/>
                <w:lang w:eastAsia="zh-CN"/>
              </w:rPr>
              <w:t>扣分</w:t>
            </w:r>
            <w:r>
              <w:rPr>
                <w:rFonts w:ascii="仿宋" w:hAnsi="仿宋" w:eastAsia="仿宋"/>
                <w:color w:val="auto"/>
                <w:sz w:val="21"/>
                <w:szCs w:val="24"/>
              </w:rPr>
              <w:t>。</w:t>
            </w:r>
          </w:p>
        </w:tc>
        <w:tc>
          <w:tcPr>
            <w:tcW w:w="0" w:type="auto"/>
            <w:vAlign w:val="center"/>
          </w:tcPr>
          <w:p>
            <w:pPr>
              <w:jc w:val="both"/>
              <w:rPr>
                <w:rFonts w:ascii="仿宋" w:hAnsi="仿宋" w:eastAsia="仿宋"/>
                <w:color w:val="auto"/>
                <w:sz w:val="21"/>
                <w:szCs w:val="24"/>
              </w:rPr>
            </w:pPr>
            <w:r>
              <w:rPr>
                <w:rFonts w:hint="eastAsia" w:ascii="仿宋" w:hAnsi="仿宋" w:eastAsia="仿宋"/>
                <w:color w:val="auto"/>
                <w:sz w:val="21"/>
                <w:szCs w:val="24"/>
              </w:rPr>
              <w:t>最多扣</w:t>
            </w:r>
            <w:r>
              <w:rPr>
                <w:rFonts w:hint="default" w:ascii="仿宋" w:hAnsi="仿宋" w:eastAsia="仿宋"/>
                <w:color w:val="auto"/>
                <w:sz w:val="21"/>
                <w:szCs w:val="24"/>
                <w:lang w:val="en-US"/>
              </w:rPr>
              <w:t>3</w:t>
            </w:r>
            <w:r>
              <w:rPr>
                <w:rFonts w:hint="eastAsia" w:ascii="仿宋" w:hAnsi="仿宋" w:eastAsia="仿宋"/>
                <w:color w:val="auto"/>
                <w:sz w:val="21"/>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both"/>
              <w:rPr>
                <w:rFonts w:ascii="仿宋" w:hAnsi="仿宋" w:eastAsia="仿宋"/>
                <w:color w:val="auto"/>
                <w:sz w:val="21"/>
                <w:szCs w:val="24"/>
              </w:rPr>
            </w:pPr>
          </w:p>
        </w:tc>
        <w:tc>
          <w:tcPr>
            <w:tcW w:w="0" w:type="auto"/>
            <w:vAlign w:val="center"/>
          </w:tcPr>
          <w:p>
            <w:pPr>
              <w:jc w:val="both"/>
              <w:rPr>
                <w:bCs/>
                <w:color w:val="auto"/>
              </w:rPr>
            </w:pPr>
            <w:r>
              <w:rPr>
                <w:rFonts w:hint="eastAsia" w:ascii="仿宋" w:hAnsi="仿宋" w:eastAsia="仿宋"/>
                <w:color w:val="auto"/>
                <w:sz w:val="21"/>
                <w:szCs w:val="24"/>
              </w:rPr>
              <w:t>6</w:t>
            </w:r>
            <w:r>
              <w:rPr>
                <w:rFonts w:ascii="仿宋" w:hAnsi="仿宋" w:eastAsia="仿宋"/>
                <w:color w:val="auto"/>
                <w:sz w:val="21"/>
                <w:szCs w:val="24"/>
              </w:rPr>
              <w:t>.</w:t>
            </w:r>
            <w:r>
              <w:rPr>
                <w:rFonts w:hint="eastAsia" w:ascii="仿宋" w:hAnsi="仿宋" w:eastAsia="仿宋"/>
                <w:color w:val="auto"/>
                <w:sz w:val="21"/>
                <w:szCs w:val="24"/>
              </w:rPr>
              <w:t>廉洁从业</w:t>
            </w:r>
          </w:p>
        </w:tc>
        <w:tc>
          <w:tcPr>
            <w:tcW w:w="6431" w:type="dxa"/>
            <w:vAlign w:val="center"/>
          </w:tcPr>
          <w:p>
            <w:pPr>
              <w:jc w:val="both"/>
              <w:rPr>
                <w:rFonts w:ascii="仿宋" w:hAnsi="仿宋" w:eastAsia="仿宋"/>
                <w:color w:val="auto"/>
                <w:sz w:val="21"/>
                <w:szCs w:val="24"/>
              </w:rPr>
            </w:pPr>
            <w:r>
              <w:rPr>
                <w:rFonts w:ascii="仿宋" w:hAnsi="仿宋" w:eastAsia="仿宋"/>
                <w:color w:val="auto"/>
                <w:sz w:val="21"/>
                <w:szCs w:val="24"/>
              </w:rPr>
              <w:t>证券公司</w:t>
            </w:r>
            <w:r>
              <w:rPr>
                <w:rFonts w:hint="eastAsia" w:ascii="仿宋" w:hAnsi="仿宋" w:eastAsia="仿宋"/>
                <w:color w:val="auto"/>
                <w:sz w:val="21"/>
                <w:szCs w:val="24"/>
              </w:rPr>
              <w:t>应当建立健全</w:t>
            </w:r>
            <w:r>
              <w:rPr>
                <w:rFonts w:ascii="仿宋" w:hAnsi="仿宋" w:eastAsia="仿宋"/>
                <w:color w:val="auto"/>
                <w:sz w:val="21"/>
                <w:szCs w:val="24"/>
              </w:rPr>
              <w:t>投行业务</w:t>
            </w:r>
            <w:r>
              <w:rPr>
                <w:rFonts w:hint="eastAsia" w:ascii="仿宋" w:hAnsi="仿宋" w:eastAsia="仿宋"/>
                <w:color w:val="auto"/>
                <w:sz w:val="21"/>
                <w:szCs w:val="24"/>
              </w:rPr>
              <w:t>廉洁从业</w:t>
            </w:r>
            <w:r>
              <w:rPr>
                <w:rFonts w:ascii="仿宋" w:hAnsi="仿宋" w:eastAsia="仿宋"/>
                <w:color w:val="auto"/>
                <w:sz w:val="21"/>
                <w:szCs w:val="24"/>
              </w:rPr>
              <w:t>内控机制</w:t>
            </w:r>
            <w:r>
              <w:rPr>
                <w:rFonts w:hint="eastAsia" w:ascii="仿宋" w:hAnsi="仿宋" w:eastAsia="仿宋"/>
                <w:color w:val="auto"/>
                <w:sz w:val="21"/>
                <w:szCs w:val="24"/>
              </w:rPr>
              <w:t>，</w:t>
            </w:r>
            <w:r>
              <w:rPr>
                <w:rFonts w:ascii="仿宋" w:hAnsi="仿宋" w:eastAsia="仿宋"/>
                <w:color w:val="auto"/>
                <w:sz w:val="21"/>
                <w:szCs w:val="24"/>
              </w:rPr>
              <w:t>强化人员监督管理和内部问责，有效防范廉洁从业风险事件</w:t>
            </w:r>
            <w:r>
              <w:rPr>
                <w:rFonts w:hint="eastAsia" w:ascii="仿宋" w:hAnsi="仿宋" w:eastAsia="仿宋"/>
                <w:color w:val="auto"/>
                <w:sz w:val="21"/>
                <w:szCs w:val="24"/>
              </w:rPr>
              <w:t>。</w:t>
            </w:r>
          </w:p>
        </w:tc>
        <w:tc>
          <w:tcPr>
            <w:tcW w:w="0" w:type="auto"/>
            <w:vAlign w:val="center"/>
          </w:tcPr>
          <w:p>
            <w:pPr>
              <w:jc w:val="both"/>
              <w:rPr>
                <w:rFonts w:ascii="仿宋" w:hAnsi="仿宋" w:eastAsia="仿宋"/>
                <w:color w:val="auto"/>
                <w:sz w:val="21"/>
                <w:szCs w:val="24"/>
              </w:rPr>
            </w:pPr>
            <w:r>
              <w:rPr>
                <w:rFonts w:ascii="仿宋" w:hAnsi="仿宋" w:eastAsia="仿宋"/>
                <w:color w:val="auto"/>
                <w:sz w:val="21"/>
                <w:szCs w:val="24"/>
              </w:rPr>
              <w:t>存在相关不足的，视情节轻重</w:t>
            </w:r>
            <w:r>
              <w:rPr>
                <w:rFonts w:hint="eastAsia" w:ascii="仿宋" w:hAnsi="仿宋" w:eastAsia="仿宋"/>
                <w:color w:val="auto"/>
                <w:sz w:val="21"/>
                <w:szCs w:val="24"/>
                <w:lang w:eastAsia="zh-CN"/>
              </w:rPr>
              <w:t>扣分</w:t>
            </w:r>
            <w:r>
              <w:rPr>
                <w:rFonts w:ascii="仿宋" w:hAnsi="仿宋" w:eastAsia="仿宋"/>
                <w:color w:val="auto"/>
                <w:sz w:val="21"/>
                <w:szCs w:val="24"/>
              </w:rPr>
              <w:t>。</w:t>
            </w:r>
          </w:p>
        </w:tc>
        <w:tc>
          <w:tcPr>
            <w:tcW w:w="0" w:type="auto"/>
            <w:vAlign w:val="center"/>
          </w:tcPr>
          <w:p>
            <w:pPr>
              <w:jc w:val="both"/>
              <w:rPr>
                <w:rFonts w:ascii="仿宋" w:hAnsi="仿宋" w:eastAsia="仿宋"/>
                <w:color w:val="auto"/>
                <w:sz w:val="21"/>
                <w:szCs w:val="24"/>
              </w:rPr>
            </w:pPr>
            <w:r>
              <w:rPr>
                <w:rFonts w:hint="eastAsia" w:ascii="仿宋" w:hAnsi="仿宋" w:eastAsia="仿宋"/>
                <w:color w:val="auto"/>
                <w:sz w:val="21"/>
                <w:szCs w:val="24"/>
              </w:rPr>
              <w:t>最多扣</w:t>
            </w:r>
            <w:r>
              <w:rPr>
                <w:rFonts w:hint="default" w:ascii="仿宋" w:hAnsi="仿宋" w:eastAsia="仿宋"/>
                <w:color w:val="auto"/>
                <w:sz w:val="21"/>
                <w:szCs w:val="24"/>
                <w:lang w:val="en-US"/>
              </w:rPr>
              <w:t>3</w:t>
            </w:r>
            <w:r>
              <w:rPr>
                <w:rFonts w:hint="eastAsia" w:ascii="仿宋" w:hAnsi="仿宋" w:eastAsia="仿宋"/>
                <w:color w:val="auto"/>
                <w:sz w:val="21"/>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both"/>
              <w:rPr>
                <w:rFonts w:ascii="仿宋" w:hAnsi="仿宋" w:eastAsia="仿宋"/>
                <w:color w:val="auto"/>
                <w:sz w:val="21"/>
                <w:szCs w:val="24"/>
              </w:rPr>
            </w:pPr>
          </w:p>
        </w:tc>
        <w:tc>
          <w:tcPr>
            <w:tcW w:w="0" w:type="auto"/>
            <w:vAlign w:val="center"/>
          </w:tcPr>
          <w:p>
            <w:pPr>
              <w:jc w:val="both"/>
              <w:rPr>
                <w:rFonts w:ascii="仿宋" w:hAnsi="仿宋" w:eastAsia="仿宋"/>
                <w:color w:val="auto"/>
                <w:sz w:val="21"/>
                <w:szCs w:val="24"/>
              </w:rPr>
            </w:pPr>
            <w:r>
              <w:rPr>
                <w:rFonts w:hint="eastAsia" w:ascii="仿宋" w:hAnsi="仿宋" w:eastAsia="仿宋"/>
                <w:color w:val="auto"/>
                <w:sz w:val="21"/>
                <w:szCs w:val="24"/>
              </w:rPr>
              <w:t>7.</w:t>
            </w:r>
            <w:r>
              <w:rPr>
                <w:rFonts w:ascii="仿宋" w:hAnsi="仿宋" w:eastAsia="仿宋"/>
                <w:color w:val="auto"/>
                <w:sz w:val="21"/>
                <w:szCs w:val="24"/>
              </w:rPr>
              <w:t>其他</w:t>
            </w:r>
          </w:p>
        </w:tc>
        <w:tc>
          <w:tcPr>
            <w:tcW w:w="6431" w:type="dxa"/>
            <w:vAlign w:val="center"/>
          </w:tcPr>
          <w:p>
            <w:pPr>
              <w:jc w:val="both"/>
              <w:rPr>
                <w:rFonts w:ascii="仿宋" w:hAnsi="仿宋" w:eastAsia="仿宋"/>
                <w:color w:val="auto"/>
                <w:sz w:val="21"/>
                <w:szCs w:val="24"/>
              </w:rPr>
            </w:pPr>
            <w:r>
              <w:rPr>
                <w:rFonts w:hint="eastAsia" w:ascii="仿宋" w:hAnsi="仿宋" w:eastAsia="仿宋"/>
                <w:color w:val="auto"/>
                <w:sz w:val="21"/>
                <w:szCs w:val="24"/>
              </w:rPr>
              <w:t>其他</w:t>
            </w:r>
          </w:p>
        </w:tc>
        <w:tc>
          <w:tcPr>
            <w:tcW w:w="0" w:type="auto"/>
            <w:vAlign w:val="center"/>
          </w:tcPr>
          <w:p>
            <w:pPr>
              <w:jc w:val="both"/>
              <w:rPr>
                <w:rFonts w:ascii="仿宋" w:hAnsi="仿宋" w:eastAsia="仿宋"/>
                <w:color w:val="auto"/>
                <w:sz w:val="21"/>
                <w:szCs w:val="24"/>
              </w:rPr>
            </w:pPr>
            <w:r>
              <w:rPr>
                <w:rFonts w:ascii="仿宋" w:hAnsi="仿宋" w:eastAsia="仿宋"/>
                <w:color w:val="auto"/>
                <w:sz w:val="21"/>
                <w:szCs w:val="24"/>
              </w:rPr>
              <w:t>投行业务内控存在其他方面不足的，视情节轻重</w:t>
            </w:r>
            <w:r>
              <w:rPr>
                <w:rFonts w:hint="eastAsia" w:ascii="仿宋" w:hAnsi="仿宋" w:eastAsia="仿宋"/>
                <w:color w:val="auto"/>
                <w:sz w:val="21"/>
                <w:szCs w:val="24"/>
                <w:lang w:eastAsia="zh-CN"/>
              </w:rPr>
              <w:t>扣分</w:t>
            </w:r>
            <w:r>
              <w:rPr>
                <w:rFonts w:ascii="仿宋" w:hAnsi="仿宋" w:eastAsia="仿宋"/>
                <w:color w:val="auto"/>
                <w:sz w:val="21"/>
                <w:szCs w:val="24"/>
              </w:rPr>
              <w:t>。</w:t>
            </w:r>
          </w:p>
        </w:tc>
        <w:tc>
          <w:tcPr>
            <w:tcW w:w="0" w:type="auto"/>
            <w:vAlign w:val="center"/>
          </w:tcPr>
          <w:p>
            <w:pPr>
              <w:jc w:val="both"/>
              <w:rPr>
                <w:rFonts w:ascii="仿宋" w:hAnsi="仿宋" w:eastAsia="仿宋"/>
                <w:color w:val="auto"/>
                <w:sz w:val="21"/>
                <w:szCs w:val="24"/>
              </w:rPr>
            </w:pPr>
            <w:r>
              <w:rPr>
                <w:rFonts w:hint="eastAsia" w:ascii="仿宋" w:hAnsi="仿宋" w:eastAsia="仿宋"/>
                <w:color w:val="auto"/>
                <w:sz w:val="21"/>
                <w:szCs w:val="24"/>
              </w:rPr>
              <w:t>最多扣</w:t>
            </w:r>
            <w:r>
              <w:rPr>
                <w:rFonts w:hint="default" w:ascii="仿宋" w:hAnsi="仿宋" w:eastAsia="仿宋"/>
                <w:color w:val="auto"/>
                <w:sz w:val="21"/>
                <w:szCs w:val="24"/>
                <w:lang w:val="en-US"/>
              </w:rPr>
              <w:t>3</w:t>
            </w:r>
            <w:r>
              <w:rPr>
                <w:rFonts w:hint="eastAsia" w:ascii="仿宋" w:hAnsi="仿宋" w:eastAsia="仿宋"/>
                <w:color w:val="auto"/>
                <w:sz w:val="21"/>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both"/>
              <w:rPr>
                <w:rFonts w:ascii="仿宋" w:hAnsi="仿宋" w:eastAsia="仿宋"/>
                <w:color w:val="auto"/>
                <w:sz w:val="21"/>
                <w:szCs w:val="24"/>
              </w:rPr>
            </w:pPr>
          </w:p>
        </w:tc>
        <w:tc>
          <w:tcPr>
            <w:tcW w:w="0" w:type="auto"/>
            <w:vAlign w:val="center"/>
          </w:tcPr>
          <w:p>
            <w:pPr>
              <w:jc w:val="both"/>
              <w:rPr>
                <w:rFonts w:ascii="仿宋" w:hAnsi="仿宋" w:eastAsia="仿宋"/>
                <w:color w:val="auto"/>
                <w:sz w:val="21"/>
                <w:szCs w:val="24"/>
              </w:rPr>
            </w:pPr>
            <w:r>
              <w:rPr>
                <w:rFonts w:hint="eastAsia" w:ascii="仿宋" w:hAnsi="仿宋" w:eastAsia="仿宋"/>
                <w:color w:val="auto"/>
                <w:sz w:val="21"/>
                <w:szCs w:val="24"/>
              </w:rPr>
              <w:t>8</w:t>
            </w:r>
            <w:r>
              <w:rPr>
                <w:rFonts w:ascii="仿宋" w:hAnsi="仿宋" w:eastAsia="仿宋"/>
                <w:color w:val="auto"/>
                <w:sz w:val="21"/>
                <w:szCs w:val="24"/>
              </w:rPr>
              <w:t>.</w:t>
            </w:r>
            <w:r>
              <w:rPr>
                <w:rFonts w:hint="default" w:eastAsia="仿宋" w:cs="Times New Roman"/>
                <w:color w:val="auto"/>
                <w:sz w:val="21"/>
                <w:szCs w:val="24"/>
              </w:rPr>
              <w:t>行政处罚、</w:t>
            </w:r>
            <w:r>
              <w:rPr>
                <w:rFonts w:hint="eastAsia" w:ascii="仿宋" w:hAnsi="仿宋" w:eastAsia="仿宋"/>
                <w:color w:val="auto"/>
                <w:sz w:val="21"/>
                <w:szCs w:val="24"/>
              </w:rPr>
              <w:t>行政监管措施、纪律处分、自律监管措施情况</w:t>
            </w:r>
          </w:p>
        </w:tc>
        <w:tc>
          <w:tcPr>
            <w:tcW w:w="6431" w:type="dxa"/>
            <w:vAlign w:val="center"/>
          </w:tcPr>
          <w:p>
            <w:pPr>
              <w:jc w:val="both"/>
              <w:rPr>
                <w:rFonts w:ascii="仿宋" w:hAnsi="仿宋" w:eastAsia="仿宋"/>
                <w:color w:val="auto"/>
                <w:sz w:val="21"/>
                <w:szCs w:val="24"/>
              </w:rPr>
            </w:pPr>
            <w:r>
              <w:rPr>
                <w:rFonts w:hint="default" w:ascii="Times New Roman" w:hAnsi="Times New Roman" w:eastAsia="仿宋" w:cs="Times New Roman"/>
                <w:color w:val="auto"/>
                <w:sz w:val="21"/>
                <w:szCs w:val="24"/>
              </w:rPr>
              <w:t>证券公司受到</w:t>
            </w:r>
            <w:r>
              <w:rPr>
                <w:rFonts w:hint="default" w:eastAsia="仿宋" w:cs="Times New Roman"/>
                <w:color w:val="auto"/>
                <w:sz w:val="21"/>
                <w:szCs w:val="24"/>
              </w:rPr>
              <w:t>行政处罚、</w:t>
            </w:r>
            <w:r>
              <w:rPr>
                <w:rFonts w:hint="eastAsia" w:ascii="仿宋" w:hAnsi="仿宋" w:eastAsia="仿宋"/>
                <w:color w:val="auto"/>
                <w:sz w:val="21"/>
                <w:szCs w:val="24"/>
              </w:rPr>
              <w:t>行政监管措施、纪律处分、自律监管措施的情况。</w:t>
            </w:r>
          </w:p>
        </w:tc>
        <w:tc>
          <w:tcPr>
            <w:tcW w:w="0" w:type="auto"/>
            <w:vAlign w:val="center"/>
          </w:tcPr>
          <w:p>
            <w:pPr>
              <w:jc w:val="both"/>
              <w:rPr>
                <w:rFonts w:hint="eastAsia" w:ascii="仿宋" w:hAnsi="仿宋" w:eastAsia="仿宋"/>
                <w:color w:val="auto"/>
                <w:sz w:val="21"/>
                <w:szCs w:val="24"/>
              </w:rPr>
            </w:pPr>
            <w:r>
              <w:rPr>
                <w:rFonts w:hint="eastAsia" w:ascii="仿宋" w:hAnsi="仿宋" w:eastAsia="仿宋"/>
                <w:color w:val="auto"/>
                <w:sz w:val="21"/>
                <w:szCs w:val="24"/>
              </w:rPr>
              <w:t>（一）被出具行政处罚、暂停、撤销业务资格措施的，每次扣12分；</w:t>
            </w:r>
          </w:p>
          <w:p>
            <w:pPr>
              <w:jc w:val="both"/>
              <w:rPr>
                <w:rFonts w:hint="eastAsia" w:ascii="仿宋" w:hAnsi="仿宋" w:eastAsia="仿宋"/>
                <w:color w:val="auto"/>
                <w:sz w:val="21"/>
                <w:szCs w:val="24"/>
              </w:rPr>
            </w:pPr>
            <w:r>
              <w:rPr>
                <w:rFonts w:hint="eastAsia" w:ascii="仿宋" w:hAnsi="仿宋" w:eastAsia="仿宋"/>
                <w:color w:val="auto"/>
                <w:sz w:val="21"/>
                <w:szCs w:val="24"/>
              </w:rPr>
              <w:t>（二）因投行内部控制和治理问题被采取行政监管措施：</w:t>
            </w:r>
          </w:p>
          <w:p>
            <w:pPr>
              <w:jc w:val="both"/>
              <w:rPr>
                <w:rFonts w:hint="eastAsia" w:ascii="仿宋" w:hAnsi="仿宋" w:eastAsia="仿宋"/>
                <w:color w:val="auto"/>
                <w:sz w:val="21"/>
                <w:szCs w:val="24"/>
              </w:rPr>
            </w:pPr>
            <w:r>
              <w:rPr>
                <w:rFonts w:hint="eastAsia" w:ascii="仿宋" w:hAnsi="仿宋" w:eastAsia="仿宋"/>
                <w:color w:val="auto"/>
                <w:sz w:val="21"/>
                <w:szCs w:val="24"/>
              </w:rPr>
              <w:t xml:space="preserve">1.被采取警示函、责令公开说明、责令定期报告措施的，每次扣3分； </w:t>
            </w:r>
          </w:p>
          <w:p>
            <w:pPr>
              <w:jc w:val="both"/>
              <w:rPr>
                <w:rFonts w:hint="eastAsia" w:ascii="仿宋" w:hAnsi="仿宋" w:eastAsia="仿宋"/>
                <w:color w:val="auto"/>
                <w:sz w:val="21"/>
                <w:szCs w:val="24"/>
              </w:rPr>
            </w:pPr>
            <w:r>
              <w:rPr>
                <w:rFonts w:hint="eastAsia" w:ascii="仿宋" w:hAnsi="仿宋" w:eastAsia="仿宋"/>
                <w:color w:val="auto"/>
                <w:sz w:val="21"/>
                <w:szCs w:val="24"/>
              </w:rPr>
              <w:t xml:space="preserve">2.被采取责令改正、责令增加内部合规检查次数措施的，每次扣6分； </w:t>
            </w:r>
          </w:p>
          <w:p>
            <w:pPr>
              <w:jc w:val="both"/>
              <w:rPr>
                <w:rFonts w:hint="eastAsia" w:ascii="仿宋" w:hAnsi="仿宋" w:eastAsia="仿宋"/>
                <w:color w:val="auto"/>
                <w:sz w:val="21"/>
                <w:szCs w:val="24"/>
              </w:rPr>
            </w:pPr>
            <w:r>
              <w:rPr>
                <w:rFonts w:hint="eastAsia" w:ascii="仿宋" w:hAnsi="仿宋" w:eastAsia="仿宋"/>
                <w:color w:val="auto"/>
                <w:sz w:val="21"/>
                <w:szCs w:val="24"/>
              </w:rPr>
              <w:t xml:space="preserve">3.被采取责令处分有关人员、监管谈话措施的，每次扣9分； </w:t>
            </w:r>
          </w:p>
          <w:p>
            <w:pPr>
              <w:jc w:val="both"/>
              <w:rPr>
                <w:rFonts w:hint="eastAsia" w:ascii="仿宋" w:hAnsi="仿宋" w:eastAsia="仿宋"/>
                <w:color w:val="auto"/>
                <w:sz w:val="21"/>
                <w:szCs w:val="24"/>
              </w:rPr>
            </w:pPr>
            <w:r>
              <w:rPr>
                <w:rFonts w:hint="eastAsia" w:ascii="仿宋" w:hAnsi="仿宋" w:eastAsia="仿宋"/>
                <w:color w:val="auto"/>
                <w:sz w:val="21"/>
                <w:szCs w:val="24"/>
              </w:rPr>
              <w:t>4.被采取责令更换董事、监事、高级管理人员或限制其权利，限制股东权利或责令转让股权，认定为不适当人选措施的，每次扣12分；</w:t>
            </w:r>
          </w:p>
          <w:p>
            <w:pPr>
              <w:jc w:val="both"/>
              <w:rPr>
                <w:rFonts w:hint="eastAsia" w:ascii="仿宋" w:hAnsi="仿宋" w:eastAsia="仿宋"/>
                <w:color w:val="auto"/>
                <w:sz w:val="21"/>
                <w:szCs w:val="24"/>
              </w:rPr>
            </w:pPr>
            <w:r>
              <w:rPr>
                <w:rFonts w:hint="eastAsia" w:ascii="仿宋" w:hAnsi="仿宋" w:eastAsia="仿宋"/>
                <w:color w:val="auto"/>
                <w:sz w:val="21"/>
                <w:szCs w:val="24"/>
              </w:rPr>
              <w:t>（三）因投行内部控制和治理问题被采取纪律处分的，每次扣3-6分；</w:t>
            </w:r>
          </w:p>
          <w:p>
            <w:pPr>
              <w:jc w:val="both"/>
              <w:rPr>
                <w:rFonts w:hint="eastAsia" w:ascii="仿宋" w:hAnsi="仿宋" w:eastAsia="仿宋"/>
                <w:color w:val="auto"/>
                <w:sz w:val="21"/>
                <w:szCs w:val="24"/>
              </w:rPr>
            </w:pPr>
            <w:r>
              <w:rPr>
                <w:rFonts w:hint="eastAsia" w:ascii="仿宋" w:hAnsi="仿宋" w:eastAsia="仿宋"/>
                <w:color w:val="auto"/>
                <w:sz w:val="21"/>
                <w:szCs w:val="24"/>
              </w:rPr>
              <w:t>（四）因投行内部控制和治理问题被采取自律监管措施的，每次扣1.5-3分。</w:t>
            </w:r>
          </w:p>
        </w:tc>
        <w:tc>
          <w:tcPr>
            <w:tcW w:w="0" w:type="auto"/>
            <w:vAlign w:val="center"/>
          </w:tcPr>
          <w:p>
            <w:pPr>
              <w:jc w:val="both"/>
              <w:rPr>
                <w:rFonts w:hint="default" w:ascii="仿宋" w:hAnsi="仿宋" w:eastAsia="仿宋"/>
                <w:color w:val="auto"/>
                <w:sz w:val="21"/>
                <w:szCs w:val="24"/>
              </w:rPr>
            </w:pPr>
            <w:r>
              <w:rPr>
                <w:rFonts w:hint="eastAsia" w:ascii="仿宋" w:hAnsi="仿宋" w:eastAsia="仿宋"/>
                <w:color w:val="auto"/>
                <w:sz w:val="21"/>
                <w:szCs w:val="24"/>
              </w:rPr>
              <w:t>每次扣1.5</w:t>
            </w:r>
            <w:r>
              <w:rPr>
                <w:rFonts w:hint="default" w:ascii="仿宋" w:hAnsi="仿宋" w:eastAsia="仿宋"/>
                <w:color w:val="auto"/>
                <w:sz w:val="21"/>
                <w:szCs w:val="24"/>
              </w:rPr>
              <w:t>-</w:t>
            </w:r>
            <w:r>
              <w:rPr>
                <w:rFonts w:hint="eastAsia" w:ascii="仿宋" w:hAnsi="仿宋" w:eastAsia="仿宋"/>
                <w:color w:val="auto"/>
                <w:sz w:val="21"/>
                <w:szCs w:val="24"/>
              </w:rPr>
              <w:t>12</w:t>
            </w:r>
            <w:r>
              <w:rPr>
                <w:rFonts w:hint="default" w:ascii="仿宋" w:hAnsi="仿宋" w:eastAsia="仿宋"/>
                <w:color w:val="auto"/>
                <w:sz w:val="21"/>
                <w:szCs w:val="24"/>
              </w:rPr>
              <w:t>分</w:t>
            </w:r>
          </w:p>
        </w:tc>
      </w:tr>
    </w:tbl>
    <w:p>
      <w:pPr>
        <w:numPr>
          <w:ilvl w:val="0"/>
          <w:numId w:val="0"/>
        </w:numPr>
        <w:spacing w:beforeLines="50"/>
        <w:outlineLvl w:val="0"/>
        <w:rPr>
          <w:rFonts w:hint="eastAsia" w:ascii="仿宋" w:hAnsi="仿宋" w:eastAsia="仿宋"/>
          <w:b/>
          <w:color w:val="auto"/>
          <w:sz w:val="24"/>
          <w:szCs w:val="24"/>
          <w:lang w:eastAsia="zh-CN"/>
        </w:rPr>
      </w:pPr>
    </w:p>
    <w:p>
      <w:pPr>
        <w:numPr>
          <w:ilvl w:val="0"/>
          <w:numId w:val="0"/>
        </w:numPr>
        <w:spacing w:beforeLines="50"/>
        <w:outlineLvl w:val="0"/>
        <w:rPr>
          <w:rFonts w:ascii="仿宋" w:hAnsi="仿宋" w:eastAsia="仿宋"/>
          <w:b/>
          <w:color w:val="auto"/>
          <w:sz w:val="24"/>
          <w:szCs w:val="24"/>
        </w:rPr>
      </w:pPr>
      <w:r>
        <w:rPr>
          <w:rFonts w:hint="eastAsia" w:ascii="仿宋" w:hAnsi="仿宋" w:eastAsia="仿宋"/>
          <w:b/>
          <w:color w:val="auto"/>
          <w:sz w:val="24"/>
          <w:szCs w:val="24"/>
          <w:lang w:eastAsia="zh-CN"/>
        </w:rPr>
        <w:t>三、</w:t>
      </w:r>
      <w:r>
        <w:rPr>
          <w:rFonts w:hint="eastAsia" w:ascii="仿宋" w:hAnsi="仿宋" w:eastAsia="仿宋"/>
          <w:b/>
          <w:color w:val="auto"/>
          <w:sz w:val="24"/>
          <w:szCs w:val="24"/>
        </w:rPr>
        <w:t>业务管理评价（2</w:t>
      </w:r>
      <w:r>
        <w:rPr>
          <w:rFonts w:hint="eastAsia" w:ascii="仿宋" w:hAnsi="仿宋" w:eastAsia="仿宋"/>
          <w:b/>
          <w:color w:val="auto"/>
          <w:sz w:val="24"/>
          <w:szCs w:val="24"/>
          <w:lang w:val="en-US" w:eastAsia="zh-CN"/>
        </w:rPr>
        <w:t>0</w:t>
      </w:r>
      <w:r>
        <w:rPr>
          <w:rFonts w:hint="eastAsia" w:ascii="仿宋" w:hAnsi="仿宋" w:eastAsia="仿宋"/>
          <w:b/>
          <w:color w:val="auto"/>
          <w:sz w:val="24"/>
          <w:szCs w:val="24"/>
        </w:rPr>
        <w:t>分）</w:t>
      </w:r>
    </w:p>
    <w:p>
      <w:pPr>
        <w:spacing w:before="156"/>
        <w:ind w:firstLine="480" w:firstLineChars="200"/>
        <w:rPr>
          <w:rFonts w:hint="default" w:ascii="仿宋" w:hAnsi="仿宋" w:eastAsia="仿宋"/>
          <w:color w:val="auto"/>
          <w:sz w:val="24"/>
          <w:szCs w:val="24"/>
        </w:rPr>
      </w:pPr>
      <w:r>
        <w:rPr>
          <w:rFonts w:hint="eastAsia" w:ascii="仿宋" w:hAnsi="仿宋" w:eastAsia="仿宋"/>
          <w:color w:val="auto"/>
          <w:sz w:val="24"/>
          <w:szCs w:val="24"/>
        </w:rPr>
        <w:t>试点期业务管理自律评价为证券公司开展首发和再融资保荐业务的自律评价，主要反映证券公司</w:t>
      </w:r>
      <w:r>
        <w:rPr>
          <w:rFonts w:hint="eastAsia" w:ascii="仿宋" w:hAnsi="仿宋" w:eastAsia="仿宋"/>
          <w:color w:val="auto"/>
          <w:sz w:val="24"/>
          <w:szCs w:val="24"/>
          <w:lang w:eastAsia="zh-CN"/>
        </w:rPr>
        <w:t>首发和再融资</w:t>
      </w:r>
      <w:r>
        <w:rPr>
          <w:rFonts w:hint="eastAsia" w:ascii="仿宋" w:hAnsi="仿宋" w:eastAsia="仿宋"/>
          <w:color w:val="auto"/>
          <w:sz w:val="24"/>
          <w:szCs w:val="24"/>
        </w:rPr>
        <w:t>投行项目业务管理及工作底稿电子化管理情况，由所有参评项目业务管理评价合计分数除以参评项目的数量计算得出。</w:t>
      </w:r>
      <w:r>
        <w:rPr>
          <w:rFonts w:hint="default" w:ascii="仿宋" w:hAnsi="仿宋" w:eastAsia="仿宋"/>
          <w:color w:val="auto"/>
          <w:sz w:val="24"/>
          <w:szCs w:val="24"/>
        </w:rPr>
        <w:t>相关信息由证券公司自评、证券业协会复核确定。</w:t>
      </w:r>
    </w:p>
    <w:p>
      <w:pPr>
        <w:spacing w:before="156"/>
        <w:ind w:firstLine="480" w:firstLineChars="200"/>
        <w:rPr>
          <w:rFonts w:ascii="仿宋" w:hAnsi="仿宋" w:eastAsia="仿宋"/>
          <w:color w:val="auto"/>
          <w:sz w:val="24"/>
          <w:szCs w:val="24"/>
        </w:rPr>
      </w:pPr>
      <w:r>
        <w:rPr>
          <w:rFonts w:hint="eastAsia" w:ascii="仿宋" w:hAnsi="仿宋" w:eastAsia="仿宋"/>
          <w:color w:val="auto"/>
          <w:sz w:val="24"/>
          <w:szCs w:val="24"/>
        </w:rPr>
        <w:t>项目评价采用扣分方式，</w:t>
      </w:r>
      <w:r>
        <w:rPr>
          <w:rFonts w:hint="eastAsia" w:ascii="仿宋" w:hAnsi="仿宋" w:eastAsia="仿宋"/>
          <w:color w:val="auto"/>
          <w:sz w:val="24"/>
          <w:szCs w:val="24"/>
          <w:lang w:val="en-US" w:eastAsia="zh-CN"/>
        </w:rPr>
        <w:t>根据各类负面事项的扣分标准对基准分进行扣减，</w:t>
      </w:r>
      <w:r>
        <w:rPr>
          <w:rFonts w:hint="eastAsia" w:ascii="仿宋" w:hAnsi="仿宋" w:eastAsia="仿宋"/>
          <w:color w:val="auto"/>
          <w:sz w:val="24"/>
          <w:szCs w:val="24"/>
          <w:lang w:eastAsia="zh-CN"/>
        </w:rPr>
        <w:t>直至</w:t>
      </w:r>
      <w:r>
        <w:rPr>
          <w:rFonts w:hint="eastAsia" w:ascii="仿宋" w:hAnsi="仿宋" w:eastAsia="仿宋"/>
          <w:color w:val="auto"/>
          <w:sz w:val="24"/>
          <w:szCs w:val="24"/>
          <w:lang w:val="en-US" w:eastAsia="zh-CN"/>
        </w:rPr>
        <w:t>0分。项目基准分为20分，跨周期再次参与评价的项目，基准分值为前次评价的计分结果。</w:t>
      </w:r>
    </w:p>
    <w:tbl>
      <w:tblPr>
        <w:tblStyle w:val="10"/>
        <w:tblW w:w="141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268"/>
        <w:gridCol w:w="7230"/>
        <w:gridCol w:w="2851"/>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Align w:val="center"/>
          </w:tcPr>
          <w:p>
            <w:pPr>
              <w:jc w:val="center"/>
              <w:rPr>
                <w:rFonts w:ascii="仿宋" w:hAnsi="仿宋" w:eastAsia="仿宋"/>
                <w:b/>
                <w:color w:val="auto"/>
                <w:sz w:val="21"/>
                <w:szCs w:val="24"/>
              </w:rPr>
            </w:pPr>
            <w:r>
              <w:rPr>
                <w:rFonts w:hint="eastAsia" w:ascii="仿宋" w:hAnsi="仿宋" w:eastAsia="仿宋"/>
                <w:b/>
                <w:color w:val="auto"/>
                <w:sz w:val="21"/>
                <w:szCs w:val="24"/>
              </w:rPr>
              <w:t>一级评价指标</w:t>
            </w:r>
          </w:p>
        </w:tc>
        <w:tc>
          <w:tcPr>
            <w:tcW w:w="2268" w:type="dxa"/>
            <w:vAlign w:val="center"/>
          </w:tcPr>
          <w:p>
            <w:pPr>
              <w:jc w:val="center"/>
              <w:rPr>
                <w:rFonts w:ascii="仿宋" w:hAnsi="仿宋" w:eastAsia="仿宋"/>
                <w:b/>
                <w:color w:val="auto"/>
                <w:sz w:val="21"/>
                <w:szCs w:val="24"/>
              </w:rPr>
            </w:pPr>
            <w:r>
              <w:rPr>
                <w:rFonts w:hint="eastAsia" w:ascii="仿宋" w:hAnsi="仿宋" w:eastAsia="仿宋"/>
                <w:b/>
                <w:color w:val="auto"/>
                <w:sz w:val="21"/>
                <w:szCs w:val="24"/>
              </w:rPr>
              <w:t>二级评价指标</w:t>
            </w:r>
          </w:p>
        </w:tc>
        <w:tc>
          <w:tcPr>
            <w:tcW w:w="7230" w:type="dxa"/>
            <w:vAlign w:val="center"/>
          </w:tcPr>
          <w:p>
            <w:pPr>
              <w:jc w:val="center"/>
              <w:rPr>
                <w:rFonts w:ascii="仿宋" w:hAnsi="仿宋" w:eastAsia="仿宋"/>
                <w:b/>
                <w:color w:val="auto"/>
                <w:sz w:val="21"/>
                <w:szCs w:val="24"/>
              </w:rPr>
            </w:pPr>
            <w:r>
              <w:rPr>
                <w:rFonts w:hint="eastAsia" w:ascii="仿宋" w:hAnsi="仿宋" w:eastAsia="仿宋"/>
                <w:b/>
                <w:color w:val="auto"/>
                <w:sz w:val="21"/>
                <w:szCs w:val="24"/>
              </w:rPr>
              <w:t>评价标准</w:t>
            </w:r>
          </w:p>
        </w:tc>
        <w:tc>
          <w:tcPr>
            <w:tcW w:w="0" w:type="auto"/>
            <w:vAlign w:val="center"/>
          </w:tcPr>
          <w:p>
            <w:pPr>
              <w:jc w:val="center"/>
              <w:rPr>
                <w:rFonts w:ascii="仿宋" w:hAnsi="仿宋" w:eastAsia="仿宋"/>
                <w:b/>
                <w:color w:val="auto"/>
                <w:sz w:val="21"/>
                <w:szCs w:val="24"/>
              </w:rPr>
            </w:pPr>
            <w:r>
              <w:rPr>
                <w:rFonts w:hint="eastAsia" w:ascii="仿宋" w:hAnsi="仿宋" w:eastAsia="仿宋"/>
                <w:b/>
                <w:color w:val="auto"/>
                <w:sz w:val="21"/>
                <w:szCs w:val="24"/>
              </w:rPr>
              <w:t>计分标准</w:t>
            </w:r>
          </w:p>
        </w:tc>
        <w:tc>
          <w:tcPr>
            <w:tcW w:w="1119" w:type="dxa"/>
            <w:vAlign w:val="center"/>
          </w:tcPr>
          <w:p>
            <w:pPr>
              <w:jc w:val="center"/>
              <w:rPr>
                <w:rFonts w:ascii="仿宋" w:hAnsi="仿宋" w:eastAsia="仿宋"/>
                <w:b/>
                <w:color w:val="auto"/>
                <w:sz w:val="21"/>
                <w:szCs w:val="24"/>
              </w:rPr>
            </w:pPr>
            <w:r>
              <w:rPr>
                <w:rFonts w:hint="eastAsia" w:ascii="仿宋" w:hAnsi="仿宋" w:eastAsia="仿宋"/>
                <w:b/>
                <w:color w:val="auto"/>
                <w:sz w:val="21"/>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restart"/>
            <w:vAlign w:val="center"/>
          </w:tcPr>
          <w:p>
            <w:pPr>
              <w:jc w:val="both"/>
              <w:rPr>
                <w:rFonts w:ascii="仿宋" w:hAnsi="仿宋" w:eastAsia="仿宋"/>
                <w:color w:val="auto"/>
                <w:sz w:val="21"/>
                <w:szCs w:val="24"/>
              </w:rPr>
            </w:pPr>
            <w:r>
              <w:rPr>
                <w:rFonts w:ascii="仿宋" w:hAnsi="仿宋" w:eastAsia="仿宋"/>
                <w:color w:val="auto"/>
                <w:sz w:val="21"/>
                <w:szCs w:val="24"/>
              </w:rPr>
              <w:t>项目</w:t>
            </w:r>
            <w:r>
              <w:rPr>
                <w:rFonts w:hint="eastAsia" w:ascii="仿宋" w:hAnsi="仿宋" w:eastAsia="仿宋"/>
                <w:color w:val="auto"/>
                <w:sz w:val="21"/>
                <w:szCs w:val="24"/>
              </w:rPr>
              <w:t>管理</w:t>
            </w:r>
          </w:p>
        </w:tc>
        <w:tc>
          <w:tcPr>
            <w:tcW w:w="2268" w:type="dxa"/>
            <w:vAlign w:val="center"/>
          </w:tcPr>
          <w:p>
            <w:pPr>
              <w:jc w:val="both"/>
              <w:rPr>
                <w:rFonts w:ascii="仿宋" w:hAnsi="仿宋" w:eastAsia="仿宋"/>
                <w:color w:val="auto"/>
                <w:sz w:val="21"/>
                <w:szCs w:val="24"/>
              </w:rPr>
            </w:pPr>
            <w:r>
              <w:rPr>
                <w:rFonts w:hint="eastAsia" w:ascii="仿宋" w:hAnsi="仿宋" w:eastAsia="仿宋"/>
                <w:color w:val="auto"/>
                <w:sz w:val="21"/>
                <w:szCs w:val="24"/>
              </w:rPr>
              <w:t>1.利益冲突审查</w:t>
            </w:r>
          </w:p>
        </w:tc>
        <w:tc>
          <w:tcPr>
            <w:tcW w:w="7230" w:type="dxa"/>
            <w:vAlign w:val="center"/>
          </w:tcPr>
          <w:p>
            <w:pPr>
              <w:jc w:val="both"/>
              <w:rPr>
                <w:rFonts w:ascii="仿宋" w:hAnsi="仿宋" w:eastAsia="仿宋"/>
                <w:color w:val="auto"/>
                <w:sz w:val="21"/>
                <w:szCs w:val="24"/>
              </w:rPr>
            </w:pPr>
            <w:r>
              <w:rPr>
                <w:rFonts w:hint="eastAsia" w:ascii="仿宋" w:hAnsi="仿宋" w:eastAsia="仿宋"/>
                <w:color w:val="auto"/>
                <w:sz w:val="21"/>
                <w:szCs w:val="24"/>
              </w:rPr>
              <w:t>对拟承做的投资银行类项目与公司其他业务和项目之间、拟承做项目的业务人员与该项目之间等存在的利益冲突情形进行审查，并对利益冲突审查结果发表明确意见。</w:t>
            </w:r>
          </w:p>
        </w:tc>
        <w:tc>
          <w:tcPr>
            <w:tcW w:w="0" w:type="auto"/>
            <w:vAlign w:val="center"/>
          </w:tcPr>
          <w:p>
            <w:pPr>
              <w:jc w:val="both"/>
              <w:rPr>
                <w:rFonts w:hint="default" w:ascii="仿宋" w:hAnsi="仿宋" w:eastAsia="仿宋"/>
                <w:color w:val="auto"/>
                <w:sz w:val="21"/>
                <w:szCs w:val="24"/>
                <w:lang w:val="en-US" w:eastAsia="zh-CN"/>
              </w:rPr>
            </w:pPr>
            <w:r>
              <w:rPr>
                <w:rFonts w:hint="eastAsia" w:ascii="仿宋" w:hAnsi="仿宋" w:eastAsia="仿宋"/>
                <w:color w:val="auto"/>
                <w:sz w:val="21"/>
                <w:szCs w:val="24"/>
                <w:lang w:eastAsia="zh-CN"/>
              </w:rPr>
              <w:t>未执行或执行不到位的</w:t>
            </w:r>
            <w:r>
              <w:rPr>
                <w:rFonts w:ascii="仿宋" w:hAnsi="仿宋" w:eastAsia="仿宋"/>
                <w:color w:val="auto"/>
                <w:sz w:val="21"/>
                <w:szCs w:val="24"/>
              </w:rPr>
              <w:t>，</w:t>
            </w:r>
            <w:r>
              <w:rPr>
                <w:rFonts w:hint="eastAsia" w:ascii="仿宋" w:hAnsi="仿宋" w:eastAsia="仿宋"/>
                <w:color w:val="auto"/>
                <w:sz w:val="21"/>
                <w:szCs w:val="24"/>
                <w:lang w:eastAsia="zh-CN"/>
              </w:rPr>
              <w:t>扣</w:t>
            </w:r>
            <w:r>
              <w:rPr>
                <w:rFonts w:hint="eastAsia" w:ascii="仿宋" w:hAnsi="仿宋" w:eastAsia="仿宋"/>
                <w:color w:val="auto"/>
                <w:sz w:val="21"/>
                <w:szCs w:val="24"/>
                <w:lang w:val="en-US" w:eastAsia="zh-CN"/>
              </w:rPr>
              <w:t>0.5分</w:t>
            </w:r>
          </w:p>
        </w:tc>
        <w:tc>
          <w:tcPr>
            <w:tcW w:w="1119" w:type="dxa"/>
            <w:vAlign w:val="center"/>
          </w:tcPr>
          <w:p>
            <w:pPr>
              <w:jc w:val="center"/>
              <w:rPr>
                <w:rFonts w:ascii="仿宋" w:hAnsi="仿宋" w:eastAsia="仿宋"/>
                <w:color w:val="auto"/>
                <w:sz w:val="21"/>
                <w:szCs w:val="24"/>
              </w:rPr>
            </w:pPr>
            <w:r>
              <w:rPr>
                <w:rFonts w:hint="eastAsia" w:ascii="仿宋" w:hAnsi="仿宋" w:eastAsia="仿宋"/>
                <w:color w:val="auto"/>
                <w:sz w:val="21"/>
                <w:szCs w:val="24"/>
                <w:lang w:eastAsia="zh-CN"/>
              </w:rPr>
              <w:t>扣</w:t>
            </w:r>
            <w:r>
              <w:rPr>
                <w:rFonts w:hint="eastAsia" w:ascii="仿宋" w:hAnsi="仿宋" w:eastAsia="仿宋"/>
                <w:color w:val="auto"/>
                <w:sz w:val="21"/>
                <w:szCs w:val="24"/>
                <w:lang w:val="en-US" w:eastAsia="zh-CN"/>
              </w:rPr>
              <w:t>0.5</w:t>
            </w:r>
            <w:r>
              <w:rPr>
                <w:rFonts w:hint="eastAsia" w:ascii="仿宋" w:hAnsi="仿宋" w:eastAsia="仿宋"/>
                <w:color w:val="auto"/>
                <w:sz w:val="21"/>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both"/>
              <w:rPr>
                <w:rFonts w:ascii="仿宋" w:hAnsi="仿宋" w:eastAsia="仿宋"/>
                <w:color w:val="auto"/>
                <w:sz w:val="21"/>
                <w:szCs w:val="24"/>
              </w:rPr>
            </w:pPr>
          </w:p>
        </w:tc>
        <w:tc>
          <w:tcPr>
            <w:tcW w:w="2268" w:type="dxa"/>
            <w:vAlign w:val="center"/>
          </w:tcPr>
          <w:p>
            <w:pPr>
              <w:jc w:val="both"/>
              <w:rPr>
                <w:rFonts w:ascii="仿宋" w:hAnsi="仿宋" w:eastAsia="仿宋"/>
                <w:color w:val="auto"/>
                <w:sz w:val="21"/>
                <w:szCs w:val="24"/>
              </w:rPr>
            </w:pPr>
            <w:r>
              <w:rPr>
                <w:rFonts w:hint="eastAsia" w:ascii="仿宋" w:hAnsi="仿宋" w:eastAsia="仿宋"/>
                <w:color w:val="auto"/>
                <w:sz w:val="21"/>
                <w:szCs w:val="24"/>
              </w:rPr>
              <w:t>2.立项申请文件</w:t>
            </w:r>
          </w:p>
        </w:tc>
        <w:tc>
          <w:tcPr>
            <w:tcW w:w="7230" w:type="dxa"/>
            <w:vAlign w:val="center"/>
          </w:tcPr>
          <w:p>
            <w:pPr>
              <w:jc w:val="both"/>
              <w:rPr>
                <w:rFonts w:hint="eastAsia" w:ascii="仿宋" w:hAnsi="仿宋" w:eastAsia="仿宋"/>
                <w:color w:val="auto"/>
                <w:sz w:val="21"/>
                <w:szCs w:val="24"/>
                <w:lang w:val="en" w:eastAsia="zh-CN"/>
              </w:rPr>
            </w:pPr>
            <w:r>
              <w:rPr>
                <w:rFonts w:hint="eastAsia" w:ascii="仿宋" w:hAnsi="仿宋" w:eastAsia="仿宋"/>
                <w:color w:val="auto"/>
                <w:sz w:val="21"/>
                <w:szCs w:val="24"/>
              </w:rPr>
              <w:t>保荐项目在召开立项会议前应当根据保荐机构内部立项标准，对拟推荐发行人进行初步的尽职调查，并开展反洗钱、内幕信息知情人管理等合规工作。保荐机构应当在立项环节将发行人初步的尽职调查情况及合规审查材料作为立项申请必备文件</w:t>
            </w:r>
            <w:r>
              <w:rPr>
                <w:rFonts w:hint="eastAsia" w:ascii="仿宋" w:hAnsi="仿宋" w:eastAsia="仿宋"/>
                <w:color w:val="auto"/>
                <w:sz w:val="21"/>
                <w:szCs w:val="24"/>
                <w:lang w:eastAsia="zh-CN"/>
              </w:rPr>
              <w:t>。</w:t>
            </w:r>
          </w:p>
        </w:tc>
        <w:tc>
          <w:tcPr>
            <w:tcW w:w="0" w:type="auto"/>
            <w:vAlign w:val="center"/>
          </w:tcPr>
          <w:p>
            <w:pPr>
              <w:jc w:val="both"/>
              <w:rPr>
                <w:rFonts w:ascii="仿宋" w:hAnsi="仿宋" w:eastAsia="仿宋"/>
                <w:color w:val="auto"/>
                <w:sz w:val="21"/>
                <w:szCs w:val="24"/>
              </w:rPr>
            </w:pPr>
            <w:r>
              <w:rPr>
                <w:rFonts w:hint="eastAsia" w:ascii="仿宋" w:hAnsi="仿宋" w:eastAsia="仿宋"/>
                <w:color w:val="auto"/>
                <w:sz w:val="21"/>
                <w:szCs w:val="24"/>
                <w:lang w:eastAsia="zh-CN"/>
              </w:rPr>
              <w:t>未执行或执行不到位的</w:t>
            </w:r>
            <w:r>
              <w:rPr>
                <w:rFonts w:ascii="仿宋" w:hAnsi="仿宋" w:eastAsia="仿宋"/>
                <w:color w:val="auto"/>
                <w:sz w:val="21"/>
                <w:szCs w:val="24"/>
              </w:rPr>
              <w:t>，</w:t>
            </w:r>
            <w:r>
              <w:rPr>
                <w:rFonts w:hint="eastAsia" w:ascii="仿宋" w:hAnsi="仿宋" w:eastAsia="仿宋"/>
                <w:color w:val="auto"/>
                <w:sz w:val="21"/>
                <w:szCs w:val="24"/>
                <w:lang w:eastAsia="zh-CN"/>
              </w:rPr>
              <w:t>扣</w:t>
            </w:r>
            <w:r>
              <w:rPr>
                <w:rFonts w:hint="eastAsia" w:ascii="仿宋" w:hAnsi="仿宋" w:eastAsia="仿宋"/>
                <w:color w:val="auto"/>
                <w:sz w:val="21"/>
                <w:szCs w:val="24"/>
                <w:lang w:val="en-US" w:eastAsia="zh-CN"/>
              </w:rPr>
              <w:t>0.5分</w:t>
            </w:r>
          </w:p>
        </w:tc>
        <w:tc>
          <w:tcPr>
            <w:tcW w:w="1119" w:type="dxa"/>
            <w:vAlign w:val="center"/>
          </w:tcPr>
          <w:p>
            <w:pPr>
              <w:jc w:val="center"/>
              <w:rPr>
                <w:rFonts w:ascii="仿宋" w:hAnsi="仿宋" w:eastAsia="仿宋"/>
                <w:color w:val="auto"/>
                <w:sz w:val="21"/>
                <w:szCs w:val="24"/>
              </w:rPr>
            </w:pPr>
            <w:r>
              <w:rPr>
                <w:rFonts w:hint="eastAsia" w:ascii="仿宋" w:hAnsi="仿宋" w:eastAsia="仿宋"/>
                <w:color w:val="auto"/>
                <w:sz w:val="21"/>
                <w:szCs w:val="24"/>
                <w:lang w:eastAsia="zh-CN"/>
              </w:rPr>
              <w:t>扣</w:t>
            </w:r>
            <w:r>
              <w:rPr>
                <w:rFonts w:hint="eastAsia" w:ascii="仿宋" w:hAnsi="仿宋" w:eastAsia="仿宋"/>
                <w:color w:val="auto"/>
                <w:sz w:val="21"/>
                <w:szCs w:val="24"/>
                <w:lang w:val="en-US" w:eastAsia="zh-CN"/>
              </w:rPr>
              <w:t>0.5</w:t>
            </w:r>
            <w:r>
              <w:rPr>
                <w:rFonts w:hint="eastAsia" w:ascii="仿宋" w:hAnsi="仿宋" w:eastAsia="仿宋"/>
                <w:color w:val="auto"/>
                <w:sz w:val="21"/>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both"/>
              <w:rPr>
                <w:rFonts w:ascii="仿宋" w:hAnsi="仿宋" w:eastAsia="仿宋"/>
                <w:color w:val="auto"/>
                <w:sz w:val="21"/>
                <w:szCs w:val="24"/>
              </w:rPr>
            </w:pPr>
          </w:p>
        </w:tc>
        <w:tc>
          <w:tcPr>
            <w:tcW w:w="2268" w:type="dxa"/>
            <w:vAlign w:val="center"/>
          </w:tcPr>
          <w:p>
            <w:pPr>
              <w:jc w:val="both"/>
              <w:rPr>
                <w:rFonts w:ascii="仿宋" w:hAnsi="仿宋" w:eastAsia="仿宋"/>
                <w:color w:val="auto"/>
                <w:sz w:val="21"/>
                <w:szCs w:val="24"/>
              </w:rPr>
            </w:pPr>
            <w:r>
              <w:rPr>
                <w:rFonts w:hint="eastAsia" w:ascii="仿宋" w:hAnsi="仿宋" w:eastAsia="仿宋"/>
                <w:color w:val="auto"/>
                <w:sz w:val="21"/>
                <w:szCs w:val="24"/>
              </w:rPr>
              <w:t>3.立项审议程序</w:t>
            </w:r>
          </w:p>
        </w:tc>
        <w:tc>
          <w:tcPr>
            <w:tcW w:w="7230" w:type="dxa"/>
            <w:vAlign w:val="center"/>
          </w:tcPr>
          <w:p>
            <w:pPr>
              <w:jc w:val="both"/>
              <w:rPr>
                <w:rFonts w:ascii="仿宋" w:hAnsi="仿宋" w:eastAsia="仿宋"/>
                <w:color w:val="auto"/>
                <w:sz w:val="21"/>
                <w:szCs w:val="24"/>
              </w:rPr>
            </w:pPr>
            <w:r>
              <w:rPr>
                <w:rFonts w:hint="eastAsia" w:ascii="仿宋" w:hAnsi="仿宋" w:eastAsia="仿宋"/>
                <w:color w:val="auto"/>
                <w:sz w:val="21"/>
                <w:szCs w:val="24"/>
              </w:rPr>
              <w:t>未经立项审议通过的投资银行类项目，证券公司不得与客户签订正式业务合同。</w:t>
            </w:r>
          </w:p>
        </w:tc>
        <w:tc>
          <w:tcPr>
            <w:tcW w:w="0" w:type="auto"/>
            <w:vAlign w:val="center"/>
          </w:tcPr>
          <w:p>
            <w:pPr>
              <w:jc w:val="both"/>
              <w:rPr>
                <w:rFonts w:ascii="仿宋" w:hAnsi="仿宋" w:eastAsia="仿宋"/>
                <w:color w:val="auto"/>
                <w:sz w:val="21"/>
                <w:szCs w:val="24"/>
              </w:rPr>
            </w:pPr>
            <w:r>
              <w:rPr>
                <w:rFonts w:hint="eastAsia" w:ascii="仿宋" w:hAnsi="仿宋" w:eastAsia="仿宋"/>
                <w:color w:val="auto"/>
                <w:sz w:val="21"/>
                <w:szCs w:val="24"/>
                <w:lang w:eastAsia="zh-CN"/>
              </w:rPr>
              <w:t>未执行或执行不到位的</w:t>
            </w:r>
            <w:r>
              <w:rPr>
                <w:rFonts w:ascii="仿宋" w:hAnsi="仿宋" w:eastAsia="仿宋"/>
                <w:color w:val="auto"/>
                <w:sz w:val="21"/>
                <w:szCs w:val="24"/>
              </w:rPr>
              <w:t>，</w:t>
            </w:r>
            <w:r>
              <w:rPr>
                <w:rFonts w:hint="eastAsia" w:ascii="仿宋" w:hAnsi="仿宋" w:eastAsia="仿宋"/>
                <w:color w:val="auto"/>
                <w:sz w:val="21"/>
                <w:szCs w:val="24"/>
                <w:lang w:eastAsia="zh-CN"/>
              </w:rPr>
              <w:t>扣</w:t>
            </w:r>
            <w:r>
              <w:rPr>
                <w:rFonts w:hint="eastAsia" w:ascii="仿宋" w:hAnsi="仿宋" w:eastAsia="仿宋"/>
                <w:color w:val="auto"/>
                <w:sz w:val="21"/>
                <w:szCs w:val="24"/>
                <w:lang w:val="en-US" w:eastAsia="zh-CN"/>
              </w:rPr>
              <w:t>3分</w:t>
            </w:r>
          </w:p>
        </w:tc>
        <w:tc>
          <w:tcPr>
            <w:tcW w:w="1119" w:type="dxa"/>
            <w:vAlign w:val="center"/>
          </w:tcPr>
          <w:p>
            <w:pPr>
              <w:jc w:val="center"/>
              <w:rPr>
                <w:rFonts w:ascii="仿宋" w:hAnsi="仿宋" w:eastAsia="仿宋"/>
                <w:color w:val="auto"/>
                <w:sz w:val="21"/>
                <w:szCs w:val="24"/>
              </w:rPr>
            </w:pPr>
            <w:r>
              <w:rPr>
                <w:rFonts w:hint="eastAsia" w:ascii="仿宋" w:hAnsi="仿宋" w:eastAsia="仿宋"/>
                <w:color w:val="auto"/>
                <w:sz w:val="21"/>
                <w:szCs w:val="24"/>
                <w:lang w:eastAsia="zh-CN"/>
              </w:rPr>
              <w:t>扣</w:t>
            </w:r>
            <w:r>
              <w:rPr>
                <w:rFonts w:hint="eastAsia" w:ascii="仿宋" w:hAnsi="仿宋" w:eastAsia="仿宋"/>
                <w:color w:val="auto"/>
                <w:sz w:val="21"/>
                <w:szCs w:val="24"/>
                <w:lang w:val="en-US" w:eastAsia="zh-CN"/>
              </w:rPr>
              <w:t>3</w:t>
            </w:r>
            <w:r>
              <w:rPr>
                <w:rFonts w:hint="eastAsia" w:ascii="仿宋" w:hAnsi="仿宋" w:eastAsia="仿宋"/>
                <w:color w:val="auto"/>
                <w:sz w:val="21"/>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both"/>
              <w:rPr>
                <w:rFonts w:ascii="仿宋" w:hAnsi="仿宋" w:eastAsia="仿宋"/>
                <w:color w:val="auto"/>
                <w:sz w:val="21"/>
                <w:szCs w:val="24"/>
              </w:rPr>
            </w:pPr>
          </w:p>
        </w:tc>
        <w:tc>
          <w:tcPr>
            <w:tcW w:w="2268" w:type="dxa"/>
            <w:vAlign w:val="center"/>
          </w:tcPr>
          <w:p>
            <w:pPr>
              <w:jc w:val="both"/>
              <w:rPr>
                <w:rFonts w:ascii="仿宋" w:hAnsi="仿宋" w:eastAsia="仿宋"/>
                <w:color w:val="auto"/>
                <w:sz w:val="21"/>
                <w:szCs w:val="24"/>
              </w:rPr>
            </w:pPr>
            <w:r>
              <w:rPr>
                <w:rFonts w:hint="eastAsia" w:ascii="仿宋" w:hAnsi="仿宋" w:eastAsia="仿宋"/>
                <w:color w:val="auto"/>
                <w:sz w:val="21"/>
                <w:szCs w:val="24"/>
              </w:rPr>
              <w:t>4.立项表决</w:t>
            </w:r>
          </w:p>
        </w:tc>
        <w:tc>
          <w:tcPr>
            <w:tcW w:w="7230" w:type="dxa"/>
            <w:vAlign w:val="center"/>
          </w:tcPr>
          <w:p>
            <w:pPr>
              <w:jc w:val="both"/>
              <w:rPr>
                <w:rFonts w:ascii="仿宋" w:hAnsi="仿宋" w:eastAsia="仿宋"/>
                <w:color w:val="auto"/>
                <w:sz w:val="21"/>
                <w:szCs w:val="24"/>
              </w:rPr>
            </w:pPr>
            <w:r>
              <w:rPr>
                <w:rFonts w:hint="eastAsia" w:ascii="仿宋" w:hAnsi="仿宋" w:eastAsia="仿宋"/>
                <w:color w:val="auto"/>
                <w:sz w:val="21"/>
                <w:szCs w:val="24"/>
              </w:rPr>
              <w:t>立项决议应当制作书面或电子文件，并由参与表决委员确认。</w:t>
            </w:r>
          </w:p>
        </w:tc>
        <w:tc>
          <w:tcPr>
            <w:tcW w:w="0" w:type="auto"/>
            <w:vAlign w:val="center"/>
          </w:tcPr>
          <w:p>
            <w:pPr>
              <w:jc w:val="both"/>
              <w:rPr>
                <w:rFonts w:ascii="仿宋" w:hAnsi="仿宋" w:eastAsia="仿宋"/>
                <w:color w:val="auto"/>
                <w:sz w:val="21"/>
                <w:szCs w:val="24"/>
              </w:rPr>
            </w:pPr>
            <w:r>
              <w:rPr>
                <w:rFonts w:hint="eastAsia" w:ascii="仿宋" w:hAnsi="仿宋" w:eastAsia="仿宋"/>
                <w:color w:val="auto"/>
                <w:sz w:val="21"/>
                <w:szCs w:val="24"/>
                <w:lang w:eastAsia="zh-CN"/>
              </w:rPr>
              <w:t>未执行或执行不到位的</w:t>
            </w:r>
            <w:r>
              <w:rPr>
                <w:rFonts w:ascii="仿宋" w:hAnsi="仿宋" w:eastAsia="仿宋"/>
                <w:color w:val="auto"/>
                <w:sz w:val="21"/>
                <w:szCs w:val="24"/>
              </w:rPr>
              <w:t>，</w:t>
            </w:r>
            <w:r>
              <w:rPr>
                <w:rFonts w:hint="eastAsia" w:ascii="仿宋" w:hAnsi="仿宋" w:eastAsia="仿宋"/>
                <w:color w:val="auto"/>
                <w:sz w:val="21"/>
                <w:szCs w:val="24"/>
                <w:lang w:eastAsia="zh-CN"/>
              </w:rPr>
              <w:t>扣</w:t>
            </w:r>
            <w:r>
              <w:rPr>
                <w:rFonts w:hint="eastAsia" w:ascii="仿宋" w:hAnsi="仿宋" w:eastAsia="仿宋"/>
                <w:color w:val="auto"/>
                <w:sz w:val="21"/>
                <w:szCs w:val="24"/>
                <w:lang w:val="en-US" w:eastAsia="zh-CN"/>
              </w:rPr>
              <w:t>3分</w:t>
            </w:r>
          </w:p>
        </w:tc>
        <w:tc>
          <w:tcPr>
            <w:tcW w:w="1119" w:type="dxa"/>
            <w:vAlign w:val="center"/>
          </w:tcPr>
          <w:p>
            <w:pPr>
              <w:jc w:val="center"/>
              <w:rPr>
                <w:rFonts w:ascii="仿宋" w:hAnsi="仿宋" w:eastAsia="仿宋"/>
                <w:color w:val="auto"/>
                <w:sz w:val="21"/>
                <w:szCs w:val="24"/>
              </w:rPr>
            </w:pPr>
            <w:r>
              <w:rPr>
                <w:rFonts w:hint="eastAsia" w:ascii="仿宋" w:hAnsi="仿宋" w:eastAsia="仿宋"/>
                <w:color w:val="auto"/>
                <w:sz w:val="21"/>
                <w:szCs w:val="24"/>
                <w:lang w:eastAsia="zh-CN"/>
              </w:rPr>
              <w:t>扣</w:t>
            </w:r>
            <w:r>
              <w:rPr>
                <w:rFonts w:hint="eastAsia" w:ascii="仿宋" w:hAnsi="仿宋" w:eastAsia="仿宋"/>
                <w:color w:val="auto"/>
                <w:sz w:val="21"/>
                <w:szCs w:val="24"/>
                <w:lang w:val="en-US" w:eastAsia="zh-CN"/>
              </w:rPr>
              <w:t>3</w:t>
            </w:r>
            <w:r>
              <w:rPr>
                <w:rFonts w:hint="eastAsia" w:ascii="仿宋" w:hAnsi="仿宋" w:eastAsia="仿宋"/>
                <w:color w:val="auto"/>
                <w:sz w:val="21"/>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both"/>
              <w:rPr>
                <w:rFonts w:ascii="仿宋" w:hAnsi="仿宋" w:eastAsia="仿宋"/>
                <w:color w:val="auto"/>
                <w:sz w:val="21"/>
                <w:szCs w:val="24"/>
              </w:rPr>
            </w:pPr>
          </w:p>
        </w:tc>
        <w:tc>
          <w:tcPr>
            <w:tcW w:w="2268" w:type="dxa"/>
            <w:vAlign w:val="center"/>
          </w:tcPr>
          <w:p>
            <w:pPr>
              <w:jc w:val="both"/>
              <w:rPr>
                <w:rFonts w:ascii="仿宋" w:hAnsi="仿宋" w:eastAsia="仿宋"/>
                <w:color w:val="auto"/>
                <w:sz w:val="21"/>
                <w:szCs w:val="24"/>
              </w:rPr>
            </w:pPr>
            <w:r>
              <w:rPr>
                <w:rFonts w:hint="eastAsia" w:ascii="仿宋" w:hAnsi="仿宋" w:eastAsia="仿宋"/>
                <w:color w:val="auto"/>
                <w:sz w:val="21"/>
                <w:szCs w:val="24"/>
              </w:rPr>
              <w:t>5.保荐项目人员配置</w:t>
            </w:r>
          </w:p>
        </w:tc>
        <w:tc>
          <w:tcPr>
            <w:tcW w:w="7230" w:type="dxa"/>
            <w:vAlign w:val="center"/>
          </w:tcPr>
          <w:p>
            <w:pPr>
              <w:jc w:val="both"/>
              <w:rPr>
                <w:rFonts w:ascii="仿宋" w:hAnsi="仿宋" w:eastAsia="仿宋"/>
                <w:color w:val="auto"/>
                <w:sz w:val="21"/>
                <w:szCs w:val="24"/>
              </w:rPr>
            </w:pPr>
            <w:r>
              <w:rPr>
                <w:rFonts w:hint="eastAsia" w:ascii="仿宋" w:hAnsi="仿宋" w:eastAsia="仿宋"/>
                <w:color w:val="auto"/>
                <w:sz w:val="21"/>
                <w:szCs w:val="24"/>
              </w:rPr>
              <w:t xml:space="preserve">保荐代表人及其他项目人员应当有效分工协作，根据具体工作职责承担相应的责任。 </w:t>
            </w:r>
          </w:p>
          <w:p>
            <w:pPr>
              <w:jc w:val="both"/>
              <w:rPr>
                <w:rFonts w:ascii="仿宋" w:hAnsi="仿宋" w:eastAsia="仿宋"/>
                <w:color w:val="auto"/>
                <w:sz w:val="21"/>
                <w:szCs w:val="24"/>
              </w:rPr>
            </w:pPr>
            <w:r>
              <w:rPr>
                <w:rFonts w:hint="eastAsia" w:ascii="仿宋" w:hAnsi="仿宋" w:eastAsia="仿宋"/>
                <w:color w:val="auto"/>
                <w:sz w:val="21"/>
                <w:szCs w:val="24"/>
              </w:rPr>
              <w:t>保荐机构应当建立健全内部问责机制，明确保荐业务人员履职规范和问责措施，并在尽职调查工作底稿中详细记录保荐项目的人员配置情况，包括保荐代表人及其他项目人员、项目所在部门/子部门/团队负责人等直接主管人员情况，保荐代表人和其他项目人员所从事的具体工作，相关人员在项目中发挥的作用。</w:t>
            </w:r>
          </w:p>
        </w:tc>
        <w:tc>
          <w:tcPr>
            <w:tcW w:w="0" w:type="auto"/>
            <w:vAlign w:val="center"/>
          </w:tcPr>
          <w:p>
            <w:pPr>
              <w:jc w:val="both"/>
              <w:rPr>
                <w:rFonts w:ascii="仿宋" w:hAnsi="仿宋" w:eastAsia="仿宋"/>
                <w:color w:val="auto"/>
                <w:sz w:val="21"/>
                <w:szCs w:val="24"/>
              </w:rPr>
            </w:pPr>
            <w:r>
              <w:rPr>
                <w:rFonts w:hint="eastAsia" w:ascii="仿宋" w:hAnsi="仿宋" w:eastAsia="仿宋"/>
                <w:color w:val="auto"/>
                <w:sz w:val="21"/>
                <w:szCs w:val="24"/>
                <w:lang w:eastAsia="zh-CN"/>
              </w:rPr>
              <w:t>未执行或执行不到位的</w:t>
            </w:r>
            <w:r>
              <w:rPr>
                <w:rFonts w:ascii="仿宋" w:hAnsi="仿宋" w:eastAsia="仿宋"/>
                <w:color w:val="auto"/>
                <w:sz w:val="21"/>
                <w:szCs w:val="24"/>
              </w:rPr>
              <w:t>，</w:t>
            </w:r>
            <w:r>
              <w:rPr>
                <w:rFonts w:hint="eastAsia" w:ascii="仿宋" w:hAnsi="仿宋" w:eastAsia="仿宋"/>
                <w:color w:val="auto"/>
                <w:sz w:val="21"/>
                <w:szCs w:val="24"/>
                <w:lang w:eastAsia="zh-CN"/>
              </w:rPr>
              <w:t>扣</w:t>
            </w:r>
            <w:r>
              <w:rPr>
                <w:rFonts w:hint="eastAsia" w:ascii="仿宋" w:hAnsi="仿宋" w:eastAsia="仿宋"/>
                <w:color w:val="auto"/>
                <w:sz w:val="21"/>
                <w:szCs w:val="24"/>
                <w:lang w:val="en-US" w:eastAsia="zh-CN"/>
              </w:rPr>
              <w:t>0.5分</w:t>
            </w:r>
          </w:p>
        </w:tc>
        <w:tc>
          <w:tcPr>
            <w:tcW w:w="1119" w:type="dxa"/>
            <w:vAlign w:val="center"/>
          </w:tcPr>
          <w:p>
            <w:pPr>
              <w:jc w:val="center"/>
              <w:rPr>
                <w:rFonts w:ascii="仿宋" w:hAnsi="仿宋" w:eastAsia="仿宋"/>
                <w:color w:val="auto"/>
                <w:sz w:val="21"/>
                <w:szCs w:val="24"/>
              </w:rPr>
            </w:pPr>
            <w:r>
              <w:rPr>
                <w:rFonts w:hint="eastAsia" w:ascii="仿宋" w:hAnsi="仿宋" w:eastAsia="仿宋"/>
                <w:color w:val="auto"/>
                <w:sz w:val="21"/>
                <w:szCs w:val="24"/>
                <w:lang w:eastAsia="zh-CN"/>
              </w:rPr>
              <w:t>扣</w:t>
            </w:r>
            <w:r>
              <w:rPr>
                <w:rFonts w:hint="eastAsia" w:ascii="仿宋" w:hAnsi="仿宋" w:eastAsia="仿宋"/>
                <w:color w:val="auto"/>
                <w:sz w:val="21"/>
                <w:szCs w:val="24"/>
                <w:lang w:val="en-US" w:eastAsia="zh-CN"/>
              </w:rPr>
              <w:t>0.5</w:t>
            </w:r>
            <w:r>
              <w:rPr>
                <w:rFonts w:hint="eastAsia" w:ascii="仿宋" w:hAnsi="仿宋" w:eastAsia="仿宋"/>
                <w:color w:val="auto"/>
                <w:sz w:val="21"/>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both"/>
              <w:rPr>
                <w:rFonts w:ascii="仿宋" w:hAnsi="仿宋" w:eastAsia="仿宋"/>
                <w:color w:val="auto"/>
                <w:sz w:val="21"/>
                <w:szCs w:val="24"/>
              </w:rPr>
            </w:pPr>
          </w:p>
        </w:tc>
        <w:tc>
          <w:tcPr>
            <w:tcW w:w="2268" w:type="dxa"/>
            <w:vAlign w:val="center"/>
          </w:tcPr>
          <w:p>
            <w:pPr>
              <w:jc w:val="both"/>
              <w:rPr>
                <w:rFonts w:ascii="仿宋" w:hAnsi="仿宋" w:eastAsia="仿宋"/>
                <w:color w:val="auto"/>
                <w:sz w:val="21"/>
                <w:szCs w:val="24"/>
              </w:rPr>
            </w:pPr>
            <w:r>
              <w:rPr>
                <w:rFonts w:hint="eastAsia" w:ascii="仿宋" w:hAnsi="仿宋" w:eastAsia="仿宋"/>
                <w:color w:val="auto"/>
                <w:sz w:val="21"/>
                <w:szCs w:val="24"/>
              </w:rPr>
              <w:t>6</w:t>
            </w:r>
            <w:r>
              <w:rPr>
                <w:rFonts w:ascii="仿宋" w:hAnsi="仿宋" w:eastAsia="仿宋"/>
                <w:color w:val="auto"/>
                <w:sz w:val="21"/>
                <w:szCs w:val="24"/>
              </w:rPr>
              <w:t>.</w:t>
            </w:r>
            <w:r>
              <w:rPr>
                <w:rFonts w:hint="eastAsia" w:ascii="仿宋" w:hAnsi="仿宋" w:eastAsia="仿宋"/>
                <w:color w:val="auto"/>
                <w:sz w:val="21"/>
                <w:szCs w:val="24"/>
              </w:rPr>
              <w:t>工作日志</w:t>
            </w:r>
          </w:p>
        </w:tc>
        <w:tc>
          <w:tcPr>
            <w:tcW w:w="7230" w:type="dxa"/>
            <w:vAlign w:val="center"/>
          </w:tcPr>
          <w:p>
            <w:pPr>
              <w:jc w:val="both"/>
              <w:rPr>
                <w:rFonts w:ascii="仿宋" w:hAnsi="仿宋" w:eastAsia="仿宋"/>
                <w:color w:val="auto"/>
                <w:sz w:val="21"/>
                <w:szCs w:val="24"/>
              </w:rPr>
            </w:pPr>
            <w:r>
              <w:rPr>
                <w:rFonts w:hint="eastAsia" w:ascii="仿宋" w:hAnsi="仿宋" w:eastAsia="仿宋"/>
                <w:color w:val="auto"/>
                <w:sz w:val="21"/>
                <w:szCs w:val="24"/>
              </w:rPr>
              <w:t>为每个投资银行类项目编制单独的工作日志。工作日志应当按照时间顺序全面、完整地记录尽职调查过程，并作为工作底稿一部分存档备查。</w:t>
            </w:r>
          </w:p>
        </w:tc>
        <w:tc>
          <w:tcPr>
            <w:tcW w:w="0" w:type="auto"/>
            <w:vAlign w:val="center"/>
          </w:tcPr>
          <w:p>
            <w:pPr>
              <w:jc w:val="both"/>
              <w:rPr>
                <w:rFonts w:ascii="仿宋" w:hAnsi="仿宋" w:eastAsia="仿宋"/>
                <w:color w:val="auto"/>
                <w:sz w:val="21"/>
                <w:szCs w:val="24"/>
              </w:rPr>
            </w:pPr>
            <w:r>
              <w:rPr>
                <w:rFonts w:hint="eastAsia" w:ascii="仿宋" w:hAnsi="仿宋" w:eastAsia="仿宋"/>
                <w:color w:val="auto"/>
                <w:sz w:val="21"/>
                <w:szCs w:val="24"/>
                <w:lang w:eastAsia="zh-CN"/>
              </w:rPr>
              <w:t>未执行或执行不到位的</w:t>
            </w:r>
            <w:r>
              <w:rPr>
                <w:rFonts w:ascii="仿宋" w:hAnsi="仿宋" w:eastAsia="仿宋"/>
                <w:color w:val="auto"/>
                <w:sz w:val="21"/>
                <w:szCs w:val="24"/>
              </w:rPr>
              <w:t>，</w:t>
            </w:r>
            <w:r>
              <w:rPr>
                <w:rFonts w:hint="eastAsia" w:ascii="仿宋" w:hAnsi="仿宋" w:eastAsia="仿宋"/>
                <w:color w:val="auto"/>
                <w:sz w:val="21"/>
                <w:szCs w:val="24"/>
                <w:lang w:eastAsia="zh-CN"/>
              </w:rPr>
              <w:t>扣</w:t>
            </w:r>
            <w:r>
              <w:rPr>
                <w:rFonts w:hint="eastAsia" w:ascii="仿宋" w:hAnsi="仿宋" w:eastAsia="仿宋"/>
                <w:color w:val="auto"/>
                <w:sz w:val="21"/>
                <w:szCs w:val="24"/>
                <w:lang w:val="en-US" w:eastAsia="zh-CN"/>
              </w:rPr>
              <w:t>0.5分</w:t>
            </w:r>
          </w:p>
        </w:tc>
        <w:tc>
          <w:tcPr>
            <w:tcW w:w="1119" w:type="dxa"/>
            <w:vAlign w:val="center"/>
          </w:tcPr>
          <w:p>
            <w:pPr>
              <w:jc w:val="center"/>
              <w:rPr>
                <w:rFonts w:ascii="仿宋" w:hAnsi="仿宋" w:eastAsia="仿宋"/>
                <w:color w:val="auto"/>
                <w:sz w:val="21"/>
                <w:szCs w:val="24"/>
              </w:rPr>
            </w:pPr>
            <w:r>
              <w:rPr>
                <w:rFonts w:hint="eastAsia" w:ascii="仿宋" w:hAnsi="仿宋" w:eastAsia="仿宋"/>
                <w:color w:val="auto"/>
                <w:sz w:val="21"/>
                <w:szCs w:val="24"/>
                <w:lang w:eastAsia="zh-CN"/>
              </w:rPr>
              <w:t>扣</w:t>
            </w:r>
            <w:r>
              <w:rPr>
                <w:rFonts w:hint="eastAsia" w:ascii="仿宋" w:hAnsi="仿宋" w:eastAsia="仿宋"/>
                <w:color w:val="auto"/>
                <w:sz w:val="21"/>
                <w:szCs w:val="24"/>
                <w:lang w:val="en-US" w:eastAsia="zh-CN"/>
              </w:rPr>
              <w:t>0.5</w:t>
            </w:r>
            <w:r>
              <w:rPr>
                <w:rFonts w:hint="eastAsia" w:ascii="仿宋" w:hAnsi="仿宋" w:eastAsia="仿宋"/>
                <w:color w:val="auto"/>
                <w:sz w:val="21"/>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both"/>
              <w:rPr>
                <w:rFonts w:ascii="仿宋" w:hAnsi="仿宋" w:eastAsia="仿宋"/>
                <w:color w:val="auto"/>
                <w:sz w:val="21"/>
                <w:szCs w:val="24"/>
              </w:rPr>
            </w:pPr>
          </w:p>
        </w:tc>
        <w:tc>
          <w:tcPr>
            <w:tcW w:w="2268" w:type="dxa"/>
            <w:vAlign w:val="center"/>
          </w:tcPr>
          <w:p>
            <w:pPr>
              <w:jc w:val="both"/>
              <w:rPr>
                <w:rFonts w:ascii="仿宋" w:hAnsi="仿宋" w:eastAsia="仿宋"/>
                <w:color w:val="auto"/>
                <w:sz w:val="21"/>
                <w:szCs w:val="24"/>
              </w:rPr>
            </w:pPr>
            <w:r>
              <w:rPr>
                <w:rFonts w:hint="eastAsia" w:ascii="仿宋" w:hAnsi="仿宋" w:eastAsia="仿宋"/>
                <w:color w:val="auto"/>
                <w:sz w:val="21"/>
                <w:szCs w:val="24"/>
              </w:rPr>
              <w:t>7</w:t>
            </w:r>
            <w:r>
              <w:rPr>
                <w:rFonts w:ascii="仿宋" w:hAnsi="仿宋" w:eastAsia="仿宋"/>
                <w:color w:val="auto"/>
                <w:sz w:val="21"/>
                <w:szCs w:val="24"/>
              </w:rPr>
              <w:t>.</w:t>
            </w:r>
            <w:r>
              <w:rPr>
                <w:rFonts w:hint="eastAsia" w:ascii="仿宋" w:hAnsi="仿宋" w:eastAsia="仿宋"/>
                <w:color w:val="auto"/>
                <w:sz w:val="21"/>
                <w:szCs w:val="24"/>
              </w:rPr>
              <w:t>质量控制工作</w:t>
            </w:r>
          </w:p>
        </w:tc>
        <w:tc>
          <w:tcPr>
            <w:tcW w:w="7230" w:type="dxa"/>
            <w:vAlign w:val="center"/>
          </w:tcPr>
          <w:p>
            <w:pPr>
              <w:jc w:val="both"/>
              <w:rPr>
                <w:rFonts w:ascii="仿宋" w:hAnsi="仿宋" w:eastAsia="仿宋"/>
                <w:color w:val="auto"/>
                <w:sz w:val="21"/>
                <w:szCs w:val="24"/>
              </w:rPr>
            </w:pPr>
            <w:r>
              <w:rPr>
                <w:rFonts w:hint="eastAsia" w:ascii="仿宋" w:hAnsi="仿宋" w:eastAsia="仿宋"/>
                <w:color w:val="auto"/>
                <w:sz w:val="21"/>
                <w:szCs w:val="24"/>
              </w:rPr>
              <w:t>质量控制部门或团队应当对投资银行类项目是否符合立项、内核等标准和条件，项目组拟提交、报送、出具或披露的材料和文件是否符合法律法规、中国证监会的有关规定、自律规则的相关要求，业务人员是否勤勉尽责履行尽职调查义务等进行核查和判断。</w:t>
            </w:r>
          </w:p>
          <w:p>
            <w:pPr>
              <w:jc w:val="both"/>
              <w:rPr>
                <w:rFonts w:ascii="仿宋" w:hAnsi="仿宋" w:eastAsia="仿宋"/>
                <w:color w:val="auto"/>
                <w:sz w:val="21"/>
                <w:szCs w:val="24"/>
              </w:rPr>
            </w:pPr>
            <w:r>
              <w:rPr>
                <w:rFonts w:hint="eastAsia" w:ascii="仿宋" w:hAnsi="仿宋" w:eastAsia="仿宋"/>
                <w:color w:val="auto"/>
                <w:sz w:val="21"/>
                <w:szCs w:val="24"/>
              </w:rPr>
              <w:t>发现投资银行类项目存在重大风险的，质量控制部门或团队应当指派专人进行必要的现场核查。</w:t>
            </w:r>
          </w:p>
        </w:tc>
        <w:tc>
          <w:tcPr>
            <w:tcW w:w="0" w:type="auto"/>
            <w:vAlign w:val="center"/>
          </w:tcPr>
          <w:p>
            <w:pPr>
              <w:jc w:val="both"/>
              <w:rPr>
                <w:rFonts w:ascii="仿宋" w:hAnsi="仿宋" w:eastAsia="仿宋"/>
                <w:color w:val="auto"/>
                <w:sz w:val="21"/>
                <w:szCs w:val="24"/>
              </w:rPr>
            </w:pPr>
            <w:r>
              <w:rPr>
                <w:rFonts w:hint="eastAsia" w:ascii="仿宋" w:hAnsi="仿宋" w:eastAsia="仿宋"/>
                <w:color w:val="auto"/>
                <w:sz w:val="21"/>
                <w:szCs w:val="24"/>
                <w:lang w:eastAsia="zh-CN"/>
              </w:rPr>
              <w:t>未执行或执行不到位的</w:t>
            </w:r>
            <w:r>
              <w:rPr>
                <w:rFonts w:ascii="仿宋" w:hAnsi="仿宋" w:eastAsia="仿宋"/>
                <w:color w:val="auto"/>
                <w:sz w:val="21"/>
                <w:szCs w:val="24"/>
              </w:rPr>
              <w:t>，</w:t>
            </w:r>
            <w:r>
              <w:rPr>
                <w:rFonts w:hint="eastAsia" w:ascii="仿宋" w:hAnsi="仿宋" w:eastAsia="仿宋"/>
                <w:color w:val="auto"/>
                <w:sz w:val="21"/>
                <w:szCs w:val="24"/>
                <w:lang w:eastAsia="zh-CN"/>
              </w:rPr>
              <w:t>扣</w:t>
            </w:r>
            <w:r>
              <w:rPr>
                <w:rFonts w:hint="eastAsia" w:ascii="仿宋" w:hAnsi="仿宋" w:eastAsia="仿宋"/>
                <w:color w:val="auto"/>
                <w:sz w:val="21"/>
                <w:szCs w:val="24"/>
                <w:lang w:val="en-US" w:eastAsia="zh-CN"/>
              </w:rPr>
              <w:t>0.5分</w:t>
            </w:r>
          </w:p>
        </w:tc>
        <w:tc>
          <w:tcPr>
            <w:tcW w:w="1119" w:type="dxa"/>
            <w:vAlign w:val="center"/>
          </w:tcPr>
          <w:p>
            <w:pPr>
              <w:jc w:val="center"/>
              <w:rPr>
                <w:rFonts w:ascii="仿宋" w:hAnsi="仿宋" w:eastAsia="仿宋"/>
                <w:color w:val="auto"/>
                <w:sz w:val="21"/>
                <w:szCs w:val="24"/>
              </w:rPr>
            </w:pPr>
            <w:r>
              <w:rPr>
                <w:rFonts w:hint="eastAsia" w:ascii="仿宋" w:hAnsi="仿宋" w:eastAsia="仿宋"/>
                <w:color w:val="auto"/>
                <w:sz w:val="21"/>
                <w:szCs w:val="24"/>
                <w:lang w:eastAsia="zh-CN"/>
              </w:rPr>
              <w:t>扣</w:t>
            </w:r>
            <w:r>
              <w:rPr>
                <w:rFonts w:hint="eastAsia" w:ascii="仿宋" w:hAnsi="仿宋" w:eastAsia="仿宋"/>
                <w:color w:val="auto"/>
                <w:sz w:val="21"/>
                <w:szCs w:val="24"/>
                <w:lang w:val="en-US" w:eastAsia="zh-CN"/>
              </w:rPr>
              <w:t>0.5</w:t>
            </w:r>
            <w:r>
              <w:rPr>
                <w:rFonts w:hint="eastAsia" w:ascii="仿宋" w:hAnsi="仿宋" w:eastAsia="仿宋"/>
                <w:color w:val="auto"/>
                <w:sz w:val="21"/>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both"/>
              <w:rPr>
                <w:rFonts w:ascii="仿宋" w:hAnsi="仿宋" w:eastAsia="仿宋"/>
                <w:color w:val="auto"/>
                <w:sz w:val="21"/>
                <w:szCs w:val="24"/>
              </w:rPr>
            </w:pPr>
          </w:p>
        </w:tc>
        <w:tc>
          <w:tcPr>
            <w:tcW w:w="2268" w:type="dxa"/>
            <w:vAlign w:val="center"/>
          </w:tcPr>
          <w:p>
            <w:pPr>
              <w:jc w:val="both"/>
              <w:rPr>
                <w:rFonts w:ascii="仿宋" w:hAnsi="仿宋" w:eastAsia="仿宋"/>
                <w:color w:val="auto"/>
                <w:sz w:val="21"/>
                <w:szCs w:val="24"/>
              </w:rPr>
            </w:pPr>
            <w:r>
              <w:rPr>
                <w:rFonts w:hint="eastAsia" w:ascii="仿宋" w:hAnsi="仿宋" w:eastAsia="仿宋"/>
                <w:color w:val="auto"/>
                <w:sz w:val="21"/>
                <w:szCs w:val="24"/>
              </w:rPr>
              <w:t>8.现场核查</w:t>
            </w:r>
          </w:p>
        </w:tc>
        <w:tc>
          <w:tcPr>
            <w:tcW w:w="7230" w:type="dxa"/>
            <w:vAlign w:val="center"/>
          </w:tcPr>
          <w:p>
            <w:pPr>
              <w:jc w:val="both"/>
              <w:rPr>
                <w:rFonts w:ascii="仿宋" w:hAnsi="仿宋" w:eastAsia="仿宋"/>
                <w:color w:val="auto"/>
                <w:sz w:val="21"/>
                <w:szCs w:val="24"/>
              </w:rPr>
            </w:pPr>
            <w:r>
              <w:rPr>
                <w:rFonts w:hint="eastAsia" w:ascii="仿宋" w:hAnsi="仿宋" w:eastAsia="仿宋"/>
                <w:color w:val="auto"/>
                <w:sz w:val="21"/>
                <w:szCs w:val="24"/>
              </w:rPr>
              <w:t>开展现场核查的投资银行类项目，质量控制人员应当形成书面或电子形式的现场核查报告并存档备查。</w:t>
            </w:r>
          </w:p>
          <w:p>
            <w:pPr>
              <w:jc w:val="both"/>
              <w:rPr>
                <w:rFonts w:ascii="仿宋" w:hAnsi="仿宋" w:eastAsia="仿宋"/>
                <w:color w:val="auto"/>
                <w:sz w:val="21"/>
                <w:szCs w:val="24"/>
              </w:rPr>
            </w:pPr>
            <w:r>
              <w:rPr>
                <w:rFonts w:hint="eastAsia" w:ascii="仿宋" w:hAnsi="仿宋" w:eastAsia="仿宋"/>
                <w:color w:val="auto"/>
                <w:sz w:val="21"/>
                <w:szCs w:val="24"/>
              </w:rPr>
              <w:t>现场核查报告应当如实记录、反映现场核查情况，分析、判断项目风险和项目组执业情况，形成明确的现场核查结论。</w:t>
            </w:r>
          </w:p>
        </w:tc>
        <w:tc>
          <w:tcPr>
            <w:tcW w:w="0" w:type="auto"/>
            <w:vAlign w:val="center"/>
          </w:tcPr>
          <w:p>
            <w:pPr>
              <w:jc w:val="both"/>
              <w:rPr>
                <w:rFonts w:ascii="仿宋" w:hAnsi="仿宋" w:eastAsia="仿宋"/>
                <w:color w:val="auto"/>
                <w:sz w:val="21"/>
                <w:szCs w:val="24"/>
              </w:rPr>
            </w:pPr>
            <w:r>
              <w:rPr>
                <w:rFonts w:hint="eastAsia" w:ascii="仿宋" w:hAnsi="仿宋" w:eastAsia="仿宋"/>
                <w:color w:val="auto"/>
                <w:sz w:val="21"/>
                <w:szCs w:val="24"/>
                <w:lang w:eastAsia="zh-CN"/>
              </w:rPr>
              <w:t>未执行或执行不到位的</w:t>
            </w:r>
            <w:r>
              <w:rPr>
                <w:rFonts w:ascii="仿宋" w:hAnsi="仿宋" w:eastAsia="仿宋"/>
                <w:color w:val="auto"/>
                <w:sz w:val="21"/>
                <w:szCs w:val="24"/>
              </w:rPr>
              <w:t>，</w:t>
            </w:r>
            <w:r>
              <w:rPr>
                <w:rFonts w:hint="eastAsia" w:ascii="仿宋" w:hAnsi="仿宋" w:eastAsia="仿宋"/>
                <w:color w:val="auto"/>
                <w:sz w:val="21"/>
                <w:szCs w:val="24"/>
                <w:lang w:eastAsia="zh-CN"/>
              </w:rPr>
              <w:t>扣</w:t>
            </w:r>
            <w:r>
              <w:rPr>
                <w:rFonts w:hint="eastAsia" w:ascii="仿宋" w:hAnsi="仿宋" w:eastAsia="仿宋"/>
                <w:color w:val="auto"/>
                <w:sz w:val="21"/>
                <w:szCs w:val="24"/>
                <w:lang w:val="en-US" w:eastAsia="zh-CN"/>
              </w:rPr>
              <w:t>0.5分</w:t>
            </w:r>
          </w:p>
        </w:tc>
        <w:tc>
          <w:tcPr>
            <w:tcW w:w="1119" w:type="dxa"/>
            <w:vAlign w:val="center"/>
          </w:tcPr>
          <w:p>
            <w:pPr>
              <w:jc w:val="center"/>
              <w:rPr>
                <w:rFonts w:ascii="仿宋" w:hAnsi="仿宋" w:eastAsia="仿宋"/>
                <w:color w:val="auto"/>
                <w:sz w:val="21"/>
                <w:szCs w:val="24"/>
              </w:rPr>
            </w:pPr>
            <w:r>
              <w:rPr>
                <w:rFonts w:hint="eastAsia" w:ascii="仿宋" w:hAnsi="仿宋" w:eastAsia="仿宋"/>
                <w:color w:val="auto"/>
                <w:sz w:val="21"/>
                <w:szCs w:val="24"/>
                <w:lang w:eastAsia="zh-CN"/>
              </w:rPr>
              <w:t>扣</w:t>
            </w:r>
            <w:r>
              <w:rPr>
                <w:rFonts w:hint="eastAsia" w:ascii="仿宋" w:hAnsi="仿宋" w:eastAsia="仿宋"/>
                <w:color w:val="auto"/>
                <w:sz w:val="21"/>
                <w:szCs w:val="24"/>
                <w:lang w:val="en-US" w:eastAsia="zh-CN"/>
              </w:rPr>
              <w:t>0.5</w:t>
            </w:r>
            <w:r>
              <w:rPr>
                <w:rFonts w:hint="eastAsia" w:ascii="仿宋" w:hAnsi="仿宋" w:eastAsia="仿宋"/>
                <w:color w:val="auto"/>
                <w:sz w:val="21"/>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both"/>
              <w:rPr>
                <w:rFonts w:ascii="仿宋" w:hAnsi="仿宋" w:eastAsia="仿宋"/>
                <w:color w:val="auto"/>
                <w:sz w:val="21"/>
                <w:szCs w:val="24"/>
              </w:rPr>
            </w:pPr>
          </w:p>
        </w:tc>
        <w:tc>
          <w:tcPr>
            <w:tcW w:w="2268" w:type="dxa"/>
            <w:vAlign w:val="center"/>
          </w:tcPr>
          <w:p>
            <w:pPr>
              <w:jc w:val="both"/>
              <w:rPr>
                <w:rFonts w:ascii="仿宋" w:hAnsi="仿宋" w:eastAsia="仿宋"/>
                <w:color w:val="auto"/>
                <w:sz w:val="21"/>
                <w:szCs w:val="24"/>
              </w:rPr>
            </w:pPr>
            <w:r>
              <w:rPr>
                <w:rFonts w:hint="eastAsia" w:ascii="仿宋" w:hAnsi="仿宋" w:eastAsia="仿宋"/>
                <w:color w:val="auto"/>
                <w:sz w:val="21"/>
                <w:szCs w:val="24"/>
              </w:rPr>
              <w:t>9</w:t>
            </w:r>
            <w:r>
              <w:rPr>
                <w:rFonts w:ascii="仿宋" w:hAnsi="仿宋" w:eastAsia="仿宋"/>
                <w:color w:val="auto"/>
                <w:sz w:val="21"/>
                <w:szCs w:val="24"/>
              </w:rPr>
              <w:t>.</w:t>
            </w:r>
            <w:r>
              <w:rPr>
                <w:rFonts w:hint="eastAsia" w:ascii="仿宋" w:hAnsi="仿宋" w:eastAsia="仿宋"/>
                <w:color w:val="auto"/>
                <w:sz w:val="21"/>
                <w:szCs w:val="24"/>
              </w:rPr>
              <w:t>工作底稿验收</w:t>
            </w:r>
          </w:p>
        </w:tc>
        <w:tc>
          <w:tcPr>
            <w:tcW w:w="7230" w:type="dxa"/>
            <w:vAlign w:val="center"/>
          </w:tcPr>
          <w:p>
            <w:pPr>
              <w:jc w:val="both"/>
              <w:rPr>
                <w:rFonts w:ascii="仿宋" w:hAnsi="仿宋" w:eastAsia="仿宋"/>
                <w:color w:val="auto"/>
                <w:sz w:val="21"/>
                <w:szCs w:val="24"/>
              </w:rPr>
            </w:pPr>
            <w:r>
              <w:rPr>
                <w:rFonts w:hint="eastAsia" w:ascii="仿宋" w:hAnsi="仿宋" w:eastAsia="仿宋"/>
                <w:color w:val="auto"/>
                <w:sz w:val="21"/>
                <w:szCs w:val="24"/>
              </w:rPr>
              <w:t>申请启动内核会议审议程序前，应当完成对现场尽职调查阶段工作底稿的获取和归集工作，并提交质量控制部门或团队验收。质量控制部门或团队应当出具明确的验收意见。</w:t>
            </w:r>
          </w:p>
        </w:tc>
        <w:tc>
          <w:tcPr>
            <w:tcW w:w="0" w:type="auto"/>
            <w:vAlign w:val="center"/>
          </w:tcPr>
          <w:p>
            <w:pPr>
              <w:jc w:val="both"/>
              <w:rPr>
                <w:rFonts w:ascii="仿宋" w:hAnsi="仿宋" w:eastAsia="仿宋"/>
                <w:color w:val="auto"/>
                <w:sz w:val="21"/>
                <w:szCs w:val="24"/>
              </w:rPr>
            </w:pPr>
            <w:r>
              <w:rPr>
                <w:rFonts w:hint="eastAsia" w:ascii="仿宋" w:hAnsi="仿宋" w:eastAsia="仿宋"/>
                <w:color w:val="auto"/>
                <w:sz w:val="21"/>
                <w:szCs w:val="24"/>
                <w:lang w:eastAsia="zh-CN"/>
              </w:rPr>
              <w:t>未执行或执行不到位的</w:t>
            </w:r>
            <w:r>
              <w:rPr>
                <w:rFonts w:ascii="仿宋" w:hAnsi="仿宋" w:eastAsia="仿宋"/>
                <w:color w:val="auto"/>
                <w:sz w:val="21"/>
                <w:szCs w:val="24"/>
              </w:rPr>
              <w:t>，</w:t>
            </w:r>
            <w:r>
              <w:rPr>
                <w:rFonts w:hint="eastAsia" w:ascii="仿宋" w:hAnsi="仿宋" w:eastAsia="仿宋"/>
                <w:color w:val="auto"/>
                <w:sz w:val="21"/>
                <w:szCs w:val="24"/>
                <w:lang w:eastAsia="zh-CN"/>
              </w:rPr>
              <w:t>扣</w:t>
            </w:r>
            <w:r>
              <w:rPr>
                <w:rFonts w:hint="eastAsia" w:ascii="仿宋" w:hAnsi="仿宋" w:eastAsia="仿宋"/>
                <w:color w:val="auto"/>
                <w:sz w:val="21"/>
                <w:szCs w:val="24"/>
                <w:lang w:val="en-US" w:eastAsia="zh-CN"/>
              </w:rPr>
              <w:t>0.5分</w:t>
            </w:r>
          </w:p>
        </w:tc>
        <w:tc>
          <w:tcPr>
            <w:tcW w:w="1119" w:type="dxa"/>
            <w:vAlign w:val="center"/>
          </w:tcPr>
          <w:p>
            <w:pPr>
              <w:jc w:val="center"/>
              <w:rPr>
                <w:rFonts w:ascii="仿宋" w:hAnsi="仿宋" w:eastAsia="仿宋"/>
                <w:color w:val="auto"/>
                <w:sz w:val="21"/>
                <w:szCs w:val="24"/>
              </w:rPr>
            </w:pPr>
            <w:r>
              <w:rPr>
                <w:rFonts w:hint="eastAsia" w:ascii="仿宋" w:hAnsi="仿宋" w:eastAsia="仿宋"/>
                <w:color w:val="auto"/>
                <w:sz w:val="21"/>
                <w:szCs w:val="24"/>
                <w:lang w:eastAsia="zh-CN"/>
              </w:rPr>
              <w:t>扣</w:t>
            </w:r>
            <w:r>
              <w:rPr>
                <w:rFonts w:hint="eastAsia" w:ascii="仿宋" w:hAnsi="仿宋" w:eastAsia="仿宋"/>
                <w:color w:val="auto"/>
                <w:sz w:val="21"/>
                <w:szCs w:val="24"/>
                <w:lang w:val="en-US" w:eastAsia="zh-CN"/>
              </w:rPr>
              <w:t>0.5</w:t>
            </w:r>
            <w:r>
              <w:rPr>
                <w:rFonts w:hint="eastAsia" w:ascii="仿宋" w:hAnsi="仿宋" w:eastAsia="仿宋"/>
                <w:color w:val="auto"/>
                <w:sz w:val="21"/>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both"/>
              <w:rPr>
                <w:rFonts w:ascii="仿宋" w:hAnsi="仿宋" w:eastAsia="仿宋"/>
                <w:color w:val="auto"/>
                <w:sz w:val="21"/>
                <w:szCs w:val="24"/>
              </w:rPr>
            </w:pPr>
          </w:p>
        </w:tc>
        <w:tc>
          <w:tcPr>
            <w:tcW w:w="2268" w:type="dxa"/>
            <w:vAlign w:val="center"/>
          </w:tcPr>
          <w:p>
            <w:pPr>
              <w:jc w:val="both"/>
              <w:rPr>
                <w:rFonts w:ascii="仿宋" w:hAnsi="仿宋" w:eastAsia="仿宋"/>
                <w:color w:val="auto"/>
                <w:sz w:val="21"/>
                <w:szCs w:val="24"/>
              </w:rPr>
            </w:pPr>
            <w:r>
              <w:rPr>
                <w:rFonts w:hint="eastAsia" w:ascii="仿宋" w:hAnsi="仿宋" w:eastAsia="仿宋"/>
                <w:color w:val="auto"/>
                <w:sz w:val="21"/>
                <w:szCs w:val="24"/>
              </w:rPr>
              <w:t>10.质量控制报告</w:t>
            </w:r>
          </w:p>
        </w:tc>
        <w:tc>
          <w:tcPr>
            <w:tcW w:w="7230" w:type="dxa"/>
            <w:vAlign w:val="center"/>
          </w:tcPr>
          <w:p>
            <w:pPr>
              <w:jc w:val="both"/>
              <w:rPr>
                <w:rFonts w:ascii="仿宋" w:hAnsi="仿宋" w:eastAsia="仿宋"/>
                <w:color w:val="auto"/>
                <w:sz w:val="21"/>
                <w:szCs w:val="24"/>
              </w:rPr>
            </w:pPr>
            <w:r>
              <w:rPr>
                <w:rFonts w:hint="eastAsia" w:ascii="仿宋" w:hAnsi="仿宋" w:eastAsia="仿宋"/>
                <w:color w:val="auto"/>
                <w:sz w:val="21"/>
                <w:szCs w:val="24"/>
              </w:rPr>
              <w:t>质量控制部门或团队应当认真审阅尽职调查工作底稿，对相关专业意见和推荐文件是否依据充分，项目组是否勤勉尽责出具明确验收意见。验收通过的，质量控制部门或团队应当制作项目质量控制报告，列示项目存疑或需关注的问题提请内核会议讨论。验收未通过的，质量控制部门或团队应当要求项目组做出解释或补充相关工作底稿后重新提交验收。</w:t>
            </w:r>
          </w:p>
        </w:tc>
        <w:tc>
          <w:tcPr>
            <w:tcW w:w="0" w:type="auto"/>
            <w:vAlign w:val="center"/>
          </w:tcPr>
          <w:p>
            <w:pPr>
              <w:jc w:val="both"/>
              <w:rPr>
                <w:rFonts w:ascii="仿宋" w:hAnsi="仿宋" w:eastAsia="仿宋"/>
                <w:color w:val="auto"/>
                <w:sz w:val="21"/>
                <w:szCs w:val="24"/>
              </w:rPr>
            </w:pPr>
            <w:r>
              <w:rPr>
                <w:rFonts w:hint="eastAsia" w:ascii="仿宋" w:hAnsi="仿宋" w:eastAsia="仿宋"/>
                <w:color w:val="auto"/>
                <w:sz w:val="21"/>
                <w:szCs w:val="24"/>
                <w:lang w:eastAsia="zh-CN"/>
              </w:rPr>
              <w:t>未执行或执行不到位的</w:t>
            </w:r>
            <w:r>
              <w:rPr>
                <w:rFonts w:ascii="仿宋" w:hAnsi="仿宋" w:eastAsia="仿宋"/>
                <w:color w:val="auto"/>
                <w:sz w:val="21"/>
                <w:szCs w:val="24"/>
              </w:rPr>
              <w:t>，</w:t>
            </w:r>
            <w:r>
              <w:rPr>
                <w:rFonts w:hint="eastAsia" w:ascii="仿宋" w:hAnsi="仿宋" w:eastAsia="仿宋"/>
                <w:color w:val="auto"/>
                <w:sz w:val="21"/>
                <w:szCs w:val="24"/>
                <w:lang w:eastAsia="zh-CN"/>
              </w:rPr>
              <w:t>扣</w:t>
            </w:r>
            <w:r>
              <w:rPr>
                <w:rFonts w:hint="eastAsia" w:ascii="仿宋" w:hAnsi="仿宋" w:eastAsia="仿宋"/>
                <w:color w:val="auto"/>
                <w:sz w:val="21"/>
                <w:szCs w:val="24"/>
                <w:lang w:val="en-US" w:eastAsia="zh-CN"/>
              </w:rPr>
              <w:t>0.5分</w:t>
            </w:r>
          </w:p>
        </w:tc>
        <w:tc>
          <w:tcPr>
            <w:tcW w:w="1119" w:type="dxa"/>
            <w:vAlign w:val="center"/>
          </w:tcPr>
          <w:p>
            <w:pPr>
              <w:jc w:val="center"/>
              <w:rPr>
                <w:rFonts w:ascii="仿宋" w:hAnsi="仿宋" w:eastAsia="仿宋"/>
                <w:color w:val="auto"/>
                <w:sz w:val="21"/>
                <w:szCs w:val="24"/>
              </w:rPr>
            </w:pPr>
            <w:r>
              <w:rPr>
                <w:rFonts w:hint="eastAsia" w:ascii="仿宋" w:hAnsi="仿宋" w:eastAsia="仿宋"/>
                <w:color w:val="auto"/>
                <w:sz w:val="21"/>
                <w:szCs w:val="24"/>
                <w:lang w:eastAsia="zh-CN"/>
              </w:rPr>
              <w:t>扣</w:t>
            </w:r>
            <w:r>
              <w:rPr>
                <w:rFonts w:hint="eastAsia" w:ascii="仿宋" w:hAnsi="仿宋" w:eastAsia="仿宋"/>
                <w:color w:val="auto"/>
                <w:sz w:val="21"/>
                <w:szCs w:val="24"/>
                <w:lang w:val="en-US" w:eastAsia="zh-CN"/>
              </w:rPr>
              <w:t>0.5</w:t>
            </w:r>
            <w:r>
              <w:rPr>
                <w:rFonts w:hint="eastAsia" w:ascii="仿宋" w:hAnsi="仿宋" w:eastAsia="仿宋"/>
                <w:color w:val="auto"/>
                <w:sz w:val="21"/>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both"/>
              <w:rPr>
                <w:rFonts w:ascii="仿宋" w:hAnsi="仿宋" w:eastAsia="仿宋"/>
                <w:color w:val="auto"/>
                <w:sz w:val="21"/>
                <w:szCs w:val="24"/>
              </w:rPr>
            </w:pPr>
          </w:p>
        </w:tc>
        <w:tc>
          <w:tcPr>
            <w:tcW w:w="2268" w:type="dxa"/>
            <w:vAlign w:val="center"/>
          </w:tcPr>
          <w:p>
            <w:pPr>
              <w:jc w:val="both"/>
              <w:rPr>
                <w:rFonts w:ascii="仿宋" w:hAnsi="仿宋" w:eastAsia="仿宋"/>
                <w:color w:val="auto"/>
                <w:sz w:val="21"/>
                <w:szCs w:val="24"/>
              </w:rPr>
            </w:pPr>
            <w:r>
              <w:rPr>
                <w:rFonts w:hint="eastAsia" w:ascii="仿宋" w:hAnsi="仿宋" w:eastAsia="仿宋"/>
                <w:color w:val="auto"/>
                <w:sz w:val="21"/>
                <w:szCs w:val="24"/>
              </w:rPr>
              <w:t>11</w:t>
            </w:r>
            <w:r>
              <w:rPr>
                <w:rFonts w:ascii="仿宋" w:hAnsi="仿宋" w:eastAsia="仿宋"/>
                <w:color w:val="auto"/>
                <w:sz w:val="21"/>
                <w:szCs w:val="24"/>
              </w:rPr>
              <w:t>.</w:t>
            </w:r>
            <w:r>
              <w:rPr>
                <w:rFonts w:hint="eastAsia" w:ascii="仿宋" w:hAnsi="仿宋" w:eastAsia="仿宋"/>
                <w:color w:val="auto"/>
                <w:sz w:val="21"/>
                <w:szCs w:val="24"/>
              </w:rPr>
              <w:t>问核</w:t>
            </w:r>
          </w:p>
        </w:tc>
        <w:tc>
          <w:tcPr>
            <w:tcW w:w="7230" w:type="dxa"/>
            <w:vAlign w:val="center"/>
          </w:tcPr>
          <w:p>
            <w:pPr>
              <w:jc w:val="both"/>
              <w:rPr>
                <w:rFonts w:ascii="仿宋" w:hAnsi="仿宋" w:eastAsia="仿宋"/>
                <w:color w:val="auto"/>
                <w:sz w:val="21"/>
                <w:szCs w:val="24"/>
              </w:rPr>
            </w:pPr>
            <w:r>
              <w:rPr>
                <w:rFonts w:hint="eastAsia" w:ascii="仿宋" w:hAnsi="仿宋" w:eastAsia="仿宋"/>
                <w:color w:val="auto"/>
                <w:sz w:val="21"/>
                <w:szCs w:val="24"/>
              </w:rPr>
              <w:t>问核内容应当围绕尽职调查等执业过程和质量控制等内部控制过程中发现的风险和问题开展。</w:t>
            </w:r>
          </w:p>
          <w:p>
            <w:pPr>
              <w:jc w:val="both"/>
              <w:rPr>
                <w:rFonts w:ascii="仿宋" w:hAnsi="仿宋" w:eastAsia="仿宋"/>
                <w:color w:val="auto"/>
                <w:sz w:val="21"/>
                <w:szCs w:val="24"/>
              </w:rPr>
            </w:pPr>
            <w:r>
              <w:rPr>
                <w:rFonts w:hint="eastAsia" w:ascii="仿宋" w:hAnsi="仿宋" w:eastAsia="仿宋"/>
                <w:color w:val="auto"/>
                <w:sz w:val="21"/>
                <w:szCs w:val="24"/>
              </w:rPr>
              <w:t>问核情况应当形成书面或者电子文件记录，由问核人员和被问核人员确认，并提交内核会议。</w:t>
            </w:r>
          </w:p>
        </w:tc>
        <w:tc>
          <w:tcPr>
            <w:tcW w:w="0" w:type="auto"/>
            <w:vAlign w:val="center"/>
          </w:tcPr>
          <w:p>
            <w:pPr>
              <w:jc w:val="both"/>
              <w:rPr>
                <w:rFonts w:ascii="仿宋" w:hAnsi="仿宋" w:eastAsia="仿宋"/>
                <w:color w:val="auto"/>
                <w:sz w:val="21"/>
                <w:szCs w:val="24"/>
              </w:rPr>
            </w:pPr>
            <w:r>
              <w:rPr>
                <w:rFonts w:hint="eastAsia" w:ascii="仿宋" w:hAnsi="仿宋" w:eastAsia="仿宋"/>
                <w:color w:val="auto"/>
                <w:sz w:val="21"/>
                <w:szCs w:val="24"/>
                <w:lang w:eastAsia="zh-CN"/>
              </w:rPr>
              <w:t>未执行或执行不到位的</w:t>
            </w:r>
            <w:r>
              <w:rPr>
                <w:rFonts w:ascii="仿宋" w:hAnsi="仿宋" w:eastAsia="仿宋"/>
                <w:color w:val="auto"/>
                <w:sz w:val="21"/>
                <w:szCs w:val="24"/>
              </w:rPr>
              <w:t>，</w:t>
            </w:r>
            <w:r>
              <w:rPr>
                <w:rFonts w:hint="eastAsia" w:ascii="仿宋" w:hAnsi="仿宋" w:eastAsia="仿宋"/>
                <w:color w:val="auto"/>
                <w:sz w:val="21"/>
                <w:szCs w:val="24"/>
                <w:lang w:eastAsia="zh-CN"/>
              </w:rPr>
              <w:t>扣</w:t>
            </w:r>
            <w:r>
              <w:rPr>
                <w:rFonts w:hint="eastAsia" w:ascii="仿宋" w:hAnsi="仿宋" w:eastAsia="仿宋"/>
                <w:color w:val="auto"/>
                <w:sz w:val="21"/>
                <w:szCs w:val="24"/>
                <w:lang w:val="en-US" w:eastAsia="zh-CN"/>
              </w:rPr>
              <w:t>0.5分</w:t>
            </w:r>
          </w:p>
        </w:tc>
        <w:tc>
          <w:tcPr>
            <w:tcW w:w="1119" w:type="dxa"/>
            <w:vAlign w:val="center"/>
          </w:tcPr>
          <w:p>
            <w:pPr>
              <w:jc w:val="center"/>
              <w:rPr>
                <w:rFonts w:ascii="仿宋" w:hAnsi="仿宋" w:eastAsia="仿宋"/>
                <w:color w:val="auto"/>
                <w:sz w:val="21"/>
                <w:szCs w:val="24"/>
              </w:rPr>
            </w:pPr>
            <w:r>
              <w:rPr>
                <w:rFonts w:hint="eastAsia" w:ascii="仿宋" w:hAnsi="仿宋" w:eastAsia="仿宋"/>
                <w:color w:val="auto"/>
                <w:sz w:val="21"/>
                <w:szCs w:val="24"/>
                <w:lang w:eastAsia="zh-CN"/>
              </w:rPr>
              <w:t>扣</w:t>
            </w:r>
            <w:r>
              <w:rPr>
                <w:rFonts w:hint="eastAsia" w:ascii="仿宋" w:hAnsi="仿宋" w:eastAsia="仿宋"/>
                <w:color w:val="auto"/>
                <w:sz w:val="21"/>
                <w:szCs w:val="24"/>
                <w:lang w:val="en-US" w:eastAsia="zh-CN"/>
              </w:rPr>
              <w:t>0.5</w:t>
            </w:r>
            <w:r>
              <w:rPr>
                <w:rFonts w:hint="eastAsia" w:ascii="仿宋" w:hAnsi="仿宋" w:eastAsia="仿宋"/>
                <w:color w:val="auto"/>
                <w:sz w:val="21"/>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both"/>
              <w:rPr>
                <w:rFonts w:ascii="仿宋" w:hAnsi="仿宋" w:eastAsia="仿宋"/>
                <w:color w:val="auto"/>
                <w:sz w:val="21"/>
                <w:szCs w:val="24"/>
              </w:rPr>
            </w:pPr>
          </w:p>
        </w:tc>
        <w:tc>
          <w:tcPr>
            <w:tcW w:w="2268" w:type="dxa"/>
            <w:vAlign w:val="center"/>
          </w:tcPr>
          <w:p>
            <w:pPr>
              <w:jc w:val="both"/>
              <w:rPr>
                <w:rFonts w:ascii="仿宋" w:hAnsi="仿宋" w:eastAsia="仿宋"/>
                <w:color w:val="auto"/>
                <w:sz w:val="21"/>
                <w:szCs w:val="24"/>
              </w:rPr>
            </w:pPr>
            <w:r>
              <w:rPr>
                <w:rFonts w:hint="eastAsia" w:ascii="仿宋" w:hAnsi="仿宋" w:eastAsia="仿宋"/>
                <w:color w:val="auto"/>
                <w:sz w:val="21"/>
                <w:szCs w:val="24"/>
              </w:rPr>
              <w:t>12</w:t>
            </w:r>
            <w:r>
              <w:rPr>
                <w:rFonts w:ascii="仿宋" w:hAnsi="仿宋" w:eastAsia="仿宋"/>
                <w:color w:val="auto"/>
                <w:sz w:val="21"/>
                <w:szCs w:val="24"/>
              </w:rPr>
              <w:t>.</w:t>
            </w:r>
            <w:r>
              <w:rPr>
                <w:rFonts w:hint="eastAsia" w:ascii="仿宋" w:hAnsi="仿宋" w:eastAsia="仿宋"/>
                <w:color w:val="auto"/>
                <w:sz w:val="21"/>
                <w:szCs w:val="24"/>
              </w:rPr>
              <w:t>内核会议</w:t>
            </w:r>
          </w:p>
        </w:tc>
        <w:tc>
          <w:tcPr>
            <w:tcW w:w="7230" w:type="dxa"/>
            <w:vAlign w:val="center"/>
          </w:tcPr>
          <w:p>
            <w:pPr>
              <w:jc w:val="both"/>
              <w:rPr>
                <w:rFonts w:ascii="仿宋" w:hAnsi="仿宋" w:eastAsia="仿宋"/>
                <w:color w:val="auto"/>
                <w:sz w:val="21"/>
                <w:szCs w:val="24"/>
              </w:rPr>
            </w:pPr>
            <w:r>
              <w:rPr>
                <w:rFonts w:hint="eastAsia" w:ascii="仿宋" w:hAnsi="仿宋" w:eastAsia="仿宋"/>
                <w:color w:val="auto"/>
                <w:sz w:val="21"/>
                <w:szCs w:val="24"/>
              </w:rPr>
              <w:t>内核委员会应当以现场、通讯等会议方式履行职责，以投票表决方式对内核会议审议事项作出审议。</w:t>
            </w:r>
          </w:p>
          <w:p>
            <w:pPr>
              <w:jc w:val="both"/>
              <w:rPr>
                <w:rFonts w:ascii="仿宋" w:hAnsi="仿宋" w:eastAsia="仿宋"/>
                <w:color w:val="auto"/>
                <w:sz w:val="21"/>
                <w:szCs w:val="24"/>
              </w:rPr>
            </w:pPr>
            <w:r>
              <w:rPr>
                <w:rFonts w:hint="eastAsia" w:ascii="仿宋" w:hAnsi="仿宋" w:eastAsia="仿宋"/>
                <w:color w:val="auto"/>
                <w:sz w:val="21"/>
                <w:szCs w:val="24"/>
              </w:rPr>
              <w:t>内核会议应当形成明确的表决意见。</w:t>
            </w:r>
          </w:p>
        </w:tc>
        <w:tc>
          <w:tcPr>
            <w:tcW w:w="0" w:type="auto"/>
            <w:vAlign w:val="center"/>
          </w:tcPr>
          <w:p>
            <w:pPr>
              <w:jc w:val="both"/>
              <w:rPr>
                <w:rFonts w:ascii="仿宋" w:hAnsi="仿宋" w:eastAsia="仿宋"/>
                <w:color w:val="auto"/>
                <w:sz w:val="21"/>
                <w:szCs w:val="24"/>
              </w:rPr>
            </w:pPr>
            <w:r>
              <w:rPr>
                <w:rFonts w:hint="eastAsia" w:ascii="仿宋" w:hAnsi="仿宋" w:eastAsia="仿宋"/>
                <w:color w:val="auto"/>
                <w:sz w:val="21"/>
                <w:szCs w:val="24"/>
                <w:lang w:eastAsia="zh-CN"/>
              </w:rPr>
              <w:t>未执行或执行不到位的</w:t>
            </w:r>
            <w:r>
              <w:rPr>
                <w:rFonts w:ascii="仿宋" w:hAnsi="仿宋" w:eastAsia="仿宋"/>
                <w:color w:val="auto"/>
                <w:sz w:val="21"/>
                <w:szCs w:val="24"/>
              </w:rPr>
              <w:t>，</w:t>
            </w:r>
            <w:r>
              <w:rPr>
                <w:rFonts w:hint="eastAsia" w:ascii="仿宋" w:hAnsi="仿宋" w:eastAsia="仿宋"/>
                <w:color w:val="auto"/>
                <w:sz w:val="21"/>
                <w:szCs w:val="24"/>
                <w:lang w:eastAsia="zh-CN"/>
              </w:rPr>
              <w:t>扣</w:t>
            </w:r>
            <w:r>
              <w:rPr>
                <w:rFonts w:hint="eastAsia" w:ascii="仿宋" w:hAnsi="仿宋" w:eastAsia="仿宋"/>
                <w:color w:val="auto"/>
                <w:sz w:val="21"/>
                <w:szCs w:val="24"/>
                <w:lang w:val="en-US" w:eastAsia="zh-CN"/>
              </w:rPr>
              <w:t>0.5分</w:t>
            </w:r>
          </w:p>
        </w:tc>
        <w:tc>
          <w:tcPr>
            <w:tcW w:w="1119" w:type="dxa"/>
            <w:vAlign w:val="center"/>
          </w:tcPr>
          <w:p>
            <w:pPr>
              <w:jc w:val="center"/>
              <w:rPr>
                <w:rFonts w:ascii="仿宋" w:hAnsi="仿宋" w:eastAsia="仿宋"/>
                <w:color w:val="auto"/>
                <w:sz w:val="21"/>
                <w:szCs w:val="24"/>
              </w:rPr>
            </w:pPr>
            <w:r>
              <w:rPr>
                <w:rFonts w:hint="eastAsia" w:ascii="仿宋" w:hAnsi="仿宋" w:eastAsia="仿宋"/>
                <w:color w:val="auto"/>
                <w:sz w:val="21"/>
                <w:szCs w:val="24"/>
                <w:lang w:eastAsia="zh-CN"/>
              </w:rPr>
              <w:t>扣</w:t>
            </w:r>
            <w:r>
              <w:rPr>
                <w:rFonts w:hint="eastAsia" w:ascii="仿宋" w:hAnsi="仿宋" w:eastAsia="仿宋"/>
                <w:color w:val="auto"/>
                <w:sz w:val="21"/>
                <w:szCs w:val="24"/>
                <w:lang w:val="en-US" w:eastAsia="zh-CN"/>
              </w:rPr>
              <w:t>0.5</w:t>
            </w:r>
            <w:r>
              <w:rPr>
                <w:rFonts w:hint="eastAsia" w:ascii="仿宋" w:hAnsi="仿宋" w:eastAsia="仿宋"/>
                <w:color w:val="auto"/>
                <w:sz w:val="21"/>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both"/>
              <w:rPr>
                <w:rFonts w:ascii="仿宋" w:hAnsi="仿宋" w:eastAsia="仿宋"/>
                <w:color w:val="auto"/>
                <w:sz w:val="21"/>
                <w:szCs w:val="24"/>
              </w:rPr>
            </w:pPr>
          </w:p>
        </w:tc>
        <w:tc>
          <w:tcPr>
            <w:tcW w:w="2268" w:type="dxa"/>
            <w:vAlign w:val="center"/>
          </w:tcPr>
          <w:p>
            <w:pPr>
              <w:jc w:val="both"/>
              <w:rPr>
                <w:rFonts w:ascii="仿宋" w:hAnsi="仿宋" w:eastAsia="仿宋"/>
                <w:color w:val="auto"/>
                <w:sz w:val="21"/>
                <w:szCs w:val="24"/>
              </w:rPr>
            </w:pPr>
            <w:r>
              <w:rPr>
                <w:rFonts w:hint="eastAsia" w:ascii="仿宋" w:hAnsi="仿宋" w:eastAsia="仿宋"/>
                <w:color w:val="auto"/>
                <w:sz w:val="21"/>
                <w:szCs w:val="24"/>
              </w:rPr>
              <w:t>13.内核会议意见回复</w:t>
            </w:r>
          </w:p>
        </w:tc>
        <w:tc>
          <w:tcPr>
            <w:tcW w:w="7230" w:type="dxa"/>
            <w:vAlign w:val="center"/>
          </w:tcPr>
          <w:p>
            <w:pPr>
              <w:jc w:val="both"/>
              <w:rPr>
                <w:rFonts w:ascii="仿宋" w:hAnsi="仿宋" w:eastAsia="仿宋"/>
                <w:color w:val="auto"/>
                <w:sz w:val="21"/>
                <w:szCs w:val="24"/>
              </w:rPr>
            </w:pPr>
            <w:r>
              <w:rPr>
                <w:rFonts w:hint="eastAsia" w:ascii="仿宋" w:hAnsi="仿宋" w:eastAsia="仿宋"/>
                <w:color w:val="auto"/>
                <w:sz w:val="21"/>
                <w:szCs w:val="24"/>
              </w:rPr>
              <w:t>证券公司应当建立内核意见的跟踪复核机制。</w:t>
            </w:r>
          </w:p>
          <w:p>
            <w:pPr>
              <w:jc w:val="both"/>
              <w:rPr>
                <w:rFonts w:ascii="仿宋" w:hAnsi="仿宋" w:eastAsia="仿宋"/>
                <w:color w:val="auto"/>
                <w:sz w:val="21"/>
                <w:szCs w:val="24"/>
              </w:rPr>
            </w:pPr>
            <w:r>
              <w:rPr>
                <w:rFonts w:hint="eastAsia" w:ascii="仿宋" w:hAnsi="仿宋" w:eastAsia="仿宋"/>
                <w:color w:val="auto"/>
                <w:sz w:val="21"/>
                <w:szCs w:val="24"/>
              </w:rPr>
              <w:t>内核机构应当对内核意见的答复、落实情况进行审核，确保内核意见在项目材料和文件对外提交、报送、出具或披露前得到落实。</w:t>
            </w:r>
          </w:p>
        </w:tc>
        <w:tc>
          <w:tcPr>
            <w:tcW w:w="0" w:type="auto"/>
            <w:vAlign w:val="center"/>
          </w:tcPr>
          <w:p>
            <w:pPr>
              <w:jc w:val="both"/>
              <w:rPr>
                <w:rFonts w:ascii="仿宋" w:hAnsi="仿宋" w:eastAsia="仿宋"/>
                <w:color w:val="auto"/>
                <w:sz w:val="21"/>
                <w:szCs w:val="24"/>
              </w:rPr>
            </w:pPr>
            <w:r>
              <w:rPr>
                <w:rFonts w:hint="eastAsia" w:ascii="仿宋" w:hAnsi="仿宋" w:eastAsia="仿宋"/>
                <w:color w:val="auto"/>
                <w:sz w:val="21"/>
                <w:szCs w:val="24"/>
                <w:lang w:eastAsia="zh-CN"/>
              </w:rPr>
              <w:t>未执行或执行不到位的</w:t>
            </w:r>
            <w:r>
              <w:rPr>
                <w:rFonts w:ascii="仿宋" w:hAnsi="仿宋" w:eastAsia="仿宋"/>
                <w:color w:val="auto"/>
                <w:sz w:val="21"/>
                <w:szCs w:val="24"/>
              </w:rPr>
              <w:t>，</w:t>
            </w:r>
            <w:r>
              <w:rPr>
                <w:rFonts w:hint="eastAsia" w:ascii="仿宋" w:hAnsi="仿宋" w:eastAsia="仿宋"/>
                <w:color w:val="auto"/>
                <w:sz w:val="21"/>
                <w:szCs w:val="24"/>
                <w:lang w:eastAsia="zh-CN"/>
              </w:rPr>
              <w:t>扣</w:t>
            </w:r>
            <w:r>
              <w:rPr>
                <w:rFonts w:hint="eastAsia" w:ascii="仿宋" w:hAnsi="仿宋" w:eastAsia="仿宋"/>
                <w:color w:val="auto"/>
                <w:sz w:val="21"/>
                <w:szCs w:val="24"/>
                <w:lang w:val="en-US" w:eastAsia="zh-CN"/>
              </w:rPr>
              <w:t>2分</w:t>
            </w:r>
          </w:p>
        </w:tc>
        <w:tc>
          <w:tcPr>
            <w:tcW w:w="1119" w:type="dxa"/>
            <w:vAlign w:val="center"/>
          </w:tcPr>
          <w:p>
            <w:pPr>
              <w:jc w:val="center"/>
              <w:rPr>
                <w:rFonts w:ascii="仿宋" w:hAnsi="仿宋" w:eastAsia="仿宋"/>
                <w:color w:val="auto"/>
                <w:sz w:val="21"/>
                <w:szCs w:val="24"/>
              </w:rPr>
            </w:pPr>
            <w:r>
              <w:rPr>
                <w:rFonts w:hint="eastAsia" w:ascii="仿宋" w:hAnsi="仿宋" w:eastAsia="仿宋"/>
                <w:color w:val="auto"/>
                <w:sz w:val="21"/>
                <w:szCs w:val="24"/>
                <w:lang w:eastAsia="zh-CN"/>
              </w:rPr>
              <w:t>扣</w:t>
            </w:r>
            <w:r>
              <w:rPr>
                <w:rFonts w:hint="eastAsia" w:ascii="仿宋" w:hAnsi="仿宋" w:eastAsia="仿宋"/>
                <w:color w:val="auto"/>
                <w:sz w:val="21"/>
                <w:szCs w:val="24"/>
                <w:lang w:val="en-US" w:eastAsia="zh-CN"/>
              </w:rPr>
              <w:t>2</w:t>
            </w:r>
            <w:r>
              <w:rPr>
                <w:rFonts w:hint="eastAsia" w:ascii="仿宋" w:hAnsi="仿宋" w:eastAsia="仿宋"/>
                <w:color w:val="auto"/>
                <w:sz w:val="21"/>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both"/>
              <w:rPr>
                <w:rFonts w:ascii="仿宋" w:hAnsi="仿宋" w:eastAsia="仿宋"/>
                <w:color w:val="auto"/>
                <w:sz w:val="21"/>
                <w:szCs w:val="24"/>
              </w:rPr>
            </w:pPr>
          </w:p>
        </w:tc>
        <w:tc>
          <w:tcPr>
            <w:tcW w:w="2268" w:type="dxa"/>
            <w:vAlign w:val="center"/>
          </w:tcPr>
          <w:p>
            <w:pPr>
              <w:jc w:val="both"/>
              <w:rPr>
                <w:rFonts w:ascii="仿宋" w:hAnsi="仿宋" w:eastAsia="仿宋"/>
                <w:color w:val="auto"/>
                <w:sz w:val="21"/>
                <w:szCs w:val="24"/>
              </w:rPr>
            </w:pPr>
            <w:r>
              <w:rPr>
                <w:rFonts w:hint="eastAsia" w:ascii="仿宋" w:hAnsi="仿宋" w:eastAsia="仿宋"/>
                <w:color w:val="auto"/>
                <w:sz w:val="21"/>
                <w:szCs w:val="24"/>
              </w:rPr>
              <w:t>14.反馈/问询意见落实</w:t>
            </w:r>
          </w:p>
        </w:tc>
        <w:tc>
          <w:tcPr>
            <w:tcW w:w="7230" w:type="dxa"/>
            <w:vAlign w:val="center"/>
          </w:tcPr>
          <w:p>
            <w:pPr>
              <w:jc w:val="both"/>
              <w:rPr>
                <w:rFonts w:ascii="仿宋" w:hAnsi="仿宋" w:eastAsia="仿宋"/>
                <w:color w:val="auto"/>
                <w:sz w:val="21"/>
                <w:szCs w:val="24"/>
              </w:rPr>
            </w:pPr>
            <w:r>
              <w:rPr>
                <w:rFonts w:hint="eastAsia" w:ascii="仿宋" w:hAnsi="仿宋" w:eastAsia="仿宋"/>
                <w:color w:val="auto"/>
                <w:sz w:val="21"/>
                <w:szCs w:val="24"/>
              </w:rPr>
              <w:t>对项目材料和文件提交、报送、出具或披露后进行补充或修改的，证券公司应当明确需履行的内核程序，避免项目组人员擅自出具项目相关意见、修改项目材料和文件。</w:t>
            </w:r>
          </w:p>
          <w:p>
            <w:pPr>
              <w:jc w:val="both"/>
              <w:rPr>
                <w:rFonts w:ascii="仿宋" w:hAnsi="仿宋" w:eastAsia="仿宋"/>
                <w:color w:val="auto"/>
                <w:sz w:val="21"/>
                <w:szCs w:val="24"/>
              </w:rPr>
            </w:pPr>
            <w:r>
              <w:rPr>
                <w:rFonts w:hint="eastAsia" w:ascii="仿宋" w:hAnsi="仿宋" w:eastAsia="仿宋"/>
                <w:color w:val="auto"/>
                <w:sz w:val="21"/>
                <w:szCs w:val="24"/>
              </w:rPr>
              <w:t>反馈意见回复报告、发审委意见回复报告、举报信核查报告、会后事项专业意见、补充披露等材料和文件对外提交、报送、出具或披露前，均应当履行内核程序。</w:t>
            </w:r>
          </w:p>
        </w:tc>
        <w:tc>
          <w:tcPr>
            <w:tcW w:w="0" w:type="auto"/>
            <w:vAlign w:val="center"/>
          </w:tcPr>
          <w:p>
            <w:pPr>
              <w:jc w:val="both"/>
              <w:rPr>
                <w:rFonts w:ascii="仿宋" w:hAnsi="仿宋" w:eastAsia="仿宋"/>
                <w:color w:val="auto"/>
                <w:sz w:val="21"/>
                <w:szCs w:val="24"/>
              </w:rPr>
            </w:pPr>
            <w:r>
              <w:rPr>
                <w:rFonts w:hint="eastAsia" w:ascii="仿宋" w:hAnsi="仿宋" w:eastAsia="仿宋"/>
                <w:color w:val="auto"/>
                <w:sz w:val="21"/>
                <w:szCs w:val="24"/>
                <w:lang w:eastAsia="zh-CN"/>
              </w:rPr>
              <w:t>未执行或执行不到位的</w:t>
            </w:r>
            <w:r>
              <w:rPr>
                <w:rFonts w:ascii="仿宋" w:hAnsi="仿宋" w:eastAsia="仿宋"/>
                <w:color w:val="auto"/>
                <w:sz w:val="21"/>
                <w:szCs w:val="24"/>
              </w:rPr>
              <w:t>，</w:t>
            </w:r>
            <w:r>
              <w:rPr>
                <w:rFonts w:hint="eastAsia" w:ascii="仿宋" w:hAnsi="仿宋" w:eastAsia="仿宋"/>
                <w:color w:val="auto"/>
                <w:sz w:val="21"/>
                <w:szCs w:val="24"/>
                <w:lang w:eastAsia="zh-CN"/>
              </w:rPr>
              <w:t>扣</w:t>
            </w:r>
            <w:r>
              <w:rPr>
                <w:rFonts w:hint="eastAsia" w:ascii="仿宋" w:hAnsi="仿宋" w:eastAsia="仿宋"/>
                <w:color w:val="auto"/>
                <w:sz w:val="21"/>
                <w:szCs w:val="24"/>
                <w:lang w:val="en-US" w:eastAsia="zh-CN"/>
              </w:rPr>
              <w:t>0.5分</w:t>
            </w:r>
          </w:p>
        </w:tc>
        <w:tc>
          <w:tcPr>
            <w:tcW w:w="1119" w:type="dxa"/>
            <w:vAlign w:val="center"/>
          </w:tcPr>
          <w:p>
            <w:pPr>
              <w:jc w:val="center"/>
              <w:rPr>
                <w:rFonts w:ascii="仿宋" w:hAnsi="仿宋" w:eastAsia="仿宋"/>
                <w:color w:val="auto"/>
                <w:sz w:val="21"/>
                <w:szCs w:val="24"/>
              </w:rPr>
            </w:pPr>
            <w:r>
              <w:rPr>
                <w:rFonts w:hint="eastAsia" w:ascii="仿宋" w:hAnsi="仿宋" w:eastAsia="仿宋"/>
                <w:color w:val="auto"/>
                <w:sz w:val="21"/>
                <w:szCs w:val="24"/>
                <w:lang w:eastAsia="zh-CN"/>
              </w:rPr>
              <w:t>扣</w:t>
            </w:r>
            <w:r>
              <w:rPr>
                <w:rFonts w:hint="eastAsia" w:ascii="仿宋" w:hAnsi="仿宋" w:eastAsia="仿宋"/>
                <w:color w:val="auto"/>
                <w:sz w:val="21"/>
                <w:szCs w:val="24"/>
                <w:lang w:val="en-US" w:eastAsia="zh-CN"/>
              </w:rPr>
              <w:t>0.5</w:t>
            </w:r>
            <w:r>
              <w:rPr>
                <w:rFonts w:hint="eastAsia" w:ascii="仿宋" w:hAnsi="仿宋" w:eastAsia="仿宋"/>
                <w:color w:val="auto"/>
                <w:sz w:val="21"/>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both"/>
              <w:rPr>
                <w:rFonts w:ascii="仿宋" w:hAnsi="仿宋" w:eastAsia="仿宋"/>
                <w:color w:val="auto"/>
                <w:sz w:val="21"/>
                <w:szCs w:val="24"/>
              </w:rPr>
            </w:pPr>
          </w:p>
        </w:tc>
        <w:tc>
          <w:tcPr>
            <w:tcW w:w="2268" w:type="dxa"/>
            <w:vAlign w:val="center"/>
          </w:tcPr>
          <w:p>
            <w:pPr>
              <w:jc w:val="both"/>
              <w:rPr>
                <w:rFonts w:ascii="仿宋" w:hAnsi="仿宋" w:eastAsia="仿宋"/>
                <w:color w:val="auto"/>
                <w:sz w:val="21"/>
                <w:szCs w:val="24"/>
              </w:rPr>
            </w:pPr>
            <w:r>
              <w:rPr>
                <w:rFonts w:hint="eastAsia" w:ascii="仿宋" w:hAnsi="仿宋" w:eastAsia="仿宋"/>
                <w:color w:val="auto"/>
                <w:sz w:val="21"/>
                <w:szCs w:val="24"/>
              </w:rPr>
              <w:t>15.辅导验收</w:t>
            </w:r>
          </w:p>
        </w:tc>
        <w:tc>
          <w:tcPr>
            <w:tcW w:w="7230" w:type="dxa"/>
            <w:vAlign w:val="center"/>
          </w:tcPr>
          <w:p>
            <w:pPr>
              <w:widowControl/>
              <w:jc w:val="left"/>
              <w:rPr>
                <w:rFonts w:ascii="仿宋" w:hAnsi="仿宋" w:eastAsia="仿宋"/>
                <w:color w:val="auto"/>
                <w:sz w:val="21"/>
                <w:szCs w:val="24"/>
              </w:rPr>
            </w:pPr>
            <w:r>
              <w:rPr>
                <w:rFonts w:hint="eastAsia" w:ascii="仿宋" w:hAnsi="仿宋" w:eastAsia="仿宋"/>
                <w:color w:val="auto"/>
                <w:sz w:val="21"/>
                <w:szCs w:val="24"/>
              </w:rPr>
              <w:t>保荐机构在推荐发行人首次公开发行证券上市或</w:t>
            </w:r>
            <w:r>
              <w:rPr>
                <w:rFonts w:hint="eastAsia" w:ascii="仿宋" w:hAnsi="仿宋" w:eastAsia="仿宋" w:cs="Times New Roman"/>
                <w:i w:val="0"/>
                <w:caps w:val="0"/>
                <w:color w:val="auto"/>
                <w:spacing w:val="0"/>
                <w:kern w:val="0"/>
                <w:sz w:val="21"/>
                <w:szCs w:val="24"/>
                <w:shd w:val="clear"/>
                <w:lang w:val="en-US" w:eastAsia="zh-CN" w:bidi="ar"/>
              </w:rPr>
              <w:t>北京证券交易所向不特定合格投资者公开发行股票并上市</w:t>
            </w:r>
            <w:r>
              <w:rPr>
                <w:rFonts w:hint="eastAsia" w:ascii="仿宋" w:hAnsi="仿宋" w:eastAsia="仿宋"/>
                <w:color w:val="auto"/>
                <w:sz w:val="21"/>
                <w:szCs w:val="24"/>
              </w:rPr>
              <w:t>前，应当对发行人进行辅导。</w:t>
            </w:r>
          </w:p>
        </w:tc>
        <w:tc>
          <w:tcPr>
            <w:tcW w:w="0" w:type="auto"/>
            <w:vAlign w:val="center"/>
          </w:tcPr>
          <w:p>
            <w:pPr>
              <w:jc w:val="both"/>
              <w:rPr>
                <w:rFonts w:ascii="仿宋" w:hAnsi="仿宋" w:eastAsia="仿宋"/>
                <w:color w:val="auto"/>
                <w:sz w:val="21"/>
                <w:szCs w:val="24"/>
              </w:rPr>
            </w:pPr>
            <w:r>
              <w:rPr>
                <w:rFonts w:hint="eastAsia" w:ascii="仿宋" w:hAnsi="仿宋" w:eastAsia="仿宋"/>
                <w:color w:val="auto"/>
                <w:sz w:val="21"/>
                <w:szCs w:val="24"/>
                <w:lang w:eastAsia="zh-CN"/>
              </w:rPr>
              <w:t>未执行或执行不到位的</w:t>
            </w:r>
            <w:r>
              <w:rPr>
                <w:rFonts w:ascii="仿宋" w:hAnsi="仿宋" w:eastAsia="仿宋"/>
                <w:color w:val="auto"/>
                <w:sz w:val="21"/>
                <w:szCs w:val="24"/>
              </w:rPr>
              <w:t>，</w:t>
            </w:r>
            <w:r>
              <w:rPr>
                <w:rFonts w:hint="eastAsia" w:ascii="仿宋" w:hAnsi="仿宋" w:eastAsia="仿宋"/>
                <w:color w:val="auto"/>
                <w:sz w:val="21"/>
                <w:szCs w:val="24"/>
                <w:lang w:eastAsia="zh-CN"/>
              </w:rPr>
              <w:t>扣</w:t>
            </w:r>
            <w:r>
              <w:rPr>
                <w:rFonts w:hint="eastAsia" w:ascii="仿宋" w:hAnsi="仿宋" w:eastAsia="仿宋"/>
                <w:color w:val="auto"/>
                <w:sz w:val="21"/>
                <w:szCs w:val="24"/>
                <w:lang w:val="en-US" w:eastAsia="zh-CN"/>
              </w:rPr>
              <w:t>0.5分</w:t>
            </w:r>
          </w:p>
        </w:tc>
        <w:tc>
          <w:tcPr>
            <w:tcW w:w="1119" w:type="dxa"/>
            <w:vAlign w:val="center"/>
          </w:tcPr>
          <w:p>
            <w:pPr>
              <w:jc w:val="center"/>
              <w:rPr>
                <w:rFonts w:ascii="仿宋" w:hAnsi="仿宋" w:eastAsia="仿宋"/>
                <w:color w:val="auto"/>
                <w:sz w:val="21"/>
                <w:szCs w:val="24"/>
              </w:rPr>
            </w:pPr>
            <w:r>
              <w:rPr>
                <w:rFonts w:hint="eastAsia" w:ascii="仿宋" w:hAnsi="仿宋" w:eastAsia="仿宋"/>
                <w:color w:val="auto"/>
                <w:sz w:val="21"/>
                <w:szCs w:val="24"/>
                <w:lang w:eastAsia="zh-CN"/>
              </w:rPr>
              <w:t>扣</w:t>
            </w:r>
            <w:r>
              <w:rPr>
                <w:rFonts w:hint="eastAsia" w:ascii="仿宋" w:hAnsi="仿宋" w:eastAsia="仿宋"/>
                <w:color w:val="auto"/>
                <w:sz w:val="21"/>
                <w:szCs w:val="24"/>
                <w:lang w:val="en-US" w:eastAsia="zh-CN"/>
              </w:rPr>
              <w:t>0.5</w:t>
            </w:r>
            <w:r>
              <w:rPr>
                <w:rFonts w:hint="eastAsia" w:ascii="仿宋" w:hAnsi="仿宋" w:eastAsia="仿宋"/>
                <w:color w:val="auto"/>
                <w:sz w:val="21"/>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both"/>
              <w:rPr>
                <w:rFonts w:ascii="仿宋" w:hAnsi="仿宋" w:eastAsia="仿宋"/>
                <w:color w:val="auto"/>
                <w:sz w:val="21"/>
                <w:szCs w:val="24"/>
              </w:rPr>
            </w:pPr>
          </w:p>
        </w:tc>
        <w:tc>
          <w:tcPr>
            <w:tcW w:w="2268" w:type="dxa"/>
            <w:vAlign w:val="center"/>
          </w:tcPr>
          <w:p>
            <w:pPr>
              <w:jc w:val="both"/>
              <w:rPr>
                <w:rFonts w:ascii="仿宋" w:hAnsi="仿宋" w:eastAsia="仿宋"/>
                <w:color w:val="auto"/>
                <w:sz w:val="21"/>
                <w:szCs w:val="24"/>
              </w:rPr>
            </w:pPr>
            <w:r>
              <w:rPr>
                <w:rFonts w:hint="eastAsia" w:ascii="仿宋" w:hAnsi="仿宋" w:eastAsia="仿宋"/>
                <w:color w:val="auto"/>
                <w:sz w:val="21"/>
                <w:szCs w:val="24"/>
              </w:rPr>
              <w:t>16.保荐协议</w:t>
            </w:r>
          </w:p>
        </w:tc>
        <w:tc>
          <w:tcPr>
            <w:tcW w:w="7230" w:type="dxa"/>
            <w:vAlign w:val="center"/>
          </w:tcPr>
          <w:p>
            <w:pPr>
              <w:jc w:val="both"/>
              <w:rPr>
                <w:rFonts w:ascii="仿宋" w:hAnsi="仿宋" w:eastAsia="仿宋"/>
                <w:color w:val="auto"/>
                <w:sz w:val="21"/>
                <w:szCs w:val="24"/>
              </w:rPr>
            </w:pPr>
            <w:r>
              <w:rPr>
                <w:rFonts w:hint="eastAsia" w:ascii="仿宋" w:hAnsi="仿宋" w:eastAsia="仿宋"/>
                <w:color w:val="auto"/>
                <w:sz w:val="21"/>
                <w:szCs w:val="24"/>
              </w:rPr>
              <w:t>保荐机构应当在立项完成后尽快与发行人签订保荐协议，并根据相关规定明确双方在推荐和持续督导期间的权利和义务。</w:t>
            </w:r>
          </w:p>
        </w:tc>
        <w:tc>
          <w:tcPr>
            <w:tcW w:w="0" w:type="auto"/>
            <w:vAlign w:val="center"/>
          </w:tcPr>
          <w:p>
            <w:pPr>
              <w:jc w:val="both"/>
              <w:rPr>
                <w:rFonts w:ascii="仿宋" w:hAnsi="仿宋" w:eastAsia="仿宋"/>
                <w:color w:val="auto"/>
                <w:sz w:val="21"/>
                <w:szCs w:val="24"/>
              </w:rPr>
            </w:pPr>
            <w:r>
              <w:rPr>
                <w:rFonts w:hint="eastAsia" w:ascii="仿宋" w:hAnsi="仿宋" w:eastAsia="仿宋"/>
                <w:color w:val="auto"/>
                <w:sz w:val="21"/>
                <w:szCs w:val="24"/>
                <w:lang w:eastAsia="zh-CN"/>
              </w:rPr>
              <w:t>未执行或执行不到位的</w:t>
            </w:r>
            <w:r>
              <w:rPr>
                <w:rFonts w:ascii="仿宋" w:hAnsi="仿宋" w:eastAsia="仿宋"/>
                <w:color w:val="auto"/>
                <w:sz w:val="21"/>
                <w:szCs w:val="24"/>
              </w:rPr>
              <w:t>，</w:t>
            </w:r>
            <w:r>
              <w:rPr>
                <w:rFonts w:hint="eastAsia" w:ascii="仿宋" w:hAnsi="仿宋" w:eastAsia="仿宋"/>
                <w:color w:val="auto"/>
                <w:sz w:val="21"/>
                <w:szCs w:val="24"/>
                <w:lang w:eastAsia="zh-CN"/>
              </w:rPr>
              <w:t>扣</w:t>
            </w:r>
            <w:r>
              <w:rPr>
                <w:rFonts w:hint="eastAsia" w:ascii="仿宋" w:hAnsi="仿宋" w:eastAsia="仿宋"/>
                <w:color w:val="auto"/>
                <w:sz w:val="21"/>
                <w:szCs w:val="24"/>
                <w:lang w:val="en-US" w:eastAsia="zh-CN"/>
              </w:rPr>
              <w:t>1分</w:t>
            </w:r>
          </w:p>
        </w:tc>
        <w:tc>
          <w:tcPr>
            <w:tcW w:w="1119" w:type="dxa"/>
            <w:vAlign w:val="center"/>
          </w:tcPr>
          <w:p>
            <w:pPr>
              <w:jc w:val="center"/>
              <w:rPr>
                <w:rFonts w:ascii="仿宋" w:hAnsi="仿宋" w:eastAsia="仿宋"/>
                <w:color w:val="auto"/>
                <w:sz w:val="21"/>
                <w:szCs w:val="24"/>
              </w:rPr>
            </w:pPr>
            <w:r>
              <w:rPr>
                <w:rFonts w:hint="eastAsia" w:ascii="仿宋" w:hAnsi="仿宋" w:eastAsia="仿宋"/>
                <w:color w:val="auto"/>
                <w:sz w:val="21"/>
                <w:szCs w:val="24"/>
              </w:rPr>
              <w:t>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both"/>
              <w:rPr>
                <w:rFonts w:ascii="仿宋" w:hAnsi="仿宋" w:eastAsia="仿宋"/>
                <w:color w:val="auto"/>
                <w:sz w:val="21"/>
                <w:szCs w:val="24"/>
              </w:rPr>
            </w:pPr>
          </w:p>
        </w:tc>
        <w:tc>
          <w:tcPr>
            <w:tcW w:w="2268" w:type="dxa"/>
            <w:vAlign w:val="center"/>
          </w:tcPr>
          <w:p>
            <w:pPr>
              <w:jc w:val="both"/>
              <w:rPr>
                <w:rFonts w:ascii="仿宋" w:hAnsi="仿宋" w:eastAsia="仿宋"/>
                <w:color w:val="auto"/>
                <w:sz w:val="21"/>
                <w:szCs w:val="24"/>
              </w:rPr>
            </w:pPr>
            <w:r>
              <w:rPr>
                <w:rFonts w:hint="eastAsia" w:ascii="仿宋" w:hAnsi="仿宋" w:eastAsia="仿宋"/>
                <w:color w:val="auto"/>
                <w:sz w:val="21"/>
                <w:szCs w:val="24"/>
              </w:rPr>
              <w:t>17.项目收费</w:t>
            </w:r>
          </w:p>
        </w:tc>
        <w:tc>
          <w:tcPr>
            <w:tcW w:w="7230" w:type="dxa"/>
            <w:vAlign w:val="center"/>
          </w:tcPr>
          <w:p>
            <w:pPr>
              <w:jc w:val="both"/>
              <w:rPr>
                <w:rFonts w:hint="eastAsia" w:ascii="仿宋" w:hAnsi="仿宋" w:eastAsia="仿宋"/>
                <w:color w:val="auto"/>
                <w:sz w:val="21"/>
                <w:szCs w:val="24"/>
              </w:rPr>
            </w:pPr>
            <w:r>
              <w:rPr>
                <w:rFonts w:hint="eastAsia" w:ascii="仿宋" w:hAnsi="仿宋" w:eastAsia="仿宋"/>
                <w:color w:val="auto"/>
                <w:sz w:val="21"/>
                <w:szCs w:val="24"/>
              </w:rPr>
              <w:t>保荐机构从事保荐业务应当综合评估项目执行成本与风险责任，合理确定报价，不得以明显低于行业定价水平等不正当竞争方式招揽业务。</w:t>
            </w:r>
          </w:p>
          <w:p>
            <w:pPr>
              <w:jc w:val="both"/>
              <w:rPr>
                <w:rFonts w:ascii="仿宋" w:hAnsi="仿宋" w:eastAsia="仿宋"/>
                <w:color w:val="auto"/>
                <w:sz w:val="21"/>
                <w:szCs w:val="24"/>
              </w:rPr>
            </w:pPr>
            <w:r>
              <w:rPr>
                <w:rFonts w:hint="eastAsia" w:ascii="仿宋" w:hAnsi="仿宋" w:eastAsia="仿宋"/>
                <w:color w:val="auto"/>
                <w:sz w:val="21"/>
                <w:szCs w:val="24"/>
              </w:rPr>
              <w:t>在开展证券承销业务时，应当在综合评估项目执行成本基础上合理确定报价，不得存在违反公平竞争、破坏市场秩序等行为。</w:t>
            </w:r>
          </w:p>
        </w:tc>
        <w:tc>
          <w:tcPr>
            <w:tcW w:w="0" w:type="auto"/>
            <w:vAlign w:val="center"/>
          </w:tcPr>
          <w:p>
            <w:pPr>
              <w:jc w:val="both"/>
              <w:rPr>
                <w:rFonts w:ascii="仿宋" w:hAnsi="仿宋" w:eastAsia="仿宋"/>
                <w:color w:val="auto"/>
                <w:sz w:val="21"/>
                <w:szCs w:val="24"/>
              </w:rPr>
            </w:pPr>
            <w:r>
              <w:rPr>
                <w:rFonts w:hint="eastAsia" w:ascii="仿宋" w:hAnsi="仿宋" w:eastAsia="仿宋"/>
                <w:color w:val="auto"/>
                <w:sz w:val="21"/>
                <w:szCs w:val="24"/>
                <w:lang w:eastAsia="zh-CN"/>
              </w:rPr>
              <w:t>未执行或执行不到位的</w:t>
            </w:r>
            <w:r>
              <w:rPr>
                <w:rFonts w:ascii="仿宋" w:hAnsi="仿宋" w:eastAsia="仿宋"/>
                <w:color w:val="auto"/>
                <w:sz w:val="21"/>
                <w:szCs w:val="24"/>
              </w:rPr>
              <w:t>，</w:t>
            </w:r>
            <w:r>
              <w:rPr>
                <w:rFonts w:hint="eastAsia" w:ascii="仿宋" w:hAnsi="仿宋" w:eastAsia="仿宋"/>
                <w:color w:val="auto"/>
                <w:sz w:val="21"/>
                <w:szCs w:val="24"/>
                <w:lang w:eastAsia="zh-CN"/>
              </w:rPr>
              <w:t>扣</w:t>
            </w:r>
            <w:r>
              <w:rPr>
                <w:rFonts w:hint="eastAsia" w:ascii="仿宋" w:hAnsi="仿宋" w:eastAsia="仿宋"/>
                <w:color w:val="auto"/>
                <w:sz w:val="21"/>
                <w:szCs w:val="24"/>
                <w:lang w:val="en-US" w:eastAsia="zh-CN"/>
              </w:rPr>
              <w:t>0.5分</w:t>
            </w:r>
          </w:p>
        </w:tc>
        <w:tc>
          <w:tcPr>
            <w:tcW w:w="1119" w:type="dxa"/>
            <w:vAlign w:val="center"/>
          </w:tcPr>
          <w:p>
            <w:pPr>
              <w:jc w:val="center"/>
              <w:rPr>
                <w:rFonts w:ascii="仿宋" w:hAnsi="仿宋" w:eastAsia="仿宋"/>
                <w:color w:val="auto"/>
                <w:sz w:val="21"/>
                <w:szCs w:val="24"/>
              </w:rPr>
            </w:pPr>
            <w:r>
              <w:rPr>
                <w:rFonts w:hint="eastAsia" w:ascii="仿宋" w:hAnsi="仿宋" w:eastAsia="仿宋"/>
                <w:color w:val="auto"/>
                <w:sz w:val="21"/>
                <w:szCs w:val="24"/>
              </w:rPr>
              <w:t>扣</w:t>
            </w:r>
            <w:r>
              <w:rPr>
                <w:rFonts w:hint="eastAsia" w:ascii="仿宋" w:hAnsi="仿宋" w:eastAsia="仿宋"/>
                <w:color w:val="auto"/>
                <w:sz w:val="21"/>
                <w:szCs w:val="24"/>
                <w:lang w:val="en-US" w:eastAsia="zh-CN"/>
              </w:rPr>
              <w:t>0.5</w:t>
            </w:r>
            <w:r>
              <w:rPr>
                <w:rFonts w:hint="eastAsia" w:ascii="仿宋" w:hAnsi="仿宋" w:eastAsia="仿宋"/>
                <w:color w:val="auto"/>
                <w:sz w:val="21"/>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restart"/>
            <w:vAlign w:val="center"/>
          </w:tcPr>
          <w:p>
            <w:pPr>
              <w:jc w:val="both"/>
              <w:rPr>
                <w:rFonts w:ascii="仿宋" w:hAnsi="仿宋" w:eastAsia="仿宋"/>
                <w:color w:val="auto"/>
                <w:sz w:val="21"/>
                <w:szCs w:val="24"/>
              </w:rPr>
            </w:pPr>
            <w:r>
              <w:rPr>
                <w:rFonts w:hint="eastAsia" w:ascii="仿宋" w:hAnsi="仿宋" w:eastAsia="仿宋"/>
                <w:color w:val="auto"/>
                <w:sz w:val="21"/>
                <w:szCs w:val="24"/>
              </w:rPr>
              <w:t>工作底稿电子化管理</w:t>
            </w:r>
          </w:p>
        </w:tc>
        <w:tc>
          <w:tcPr>
            <w:tcW w:w="2268" w:type="dxa"/>
            <w:vAlign w:val="center"/>
          </w:tcPr>
          <w:p>
            <w:pPr>
              <w:jc w:val="both"/>
              <w:rPr>
                <w:rFonts w:ascii="仿宋" w:hAnsi="仿宋" w:eastAsia="仿宋"/>
                <w:color w:val="auto"/>
                <w:sz w:val="21"/>
                <w:szCs w:val="24"/>
              </w:rPr>
            </w:pPr>
            <w:r>
              <w:rPr>
                <w:rFonts w:hint="eastAsia" w:ascii="仿宋" w:hAnsi="仿宋" w:eastAsia="仿宋"/>
                <w:color w:val="auto"/>
                <w:sz w:val="21"/>
                <w:szCs w:val="24"/>
              </w:rPr>
              <w:t>18.配合自律管理情况</w:t>
            </w:r>
          </w:p>
        </w:tc>
        <w:tc>
          <w:tcPr>
            <w:tcW w:w="7230" w:type="dxa"/>
            <w:vAlign w:val="center"/>
          </w:tcPr>
          <w:p>
            <w:pPr>
              <w:jc w:val="both"/>
              <w:rPr>
                <w:rFonts w:ascii="仿宋" w:hAnsi="仿宋" w:eastAsia="仿宋"/>
                <w:color w:val="auto"/>
                <w:sz w:val="21"/>
                <w:szCs w:val="24"/>
              </w:rPr>
            </w:pPr>
            <w:r>
              <w:rPr>
                <w:rFonts w:hint="eastAsia" w:ascii="仿宋" w:hAnsi="仿宋" w:eastAsia="仿宋"/>
                <w:color w:val="auto"/>
                <w:sz w:val="21"/>
                <w:szCs w:val="24"/>
              </w:rPr>
              <w:t>底稿系统建成后，证券公司应分别于向有关单位报送发行、上市（挂牌）、上市公司重大资产重组及收购（包括行政许可及非行政许可事项）申请文件后45个工作日内，以及发行、上市（挂牌）、上市公司重大资产重组及收购项目（包括行政许可及非行政许可事项）完成后45个工作日内，通过底稿系统向协会报送工作底稿目录（申报稿）、对应的文件名和文件校验码，以及工作底稿目录（终稿）、归档后的文件名和文件校验码，以便存档备查。证券公司应保证报送的工作底稿目录等相关信息真实、准确、完整。</w:t>
            </w:r>
          </w:p>
        </w:tc>
        <w:tc>
          <w:tcPr>
            <w:tcW w:w="0" w:type="auto"/>
            <w:vAlign w:val="center"/>
          </w:tcPr>
          <w:p>
            <w:pPr>
              <w:jc w:val="both"/>
              <w:rPr>
                <w:rFonts w:ascii="仿宋" w:hAnsi="仿宋" w:eastAsia="仿宋"/>
                <w:color w:val="auto"/>
                <w:sz w:val="21"/>
                <w:szCs w:val="24"/>
              </w:rPr>
            </w:pPr>
            <w:r>
              <w:rPr>
                <w:rFonts w:hint="eastAsia" w:ascii="仿宋" w:hAnsi="仿宋" w:eastAsia="仿宋"/>
                <w:color w:val="auto"/>
                <w:sz w:val="21"/>
                <w:szCs w:val="24"/>
                <w:lang w:eastAsia="zh-CN"/>
              </w:rPr>
              <w:t>未执行或执行不到位的</w:t>
            </w:r>
            <w:r>
              <w:rPr>
                <w:rFonts w:ascii="仿宋" w:hAnsi="仿宋" w:eastAsia="仿宋"/>
                <w:color w:val="auto"/>
                <w:sz w:val="21"/>
                <w:szCs w:val="24"/>
              </w:rPr>
              <w:t>，</w:t>
            </w:r>
            <w:r>
              <w:rPr>
                <w:rFonts w:hint="eastAsia" w:ascii="仿宋" w:hAnsi="仿宋" w:eastAsia="仿宋"/>
                <w:color w:val="auto"/>
                <w:sz w:val="21"/>
                <w:szCs w:val="24"/>
                <w:lang w:eastAsia="zh-CN"/>
              </w:rPr>
              <w:t>扣</w:t>
            </w:r>
            <w:r>
              <w:rPr>
                <w:rFonts w:hint="eastAsia" w:ascii="仿宋" w:hAnsi="仿宋" w:eastAsia="仿宋"/>
                <w:color w:val="auto"/>
                <w:sz w:val="21"/>
                <w:szCs w:val="24"/>
                <w:lang w:val="en-US" w:eastAsia="zh-CN"/>
              </w:rPr>
              <w:t>2分</w:t>
            </w:r>
          </w:p>
        </w:tc>
        <w:tc>
          <w:tcPr>
            <w:tcW w:w="1119" w:type="dxa"/>
            <w:vAlign w:val="center"/>
          </w:tcPr>
          <w:p>
            <w:pPr>
              <w:jc w:val="center"/>
              <w:rPr>
                <w:rFonts w:ascii="仿宋" w:hAnsi="仿宋" w:eastAsia="仿宋"/>
                <w:color w:val="auto"/>
                <w:sz w:val="21"/>
                <w:szCs w:val="24"/>
              </w:rPr>
            </w:pPr>
            <w:r>
              <w:rPr>
                <w:rFonts w:hint="eastAsia" w:ascii="仿宋" w:hAnsi="仿宋" w:eastAsia="仿宋"/>
                <w:color w:val="auto"/>
                <w:sz w:val="21"/>
                <w:szCs w:val="24"/>
              </w:rPr>
              <w:t>扣</w:t>
            </w:r>
            <w:r>
              <w:rPr>
                <w:rFonts w:hint="eastAsia" w:ascii="仿宋" w:hAnsi="仿宋" w:eastAsia="仿宋"/>
                <w:color w:val="auto"/>
                <w:sz w:val="21"/>
                <w:szCs w:val="24"/>
                <w:lang w:val="en-US" w:eastAsia="zh-CN"/>
              </w:rPr>
              <w:t>2</w:t>
            </w:r>
            <w:r>
              <w:rPr>
                <w:rFonts w:hint="eastAsia" w:ascii="仿宋" w:hAnsi="仿宋" w:eastAsia="仿宋"/>
                <w:color w:val="auto"/>
                <w:sz w:val="21"/>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both"/>
              <w:rPr>
                <w:rFonts w:ascii="仿宋" w:hAnsi="仿宋" w:eastAsia="仿宋"/>
                <w:color w:val="auto"/>
                <w:sz w:val="21"/>
                <w:szCs w:val="24"/>
              </w:rPr>
            </w:pPr>
          </w:p>
        </w:tc>
        <w:tc>
          <w:tcPr>
            <w:tcW w:w="2268" w:type="dxa"/>
            <w:vAlign w:val="center"/>
          </w:tcPr>
          <w:p>
            <w:pPr>
              <w:jc w:val="both"/>
              <w:rPr>
                <w:rFonts w:hint="eastAsia" w:ascii="仿宋" w:hAnsi="仿宋" w:eastAsia="仿宋"/>
                <w:color w:val="auto"/>
                <w:sz w:val="21"/>
                <w:szCs w:val="24"/>
                <w:lang w:eastAsia="zh-CN"/>
              </w:rPr>
            </w:pPr>
            <w:r>
              <w:rPr>
                <w:rFonts w:hint="eastAsia" w:ascii="仿宋" w:hAnsi="仿宋" w:eastAsia="仿宋"/>
                <w:color w:val="auto"/>
                <w:sz w:val="21"/>
                <w:szCs w:val="24"/>
              </w:rPr>
              <w:t>19.工作底稿电子化管理</w:t>
            </w:r>
            <w:r>
              <w:rPr>
                <w:rFonts w:hint="eastAsia" w:ascii="仿宋" w:hAnsi="仿宋" w:eastAsia="仿宋"/>
                <w:color w:val="auto"/>
                <w:sz w:val="21"/>
                <w:szCs w:val="24"/>
                <w:lang w:eastAsia="zh-CN"/>
              </w:rPr>
              <w:t>及归档</w:t>
            </w:r>
          </w:p>
        </w:tc>
        <w:tc>
          <w:tcPr>
            <w:tcW w:w="7230" w:type="dxa"/>
            <w:vAlign w:val="center"/>
          </w:tcPr>
          <w:p>
            <w:pPr>
              <w:jc w:val="both"/>
              <w:rPr>
                <w:rFonts w:hint="eastAsia" w:ascii="仿宋" w:hAnsi="仿宋" w:eastAsia="仿宋"/>
                <w:color w:val="auto"/>
                <w:sz w:val="21"/>
                <w:szCs w:val="24"/>
                <w:lang w:eastAsia="zh-CN"/>
              </w:rPr>
            </w:pPr>
            <w:r>
              <w:rPr>
                <w:rFonts w:hint="eastAsia" w:ascii="仿宋" w:hAnsi="仿宋" w:eastAsia="仿宋"/>
                <w:color w:val="auto"/>
                <w:sz w:val="21"/>
                <w:szCs w:val="24"/>
                <w:lang w:eastAsia="zh-CN"/>
              </w:rPr>
              <w:t>质量控制部门或团队应当监督项目组按照相关要求完成工作底稿的整理归档，并对归档工作进行验收。</w:t>
            </w:r>
            <w:r>
              <w:rPr>
                <w:rFonts w:hint="eastAsia" w:ascii="仿宋" w:hAnsi="仿宋" w:eastAsia="仿宋"/>
                <w:color w:val="auto"/>
                <w:sz w:val="21"/>
                <w:szCs w:val="24"/>
              </w:rPr>
              <w:t>归档后的工作底稿不得进行修改、替换、删除等变更操作。</w:t>
            </w:r>
          </w:p>
        </w:tc>
        <w:tc>
          <w:tcPr>
            <w:tcW w:w="0" w:type="auto"/>
            <w:vAlign w:val="center"/>
          </w:tcPr>
          <w:p>
            <w:pPr>
              <w:jc w:val="both"/>
              <w:rPr>
                <w:rFonts w:ascii="仿宋" w:hAnsi="仿宋" w:eastAsia="仿宋"/>
                <w:color w:val="auto"/>
                <w:sz w:val="21"/>
                <w:szCs w:val="24"/>
              </w:rPr>
            </w:pPr>
            <w:r>
              <w:rPr>
                <w:rFonts w:hint="eastAsia" w:ascii="仿宋" w:hAnsi="仿宋" w:eastAsia="仿宋"/>
                <w:color w:val="auto"/>
                <w:sz w:val="21"/>
                <w:szCs w:val="24"/>
                <w:lang w:eastAsia="zh-CN"/>
              </w:rPr>
              <w:t>未执行或执行不到位的</w:t>
            </w:r>
            <w:r>
              <w:rPr>
                <w:rFonts w:ascii="仿宋" w:hAnsi="仿宋" w:eastAsia="仿宋"/>
                <w:color w:val="auto"/>
                <w:sz w:val="21"/>
                <w:szCs w:val="24"/>
              </w:rPr>
              <w:t>，</w:t>
            </w:r>
            <w:r>
              <w:rPr>
                <w:rFonts w:hint="eastAsia" w:ascii="仿宋" w:hAnsi="仿宋" w:eastAsia="仿宋"/>
                <w:color w:val="auto"/>
                <w:sz w:val="21"/>
                <w:szCs w:val="24"/>
                <w:lang w:eastAsia="zh-CN"/>
              </w:rPr>
              <w:t>扣</w:t>
            </w:r>
            <w:r>
              <w:rPr>
                <w:rFonts w:hint="eastAsia" w:ascii="仿宋" w:hAnsi="仿宋" w:eastAsia="仿宋"/>
                <w:color w:val="auto"/>
                <w:sz w:val="21"/>
                <w:szCs w:val="24"/>
                <w:lang w:val="en-US" w:eastAsia="zh-CN"/>
              </w:rPr>
              <w:t>0.5分</w:t>
            </w:r>
          </w:p>
        </w:tc>
        <w:tc>
          <w:tcPr>
            <w:tcW w:w="1119" w:type="dxa"/>
            <w:vAlign w:val="center"/>
          </w:tcPr>
          <w:p>
            <w:pPr>
              <w:jc w:val="center"/>
              <w:rPr>
                <w:rFonts w:ascii="仿宋" w:hAnsi="仿宋" w:eastAsia="仿宋"/>
                <w:color w:val="auto"/>
                <w:sz w:val="21"/>
                <w:szCs w:val="24"/>
              </w:rPr>
            </w:pPr>
            <w:r>
              <w:rPr>
                <w:rFonts w:hint="eastAsia" w:ascii="仿宋" w:hAnsi="仿宋" w:eastAsia="仿宋"/>
                <w:color w:val="auto"/>
                <w:sz w:val="21"/>
                <w:szCs w:val="24"/>
              </w:rPr>
              <w:t>扣</w:t>
            </w:r>
            <w:r>
              <w:rPr>
                <w:rFonts w:hint="eastAsia" w:ascii="仿宋" w:hAnsi="仿宋" w:eastAsia="仿宋"/>
                <w:color w:val="auto"/>
                <w:sz w:val="21"/>
                <w:szCs w:val="24"/>
                <w:lang w:val="en-US" w:eastAsia="zh-CN"/>
              </w:rPr>
              <w:t>0.5</w:t>
            </w:r>
            <w:r>
              <w:rPr>
                <w:rFonts w:hint="eastAsia" w:ascii="仿宋" w:hAnsi="仿宋" w:eastAsia="仿宋"/>
                <w:color w:val="auto"/>
                <w:sz w:val="21"/>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Align w:val="center"/>
          </w:tcPr>
          <w:p>
            <w:pPr>
              <w:jc w:val="both"/>
              <w:rPr>
                <w:rFonts w:ascii="仿宋" w:hAnsi="仿宋" w:eastAsia="仿宋"/>
                <w:color w:val="auto"/>
                <w:sz w:val="21"/>
                <w:szCs w:val="24"/>
              </w:rPr>
            </w:pPr>
          </w:p>
        </w:tc>
        <w:tc>
          <w:tcPr>
            <w:tcW w:w="2268" w:type="dxa"/>
            <w:vAlign w:val="center"/>
          </w:tcPr>
          <w:p>
            <w:pPr>
              <w:jc w:val="both"/>
              <w:rPr>
                <w:rFonts w:hint="eastAsia" w:ascii="仿宋" w:hAnsi="仿宋" w:eastAsia="仿宋"/>
                <w:color w:val="auto"/>
                <w:sz w:val="21"/>
                <w:szCs w:val="24"/>
                <w:lang w:eastAsia="zh-CN"/>
              </w:rPr>
            </w:pPr>
            <w:r>
              <w:rPr>
                <w:rFonts w:hint="eastAsia" w:ascii="仿宋" w:hAnsi="仿宋" w:eastAsia="仿宋"/>
                <w:color w:val="auto"/>
                <w:sz w:val="21"/>
                <w:szCs w:val="24"/>
              </w:rPr>
              <w:t>20.</w:t>
            </w:r>
            <w:r>
              <w:rPr>
                <w:rFonts w:hint="eastAsia" w:ascii="仿宋" w:hAnsi="仿宋" w:eastAsia="仿宋"/>
                <w:color w:val="auto"/>
                <w:sz w:val="21"/>
                <w:szCs w:val="24"/>
                <w:lang w:eastAsia="zh-CN"/>
              </w:rPr>
              <w:t>项目经验</w:t>
            </w:r>
          </w:p>
        </w:tc>
        <w:tc>
          <w:tcPr>
            <w:tcW w:w="7230" w:type="dxa"/>
            <w:vAlign w:val="center"/>
          </w:tcPr>
          <w:p>
            <w:pPr>
              <w:jc w:val="both"/>
              <w:rPr>
                <w:rFonts w:hint="eastAsia" w:ascii="仿宋" w:hAnsi="仿宋" w:eastAsia="仿宋"/>
                <w:color w:val="auto"/>
                <w:sz w:val="21"/>
                <w:szCs w:val="24"/>
                <w:lang w:eastAsia="zh-CN"/>
              </w:rPr>
            </w:pPr>
            <w:r>
              <w:rPr>
                <w:rFonts w:hint="eastAsia" w:ascii="仿宋" w:hAnsi="仿宋" w:eastAsia="仿宋"/>
                <w:color w:val="auto"/>
                <w:sz w:val="21"/>
                <w:szCs w:val="24"/>
                <w:lang w:eastAsia="zh-CN"/>
              </w:rPr>
              <w:t>保荐机构项目经验。</w:t>
            </w:r>
          </w:p>
        </w:tc>
        <w:tc>
          <w:tcPr>
            <w:tcW w:w="0" w:type="auto"/>
            <w:vAlign w:val="center"/>
          </w:tcPr>
          <w:p>
            <w:pPr>
              <w:jc w:val="both"/>
              <w:rPr>
                <w:rFonts w:hint="eastAsia" w:ascii="仿宋" w:hAnsi="仿宋" w:eastAsia="仿宋"/>
                <w:color w:val="auto"/>
                <w:sz w:val="21"/>
                <w:szCs w:val="24"/>
                <w:lang w:eastAsia="zh-CN"/>
              </w:rPr>
            </w:pPr>
            <w:r>
              <w:rPr>
                <w:rFonts w:hint="eastAsia" w:ascii="仿宋" w:hAnsi="仿宋" w:eastAsia="仿宋"/>
                <w:color w:val="auto"/>
                <w:sz w:val="21"/>
                <w:szCs w:val="24"/>
              </w:rPr>
              <w:t>参评项目数量前5、10、20</w:t>
            </w:r>
            <w:r>
              <w:rPr>
                <w:rFonts w:hint="eastAsia" w:ascii="仿宋" w:hAnsi="仿宋" w:eastAsia="仿宋"/>
                <w:color w:val="auto"/>
                <w:sz w:val="21"/>
                <w:szCs w:val="24"/>
                <w:lang w:eastAsia="zh-CN"/>
              </w:rPr>
              <w:t>名</w:t>
            </w:r>
            <w:r>
              <w:rPr>
                <w:rFonts w:hint="eastAsia" w:ascii="仿宋" w:hAnsi="仿宋" w:eastAsia="仿宋"/>
                <w:color w:val="auto"/>
                <w:sz w:val="21"/>
                <w:szCs w:val="24"/>
              </w:rPr>
              <w:t>的机构，分别</w:t>
            </w:r>
            <w:r>
              <w:rPr>
                <w:rFonts w:hint="eastAsia" w:ascii="仿宋" w:hAnsi="仿宋" w:eastAsia="仿宋"/>
                <w:color w:val="auto"/>
                <w:sz w:val="21"/>
                <w:szCs w:val="24"/>
                <w:lang w:eastAsia="zh-CN"/>
              </w:rPr>
              <w:t>得</w:t>
            </w:r>
            <w:r>
              <w:rPr>
                <w:rFonts w:hint="eastAsia" w:ascii="仿宋" w:hAnsi="仿宋" w:eastAsia="仿宋"/>
                <w:color w:val="auto"/>
                <w:sz w:val="21"/>
                <w:szCs w:val="24"/>
              </w:rPr>
              <w:t>2、1.5、1</w:t>
            </w:r>
            <w:r>
              <w:rPr>
                <w:rFonts w:hint="eastAsia" w:ascii="仿宋" w:hAnsi="仿宋" w:eastAsia="仿宋"/>
                <w:color w:val="auto"/>
                <w:sz w:val="21"/>
                <w:szCs w:val="24"/>
                <w:lang w:eastAsia="zh-CN"/>
              </w:rPr>
              <w:t>分</w:t>
            </w:r>
          </w:p>
        </w:tc>
        <w:tc>
          <w:tcPr>
            <w:tcW w:w="1119" w:type="dxa"/>
            <w:vAlign w:val="center"/>
          </w:tcPr>
          <w:p>
            <w:pPr>
              <w:jc w:val="center"/>
              <w:rPr>
                <w:rFonts w:hint="default" w:ascii="仿宋" w:hAnsi="仿宋" w:eastAsia="仿宋"/>
                <w:color w:val="auto"/>
                <w:sz w:val="21"/>
                <w:szCs w:val="24"/>
                <w:lang w:val="en-US" w:eastAsia="zh-CN"/>
              </w:rPr>
            </w:pPr>
            <w:r>
              <w:rPr>
                <w:rFonts w:hint="eastAsia" w:ascii="仿宋" w:hAnsi="仿宋" w:eastAsia="仿宋"/>
                <w:color w:val="auto"/>
                <w:sz w:val="21"/>
                <w:szCs w:val="24"/>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43" w:type="dxa"/>
            <w:gridSpan w:val="5"/>
            <w:vAlign w:val="center"/>
          </w:tcPr>
          <w:p>
            <w:pPr>
              <w:keepNext w:val="0"/>
              <w:keepLines w:val="0"/>
              <w:pageBreakBefore w:val="0"/>
              <w:widowControl w:val="0"/>
              <w:kinsoku/>
              <w:wordWrap/>
              <w:overflowPunct/>
              <w:topLinePunct w:val="0"/>
              <w:autoSpaceDE w:val="0"/>
              <w:autoSpaceDN w:val="0"/>
              <w:bidi w:val="0"/>
              <w:adjustRightInd w:val="0"/>
              <w:snapToGrid/>
              <w:ind w:firstLine="420" w:firstLineChars="200"/>
              <w:jc w:val="both"/>
              <w:textAlignment w:val="auto"/>
              <w:rPr>
                <w:rFonts w:hint="eastAsia" w:ascii="仿宋" w:hAnsi="仿宋" w:eastAsia="仿宋"/>
                <w:color w:val="auto"/>
                <w:sz w:val="21"/>
                <w:szCs w:val="24"/>
                <w:lang w:val="en-US" w:eastAsia="zh-CN"/>
              </w:rPr>
            </w:pPr>
            <w:r>
              <w:rPr>
                <w:rFonts w:hint="eastAsia" w:ascii="仿宋" w:hAnsi="仿宋" w:eastAsia="仿宋"/>
                <w:color w:val="auto"/>
                <w:sz w:val="21"/>
                <w:szCs w:val="24"/>
                <w:lang w:val="en-US" w:eastAsia="zh-CN"/>
              </w:rPr>
              <w:t>1.</w:t>
            </w:r>
            <w:r>
              <w:rPr>
                <w:rFonts w:hint="eastAsia" w:ascii="仿宋" w:hAnsi="仿宋" w:eastAsia="仿宋"/>
                <w:color w:val="auto"/>
                <w:sz w:val="21"/>
                <w:szCs w:val="24"/>
                <w:lang w:eastAsia="zh-CN"/>
              </w:rPr>
              <w:t>投行项目未通过上市委或发审委审核，不予核准或注册，扣</w:t>
            </w:r>
            <w:r>
              <w:rPr>
                <w:rFonts w:hint="eastAsia" w:ascii="仿宋" w:hAnsi="仿宋" w:eastAsia="仿宋"/>
                <w:color w:val="auto"/>
                <w:sz w:val="21"/>
                <w:szCs w:val="24"/>
                <w:lang w:val="en-US" w:eastAsia="zh-CN"/>
              </w:rPr>
              <w:t>20</w:t>
            </w:r>
            <w:r>
              <w:rPr>
                <w:rFonts w:hint="eastAsia" w:ascii="仿宋" w:hAnsi="仿宋" w:eastAsia="仿宋"/>
                <w:color w:val="auto"/>
                <w:sz w:val="21"/>
                <w:szCs w:val="24"/>
                <w:lang w:eastAsia="zh-CN"/>
              </w:rPr>
              <w:t>分</w:t>
            </w:r>
            <w:r>
              <w:rPr>
                <w:rFonts w:hint="eastAsia" w:ascii="仿宋" w:hAnsi="仿宋" w:eastAsia="仿宋"/>
                <w:color w:val="auto"/>
                <w:sz w:val="21"/>
                <w:szCs w:val="24"/>
                <w:lang w:val="en-US" w:eastAsia="zh-CN"/>
              </w:rPr>
              <w:t>。</w:t>
            </w:r>
          </w:p>
          <w:p>
            <w:pPr>
              <w:keepNext w:val="0"/>
              <w:keepLines w:val="0"/>
              <w:pageBreakBefore w:val="0"/>
              <w:widowControl w:val="0"/>
              <w:kinsoku/>
              <w:wordWrap/>
              <w:overflowPunct/>
              <w:topLinePunct w:val="0"/>
              <w:autoSpaceDE w:val="0"/>
              <w:autoSpaceDN w:val="0"/>
              <w:bidi w:val="0"/>
              <w:adjustRightInd w:val="0"/>
              <w:snapToGrid/>
              <w:ind w:firstLine="420" w:firstLineChars="200"/>
              <w:jc w:val="both"/>
              <w:textAlignment w:val="auto"/>
              <w:rPr>
                <w:rFonts w:hint="eastAsia" w:ascii="仿宋" w:hAnsi="仿宋" w:eastAsia="仿宋"/>
                <w:color w:val="auto"/>
                <w:sz w:val="21"/>
                <w:szCs w:val="24"/>
                <w:lang w:val="en-US" w:eastAsia="zh-CN"/>
              </w:rPr>
            </w:pPr>
            <w:r>
              <w:rPr>
                <w:rFonts w:hint="eastAsia" w:ascii="仿宋" w:hAnsi="仿宋" w:eastAsia="仿宋"/>
                <w:color w:val="auto"/>
                <w:sz w:val="21"/>
                <w:szCs w:val="24"/>
                <w:lang w:val="en-US" w:eastAsia="zh-CN"/>
              </w:rPr>
              <w:t>2.</w:t>
            </w:r>
            <w:r>
              <w:rPr>
                <w:rFonts w:hint="eastAsia" w:ascii="仿宋" w:hAnsi="仿宋" w:eastAsia="仿宋"/>
                <w:color w:val="auto"/>
                <w:sz w:val="21"/>
                <w:szCs w:val="24"/>
                <w:lang w:eastAsia="zh-CN"/>
              </w:rPr>
              <w:t>证券公司因投行项目</w:t>
            </w:r>
            <w:r>
              <w:rPr>
                <w:rFonts w:hint="default" w:ascii="仿宋" w:hAnsi="仿宋" w:eastAsia="仿宋"/>
                <w:color w:val="auto"/>
                <w:sz w:val="21"/>
                <w:szCs w:val="24"/>
                <w:lang w:eastAsia="zh-CN"/>
              </w:rPr>
              <w:t>被中国证监会采取行政监管措施等</w:t>
            </w:r>
            <w:r>
              <w:rPr>
                <w:rFonts w:hint="eastAsia" w:ascii="仿宋" w:hAnsi="仿宋" w:eastAsia="仿宋"/>
                <w:color w:val="auto"/>
                <w:sz w:val="21"/>
                <w:szCs w:val="24"/>
                <w:lang w:eastAsia="zh-CN"/>
              </w:rPr>
              <w:t>，</w:t>
            </w:r>
            <w:r>
              <w:rPr>
                <w:rFonts w:hint="default" w:ascii="仿宋" w:hAnsi="仿宋" w:eastAsia="仿宋"/>
                <w:color w:val="auto"/>
                <w:sz w:val="21"/>
                <w:szCs w:val="24"/>
                <w:lang w:eastAsia="zh-CN"/>
              </w:rPr>
              <w:t>视情节轻重</w:t>
            </w:r>
            <w:r>
              <w:rPr>
                <w:rFonts w:hint="eastAsia" w:ascii="仿宋" w:hAnsi="仿宋" w:eastAsia="仿宋"/>
                <w:color w:val="auto"/>
                <w:sz w:val="21"/>
                <w:szCs w:val="24"/>
                <w:lang w:eastAsia="zh-CN"/>
              </w:rPr>
              <w:t>对项目进行</w:t>
            </w:r>
            <w:r>
              <w:rPr>
                <w:rFonts w:hint="default" w:ascii="仿宋" w:hAnsi="仿宋" w:eastAsia="仿宋"/>
                <w:color w:val="auto"/>
                <w:sz w:val="21"/>
                <w:szCs w:val="24"/>
                <w:lang w:eastAsia="zh-CN"/>
              </w:rPr>
              <w:t>扣分</w:t>
            </w:r>
            <w:r>
              <w:rPr>
                <w:rFonts w:hint="eastAsia" w:ascii="仿宋" w:hAnsi="仿宋" w:eastAsia="仿宋"/>
                <w:color w:val="auto"/>
                <w:sz w:val="21"/>
                <w:szCs w:val="24"/>
                <w:lang w:eastAsia="zh-CN"/>
              </w:rPr>
              <w:t>：</w:t>
            </w:r>
            <w:r>
              <w:rPr>
                <w:rFonts w:hint="eastAsia" w:ascii="仿宋" w:hAnsi="仿宋" w:eastAsia="仿宋"/>
                <w:color w:val="auto"/>
                <w:sz w:val="21"/>
                <w:szCs w:val="24"/>
                <w:lang w:val="en-US" w:eastAsia="zh-CN"/>
              </w:rPr>
              <w:t>公司被限制业务活动，暂不受理与行政许可有关文件，董事、监事、高级管理人员因对公司违法违规行为负有责任被认定为不适当人选或者</w:t>
            </w:r>
            <w:r>
              <w:rPr>
                <w:rFonts w:hint="default" w:ascii="仿宋" w:hAnsi="仿宋" w:eastAsia="仿宋"/>
                <w:color w:val="auto"/>
                <w:sz w:val="21"/>
                <w:szCs w:val="24"/>
                <w:lang w:eastAsia="zh-CN"/>
              </w:rPr>
              <w:t>被采取证券市场禁入、公开谴责</w:t>
            </w:r>
            <w:r>
              <w:rPr>
                <w:rFonts w:hint="eastAsia" w:ascii="仿宋" w:hAnsi="仿宋" w:eastAsia="仿宋"/>
                <w:color w:val="auto"/>
                <w:sz w:val="21"/>
                <w:szCs w:val="24"/>
                <w:lang w:val="en-US" w:eastAsia="zh-CN"/>
              </w:rPr>
              <w:t>，公司被采取责令更换董事、监事、高级管理人员或限制其权利</w:t>
            </w:r>
            <w:r>
              <w:rPr>
                <w:rFonts w:hint="default" w:ascii="仿宋" w:hAnsi="仿宋" w:eastAsia="仿宋"/>
                <w:color w:val="auto"/>
                <w:sz w:val="21"/>
                <w:szCs w:val="24"/>
                <w:lang w:eastAsia="zh-CN"/>
              </w:rPr>
              <w:t>等的，</w:t>
            </w:r>
            <w:r>
              <w:rPr>
                <w:rFonts w:hint="eastAsia" w:ascii="仿宋" w:hAnsi="仿宋" w:eastAsia="仿宋"/>
                <w:color w:val="auto"/>
                <w:sz w:val="21"/>
                <w:szCs w:val="24"/>
                <w:lang w:val="en-US" w:eastAsia="zh-CN"/>
              </w:rPr>
              <w:t>扣20分；公司被采取责令处分有关人员，或者董事、监事、高级管理人员被监管谈话的，扣14分</w:t>
            </w:r>
            <w:r>
              <w:rPr>
                <w:rFonts w:hint="default" w:ascii="仿宋" w:hAnsi="仿宋" w:eastAsia="仿宋"/>
                <w:color w:val="auto"/>
                <w:sz w:val="21"/>
                <w:szCs w:val="24"/>
                <w:lang w:eastAsia="zh-CN"/>
              </w:rPr>
              <w:t>；</w:t>
            </w:r>
            <w:r>
              <w:rPr>
                <w:rFonts w:hint="eastAsia" w:ascii="仿宋" w:hAnsi="仿宋" w:eastAsia="仿宋"/>
                <w:color w:val="auto"/>
                <w:sz w:val="21"/>
                <w:szCs w:val="24"/>
                <w:lang w:val="en-US" w:eastAsia="zh-CN"/>
              </w:rPr>
              <w:t>公司被采取责令改正，责令增加内部合规检查次数的，扣10分；公司或者其董事、监事、高级管理人员被采取出具警示函，责令公开说明，责令定期报告的，扣6分。</w:t>
            </w:r>
          </w:p>
          <w:p>
            <w:pPr>
              <w:keepNext w:val="0"/>
              <w:keepLines w:val="0"/>
              <w:pageBreakBefore w:val="0"/>
              <w:widowControl w:val="0"/>
              <w:kinsoku/>
              <w:wordWrap/>
              <w:overflowPunct/>
              <w:topLinePunct w:val="0"/>
              <w:autoSpaceDE w:val="0"/>
              <w:autoSpaceDN w:val="0"/>
              <w:bidi w:val="0"/>
              <w:adjustRightInd w:val="0"/>
              <w:snapToGrid/>
              <w:ind w:firstLine="420" w:firstLineChars="200"/>
              <w:jc w:val="both"/>
              <w:textAlignment w:val="auto"/>
              <w:rPr>
                <w:rFonts w:hint="default" w:ascii="仿宋" w:hAnsi="仿宋" w:eastAsia="仿宋"/>
                <w:color w:val="auto"/>
                <w:sz w:val="21"/>
                <w:szCs w:val="24"/>
                <w:lang w:eastAsia="zh-CN"/>
              </w:rPr>
            </w:pPr>
            <w:r>
              <w:rPr>
                <w:rFonts w:hint="eastAsia" w:ascii="仿宋" w:hAnsi="仿宋" w:eastAsia="仿宋"/>
                <w:color w:val="auto"/>
                <w:sz w:val="21"/>
                <w:szCs w:val="24"/>
                <w:lang w:eastAsia="zh-CN"/>
              </w:rPr>
              <w:t>证券公司</w:t>
            </w:r>
            <w:r>
              <w:rPr>
                <w:rFonts w:hint="default" w:ascii="仿宋" w:hAnsi="仿宋" w:eastAsia="仿宋"/>
                <w:color w:val="auto"/>
                <w:sz w:val="21"/>
                <w:szCs w:val="24"/>
                <w:lang w:eastAsia="zh-CN"/>
              </w:rPr>
              <w:t>相关人员因</w:t>
            </w:r>
            <w:r>
              <w:rPr>
                <w:rFonts w:hint="eastAsia" w:ascii="仿宋" w:hAnsi="仿宋" w:eastAsia="仿宋"/>
                <w:color w:val="auto"/>
                <w:sz w:val="21"/>
                <w:szCs w:val="24"/>
                <w:lang w:eastAsia="zh-CN"/>
              </w:rPr>
              <w:t>投行</w:t>
            </w:r>
            <w:r>
              <w:rPr>
                <w:rFonts w:hint="default" w:ascii="仿宋" w:hAnsi="仿宋" w:eastAsia="仿宋"/>
                <w:color w:val="auto"/>
                <w:sz w:val="21"/>
                <w:szCs w:val="24"/>
                <w:lang w:eastAsia="zh-CN"/>
              </w:rPr>
              <w:t>项目被中国证监会采取行政监管措施等</w:t>
            </w:r>
            <w:r>
              <w:rPr>
                <w:rFonts w:hint="eastAsia" w:ascii="仿宋" w:hAnsi="仿宋" w:eastAsia="仿宋"/>
                <w:color w:val="auto"/>
                <w:sz w:val="21"/>
                <w:szCs w:val="24"/>
                <w:lang w:eastAsia="zh-CN"/>
              </w:rPr>
              <w:t>，</w:t>
            </w:r>
            <w:r>
              <w:rPr>
                <w:rFonts w:hint="default" w:ascii="仿宋" w:hAnsi="仿宋" w:eastAsia="仿宋"/>
                <w:color w:val="auto"/>
                <w:sz w:val="21"/>
                <w:szCs w:val="24"/>
                <w:lang w:eastAsia="zh-CN"/>
              </w:rPr>
              <w:t>视情节轻重</w:t>
            </w:r>
            <w:r>
              <w:rPr>
                <w:rFonts w:hint="eastAsia" w:ascii="仿宋" w:hAnsi="仿宋" w:eastAsia="仿宋"/>
                <w:color w:val="auto"/>
                <w:sz w:val="21"/>
                <w:szCs w:val="24"/>
                <w:lang w:eastAsia="zh-CN"/>
              </w:rPr>
              <w:t>对项目进行</w:t>
            </w:r>
            <w:r>
              <w:rPr>
                <w:rFonts w:hint="default" w:ascii="仿宋" w:hAnsi="仿宋" w:eastAsia="仿宋"/>
                <w:color w:val="auto"/>
                <w:sz w:val="21"/>
                <w:szCs w:val="24"/>
                <w:lang w:eastAsia="zh-CN"/>
              </w:rPr>
              <w:t>扣分：</w:t>
            </w:r>
            <w:r>
              <w:rPr>
                <w:rFonts w:hint="eastAsia" w:ascii="仿宋" w:hAnsi="仿宋" w:eastAsia="仿宋"/>
                <w:color w:val="auto"/>
                <w:sz w:val="21"/>
                <w:szCs w:val="24"/>
                <w:lang w:val="en-US" w:eastAsia="zh-CN"/>
              </w:rPr>
              <w:t>认定为不适当人选</w:t>
            </w:r>
            <w:r>
              <w:rPr>
                <w:rFonts w:hint="default" w:ascii="仿宋" w:hAnsi="仿宋" w:eastAsia="仿宋"/>
                <w:color w:val="auto"/>
                <w:sz w:val="21"/>
                <w:szCs w:val="24"/>
                <w:lang w:eastAsia="zh-CN"/>
              </w:rPr>
              <w:t>、证券市场禁入、不受理其具体负责的推荐等</w:t>
            </w:r>
            <w:r>
              <w:rPr>
                <w:rFonts w:hint="eastAsia" w:ascii="仿宋" w:hAnsi="仿宋" w:eastAsia="仿宋"/>
                <w:color w:val="auto"/>
                <w:sz w:val="21"/>
                <w:szCs w:val="24"/>
                <w:lang w:val="en-US" w:eastAsia="zh-CN"/>
              </w:rPr>
              <w:t>，</w:t>
            </w:r>
            <w:r>
              <w:rPr>
                <w:rFonts w:hint="default" w:ascii="仿宋" w:hAnsi="仿宋" w:eastAsia="仿宋"/>
                <w:color w:val="auto"/>
                <w:sz w:val="21"/>
                <w:szCs w:val="24"/>
                <w:lang w:eastAsia="zh-CN"/>
              </w:rPr>
              <w:t>扣</w:t>
            </w:r>
            <w:r>
              <w:rPr>
                <w:rFonts w:hint="eastAsia" w:ascii="仿宋" w:hAnsi="仿宋" w:eastAsia="仿宋"/>
                <w:color w:val="auto"/>
                <w:sz w:val="21"/>
                <w:szCs w:val="24"/>
                <w:lang w:val="en-US" w:eastAsia="zh-CN"/>
              </w:rPr>
              <w:t>20</w:t>
            </w:r>
            <w:r>
              <w:rPr>
                <w:rFonts w:hint="default" w:ascii="仿宋" w:hAnsi="仿宋" w:eastAsia="仿宋"/>
                <w:color w:val="auto"/>
                <w:sz w:val="21"/>
                <w:szCs w:val="24"/>
                <w:lang w:eastAsia="zh-CN"/>
              </w:rPr>
              <w:t>分；监管谈话，扣</w:t>
            </w:r>
            <w:r>
              <w:rPr>
                <w:rFonts w:hint="eastAsia" w:ascii="仿宋" w:hAnsi="仿宋" w:eastAsia="仿宋"/>
                <w:color w:val="auto"/>
                <w:sz w:val="21"/>
                <w:szCs w:val="24"/>
                <w:lang w:val="en-US" w:eastAsia="zh-CN"/>
              </w:rPr>
              <w:t>7</w:t>
            </w:r>
            <w:r>
              <w:rPr>
                <w:rFonts w:hint="default" w:ascii="仿宋" w:hAnsi="仿宋" w:eastAsia="仿宋"/>
                <w:color w:val="auto"/>
                <w:sz w:val="21"/>
                <w:szCs w:val="24"/>
                <w:lang w:eastAsia="zh-CN"/>
              </w:rPr>
              <w:t>分；责令改正，扣</w:t>
            </w:r>
            <w:r>
              <w:rPr>
                <w:rFonts w:hint="eastAsia" w:ascii="仿宋" w:hAnsi="仿宋" w:eastAsia="仿宋"/>
                <w:color w:val="auto"/>
                <w:sz w:val="21"/>
                <w:szCs w:val="24"/>
                <w:lang w:val="en-US" w:eastAsia="zh-CN"/>
              </w:rPr>
              <w:t>5</w:t>
            </w:r>
            <w:r>
              <w:rPr>
                <w:rFonts w:hint="default" w:ascii="仿宋" w:hAnsi="仿宋" w:eastAsia="仿宋"/>
                <w:color w:val="auto"/>
                <w:sz w:val="21"/>
                <w:szCs w:val="24"/>
                <w:lang w:eastAsia="zh-CN"/>
              </w:rPr>
              <w:t>分；出具警示函，扣</w:t>
            </w:r>
            <w:r>
              <w:rPr>
                <w:rFonts w:hint="eastAsia" w:ascii="仿宋" w:hAnsi="仿宋" w:eastAsia="仿宋"/>
                <w:color w:val="auto"/>
                <w:sz w:val="21"/>
                <w:szCs w:val="24"/>
                <w:lang w:val="en-US" w:eastAsia="zh-CN"/>
              </w:rPr>
              <w:t>3</w:t>
            </w:r>
            <w:r>
              <w:rPr>
                <w:rFonts w:hint="default" w:ascii="仿宋" w:hAnsi="仿宋" w:eastAsia="仿宋"/>
                <w:color w:val="auto"/>
                <w:sz w:val="21"/>
                <w:szCs w:val="24"/>
                <w:lang w:eastAsia="zh-CN"/>
              </w:rPr>
              <w:t>分。</w:t>
            </w:r>
          </w:p>
          <w:p>
            <w:pPr>
              <w:keepNext w:val="0"/>
              <w:keepLines w:val="0"/>
              <w:pageBreakBefore w:val="0"/>
              <w:widowControl w:val="0"/>
              <w:kinsoku/>
              <w:wordWrap/>
              <w:overflowPunct/>
              <w:topLinePunct w:val="0"/>
              <w:autoSpaceDE w:val="0"/>
              <w:autoSpaceDN w:val="0"/>
              <w:bidi w:val="0"/>
              <w:adjustRightInd w:val="0"/>
              <w:snapToGrid/>
              <w:ind w:firstLine="420" w:firstLineChars="200"/>
              <w:jc w:val="both"/>
              <w:textAlignment w:val="auto"/>
              <w:rPr>
                <w:rFonts w:hint="default" w:ascii="仿宋" w:hAnsi="仿宋" w:eastAsia="仿宋"/>
                <w:color w:val="auto"/>
                <w:sz w:val="21"/>
                <w:szCs w:val="24"/>
                <w:lang w:eastAsia="zh-CN"/>
              </w:rPr>
            </w:pPr>
            <w:r>
              <w:rPr>
                <w:rFonts w:hint="eastAsia" w:ascii="仿宋" w:hAnsi="仿宋" w:eastAsia="仿宋"/>
                <w:color w:val="auto"/>
                <w:sz w:val="21"/>
                <w:szCs w:val="24"/>
                <w:lang w:val="en-US" w:eastAsia="zh-CN"/>
              </w:rPr>
              <w:t>3.</w:t>
            </w:r>
            <w:r>
              <w:rPr>
                <w:rFonts w:hint="eastAsia" w:ascii="仿宋" w:hAnsi="仿宋" w:eastAsia="仿宋"/>
                <w:color w:val="auto"/>
                <w:sz w:val="21"/>
                <w:szCs w:val="24"/>
                <w:lang w:eastAsia="zh-CN"/>
              </w:rPr>
              <w:t>证券公司</w:t>
            </w:r>
            <w:r>
              <w:rPr>
                <w:rFonts w:hint="default" w:ascii="仿宋" w:hAnsi="仿宋" w:eastAsia="仿宋"/>
                <w:color w:val="auto"/>
                <w:sz w:val="21"/>
                <w:szCs w:val="24"/>
                <w:lang w:eastAsia="zh-CN"/>
              </w:rPr>
              <w:t>因</w:t>
            </w:r>
            <w:r>
              <w:rPr>
                <w:rFonts w:hint="eastAsia" w:ascii="仿宋" w:hAnsi="仿宋" w:eastAsia="仿宋"/>
                <w:color w:val="auto"/>
                <w:sz w:val="21"/>
                <w:szCs w:val="24"/>
                <w:lang w:eastAsia="zh-CN"/>
              </w:rPr>
              <w:t>投行</w:t>
            </w:r>
            <w:r>
              <w:rPr>
                <w:rFonts w:hint="default" w:ascii="仿宋" w:hAnsi="仿宋" w:eastAsia="仿宋"/>
                <w:color w:val="auto"/>
                <w:sz w:val="21"/>
                <w:szCs w:val="24"/>
                <w:lang w:eastAsia="zh-CN"/>
              </w:rPr>
              <w:t>项目被交易所采取自律监管措施、纪律处分</w:t>
            </w:r>
            <w:r>
              <w:rPr>
                <w:rFonts w:hint="eastAsia" w:ascii="仿宋" w:hAnsi="仿宋" w:eastAsia="仿宋"/>
                <w:color w:val="auto"/>
                <w:sz w:val="21"/>
                <w:szCs w:val="24"/>
                <w:lang w:eastAsia="zh-CN"/>
              </w:rPr>
              <w:t>，</w:t>
            </w:r>
            <w:r>
              <w:rPr>
                <w:rFonts w:hint="default" w:ascii="仿宋" w:hAnsi="仿宋" w:eastAsia="仿宋"/>
                <w:color w:val="auto"/>
                <w:sz w:val="21"/>
                <w:szCs w:val="24"/>
                <w:lang w:eastAsia="zh-CN"/>
              </w:rPr>
              <w:t>视情节轻重</w:t>
            </w:r>
            <w:r>
              <w:rPr>
                <w:rFonts w:hint="eastAsia" w:ascii="仿宋" w:hAnsi="仿宋" w:eastAsia="仿宋"/>
                <w:color w:val="auto"/>
                <w:sz w:val="21"/>
                <w:szCs w:val="24"/>
                <w:lang w:eastAsia="zh-CN"/>
              </w:rPr>
              <w:t>对项目进行</w:t>
            </w:r>
            <w:r>
              <w:rPr>
                <w:rFonts w:hint="default" w:ascii="仿宋" w:hAnsi="仿宋" w:eastAsia="仿宋"/>
                <w:color w:val="auto"/>
                <w:sz w:val="21"/>
                <w:szCs w:val="24"/>
                <w:lang w:eastAsia="zh-CN"/>
              </w:rPr>
              <w:t>扣分：</w:t>
            </w:r>
            <w:r>
              <w:rPr>
                <w:rFonts w:hint="eastAsia" w:ascii="仿宋" w:hAnsi="仿宋" w:eastAsia="仿宋"/>
                <w:color w:val="auto"/>
                <w:sz w:val="21"/>
                <w:szCs w:val="24"/>
                <w:lang w:val="en-US" w:eastAsia="zh-CN"/>
              </w:rPr>
              <w:t>暂不受理</w:t>
            </w:r>
            <w:r>
              <w:rPr>
                <w:rFonts w:hint="default" w:ascii="仿宋" w:hAnsi="仿宋" w:eastAsia="仿宋"/>
                <w:color w:val="auto"/>
                <w:sz w:val="21"/>
                <w:szCs w:val="24"/>
                <w:lang w:eastAsia="zh-CN"/>
              </w:rPr>
              <w:t>相关机构或者其从业人员提交的相关文件，扣</w:t>
            </w:r>
            <w:r>
              <w:rPr>
                <w:rFonts w:hint="eastAsia" w:ascii="仿宋" w:hAnsi="仿宋" w:eastAsia="仿宋"/>
                <w:color w:val="auto"/>
                <w:sz w:val="21"/>
                <w:szCs w:val="24"/>
                <w:lang w:val="en-US" w:eastAsia="zh-CN"/>
              </w:rPr>
              <w:t>20</w:t>
            </w:r>
            <w:r>
              <w:rPr>
                <w:rFonts w:hint="default" w:ascii="仿宋" w:hAnsi="仿宋" w:eastAsia="仿宋"/>
                <w:color w:val="auto"/>
                <w:sz w:val="21"/>
                <w:szCs w:val="24"/>
                <w:lang w:eastAsia="zh-CN"/>
              </w:rPr>
              <w:t>分；公开谴责，扣</w:t>
            </w:r>
            <w:r>
              <w:rPr>
                <w:rFonts w:hint="eastAsia" w:ascii="仿宋" w:hAnsi="仿宋" w:eastAsia="仿宋"/>
                <w:color w:val="auto"/>
                <w:sz w:val="21"/>
                <w:szCs w:val="24"/>
                <w:lang w:val="en-US" w:eastAsia="zh-CN"/>
              </w:rPr>
              <w:t>12</w:t>
            </w:r>
            <w:r>
              <w:rPr>
                <w:rFonts w:hint="default" w:ascii="仿宋" w:hAnsi="仿宋" w:eastAsia="仿宋"/>
                <w:color w:val="auto"/>
                <w:sz w:val="21"/>
                <w:szCs w:val="24"/>
                <w:lang w:eastAsia="zh-CN"/>
              </w:rPr>
              <w:t>分；通报批评，扣</w:t>
            </w:r>
            <w:r>
              <w:rPr>
                <w:rFonts w:hint="eastAsia" w:ascii="仿宋" w:hAnsi="仿宋" w:eastAsia="仿宋"/>
                <w:color w:val="auto"/>
                <w:sz w:val="21"/>
                <w:szCs w:val="24"/>
                <w:lang w:val="en-US" w:eastAsia="zh-CN"/>
              </w:rPr>
              <w:t>6</w:t>
            </w:r>
            <w:r>
              <w:rPr>
                <w:rFonts w:hint="default" w:ascii="仿宋" w:hAnsi="仿宋" w:eastAsia="仿宋"/>
                <w:color w:val="auto"/>
                <w:sz w:val="21"/>
                <w:szCs w:val="24"/>
                <w:lang w:eastAsia="zh-CN"/>
              </w:rPr>
              <w:t>分；自律监管措施，扣</w:t>
            </w:r>
            <w:r>
              <w:rPr>
                <w:rFonts w:hint="eastAsia" w:ascii="仿宋" w:hAnsi="仿宋" w:eastAsia="仿宋"/>
                <w:color w:val="auto"/>
                <w:sz w:val="21"/>
                <w:szCs w:val="24"/>
                <w:lang w:val="en-US" w:eastAsia="zh-CN"/>
              </w:rPr>
              <w:t>4</w:t>
            </w:r>
            <w:r>
              <w:rPr>
                <w:rFonts w:hint="default" w:ascii="仿宋" w:hAnsi="仿宋" w:eastAsia="仿宋"/>
                <w:color w:val="auto"/>
                <w:sz w:val="21"/>
                <w:szCs w:val="24"/>
                <w:lang w:eastAsia="zh-CN"/>
              </w:rPr>
              <w:t>分。</w:t>
            </w:r>
          </w:p>
          <w:p>
            <w:pPr>
              <w:keepNext w:val="0"/>
              <w:keepLines w:val="0"/>
              <w:pageBreakBefore w:val="0"/>
              <w:widowControl w:val="0"/>
              <w:kinsoku/>
              <w:wordWrap/>
              <w:overflowPunct/>
              <w:topLinePunct w:val="0"/>
              <w:autoSpaceDE w:val="0"/>
              <w:autoSpaceDN w:val="0"/>
              <w:bidi w:val="0"/>
              <w:adjustRightInd w:val="0"/>
              <w:snapToGrid/>
              <w:ind w:firstLine="420" w:firstLineChars="200"/>
              <w:jc w:val="both"/>
              <w:textAlignment w:val="auto"/>
              <w:rPr>
                <w:rFonts w:hint="eastAsia" w:ascii="Times New Roman" w:hAnsi="Times New Roman" w:eastAsia="仿宋_GB2312" w:cs="Times New Roman"/>
                <w:b w:val="0"/>
                <w:bCs w:val="0"/>
                <w:color w:val="auto"/>
                <w:kern w:val="2"/>
                <w:sz w:val="30"/>
                <w:highlight w:val="none"/>
                <w:lang w:val="en-US" w:eastAsia="zh-CN"/>
              </w:rPr>
            </w:pPr>
            <w:r>
              <w:rPr>
                <w:rFonts w:hint="eastAsia" w:ascii="仿宋" w:hAnsi="仿宋" w:eastAsia="仿宋"/>
                <w:color w:val="auto"/>
                <w:sz w:val="21"/>
                <w:szCs w:val="24"/>
                <w:lang w:eastAsia="zh-CN"/>
              </w:rPr>
              <w:t>证券公司</w:t>
            </w:r>
            <w:r>
              <w:rPr>
                <w:rFonts w:hint="default" w:ascii="仿宋" w:hAnsi="仿宋" w:eastAsia="仿宋"/>
                <w:color w:val="auto"/>
                <w:sz w:val="21"/>
                <w:szCs w:val="24"/>
                <w:lang w:eastAsia="zh-CN"/>
              </w:rPr>
              <w:t>相关人员因</w:t>
            </w:r>
            <w:r>
              <w:rPr>
                <w:rFonts w:hint="eastAsia" w:ascii="仿宋" w:hAnsi="仿宋" w:eastAsia="仿宋"/>
                <w:color w:val="auto"/>
                <w:sz w:val="21"/>
                <w:szCs w:val="24"/>
                <w:lang w:eastAsia="zh-CN"/>
              </w:rPr>
              <w:t>投行</w:t>
            </w:r>
            <w:r>
              <w:rPr>
                <w:rFonts w:hint="default" w:ascii="仿宋" w:hAnsi="仿宋" w:eastAsia="仿宋"/>
                <w:color w:val="auto"/>
                <w:sz w:val="21"/>
                <w:szCs w:val="24"/>
                <w:lang w:eastAsia="zh-CN"/>
              </w:rPr>
              <w:t>项目被交易所采取自律监管措施、纪律处分，按以上原则减半扣分。</w:t>
            </w:r>
          </w:p>
        </w:tc>
      </w:tr>
    </w:tbl>
    <w:p>
      <w:pPr>
        <w:spacing w:beforeLines="50"/>
        <w:outlineLvl w:val="0"/>
        <w:rPr>
          <w:rFonts w:hint="eastAsia" w:ascii="仿宋" w:hAnsi="仿宋" w:eastAsia="仿宋"/>
          <w:b/>
          <w:color w:val="auto"/>
          <w:sz w:val="24"/>
          <w:szCs w:val="24"/>
        </w:rPr>
      </w:pPr>
    </w:p>
    <w:p>
      <w:pPr>
        <w:spacing w:beforeLines="50"/>
        <w:outlineLvl w:val="0"/>
        <w:rPr>
          <w:rFonts w:hint="eastAsia" w:ascii="仿宋" w:hAnsi="仿宋" w:eastAsia="仿宋"/>
          <w:b/>
          <w:color w:val="auto"/>
          <w:sz w:val="24"/>
          <w:szCs w:val="24"/>
        </w:rPr>
      </w:pPr>
    </w:p>
    <w:p>
      <w:pPr>
        <w:spacing w:beforeLines="50"/>
        <w:outlineLvl w:val="0"/>
        <w:rPr>
          <w:rFonts w:hint="eastAsia" w:ascii="仿宋" w:hAnsi="仿宋" w:eastAsia="仿宋"/>
          <w:b/>
          <w:color w:val="auto"/>
          <w:sz w:val="24"/>
          <w:szCs w:val="24"/>
        </w:rPr>
      </w:pPr>
    </w:p>
    <w:p>
      <w:pPr>
        <w:spacing w:beforeLines="50"/>
        <w:outlineLvl w:val="0"/>
        <w:rPr>
          <w:rFonts w:hint="eastAsia" w:ascii="仿宋" w:hAnsi="仿宋" w:eastAsia="仿宋"/>
          <w:b/>
          <w:color w:val="auto"/>
          <w:sz w:val="24"/>
          <w:szCs w:val="24"/>
        </w:rPr>
      </w:pPr>
    </w:p>
    <w:p>
      <w:pPr>
        <w:spacing w:beforeLines="50"/>
        <w:outlineLvl w:val="0"/>
        <w:rPr>
          <w:rFonts w:hint="eastAsia" w:ascii="仿宋" w:hAnsi="仿宋" w:eastAsia="仿宋"/>
          <w:b/>
          <w:color w:val="auto"/>
          <w:sz w:val="24"/>
          <w:szCs w:val="24"/>
        </w:rPr>
      </w:pPr>
    </w:p>
    <w:p>
      <w:pPr>
        <w:numPr>
          <w:ilvl w:val="0"/>
          <w:numId w:val="0"/>
        </w:numPr>
        <w:spacing w:beforeLines="50"/>
        <w:outlineLvl w:val="0"/>
        <w:rPr>
          <w:rFonts w:hint="eastAsia" w:ascii="仿宋" w:hAnsi="仿宋" w:eastAsia="仿宋"/>
          <w:b/>
          <w:color w:val="auto"/>
          <w:sz w:val="24"/>
          <w:szCs w:val="24"/>
        </w:rPr>
      </w:pPr>
      <w:r>
        <w:rPr>
          <w:rFonts w:hint="eastAsia" w:ascii="仿宋" w:hAnsi="仿宋" w:eastAsia="仿宋"/>
          <w:b/>
          <w:color w:val="auto"/>
          <w:sz w:val="24"/>
          <w:szCs w:val="24"/>
          <w:lang w:eastAsia="zh-CN"/>
        </w:rPr>
        <w:t>四、</w:t>
      </w:r>
      <w:r>
        <w:rPr>
          <w:rFonts w:hint="default" w:ascii="仿宋" w:hAnsi="仿宋" w:eastAsia="仿宋"/>
          <w:b/>
          <w:color w:val="auto"/>
          <w:sz w:val="24"/>
          <w:szCs w:val="24"/>
          <w:lang w:eastAsia="zh-CN"/>
        </w:rPr>
        <w:t>评分</w:t>
      </w:r>
      <w:r>
        <w:rPr>
          <w:rFonts w:hint="eastAsia" w:ascii="仿宋" w:hAnsi="仿宋" w:eastAsia="仿宋"/>
          <w:b/>
          <w:color w:val="auto"/>
          <w:sz w:val="24"/>
          <w:szCs w:val="24"/>
        </w:rPr>
        <w:t>调整</w:t>
      </w:r>
    </w:p>
    <w:p>
      <w:pPr>
        <w:spacing w:beforeLines="50"/>
        <w:ind w:firstLine="480" w:firstLineChars="200"/>
        <w:outlineLvl w:val="0"/>
        <w:rPr>
          <w:rFonts w:hint="eastAsia" w:ascii="仿宋" w:hAnsi="仿宋" w:eastAsia="仿宋"/>
          <w:color w:val="auto"/>
          <w:sz w:val="24"/>
          <w:szCs w:val="24"/>
          <w:lang w:eastAsia="zh-CN"/>
        </w:rPr>
      </w:pPr>
      <w:r>
        <w:rPr>
          <w:rFonts w:hint="default" w:ascii="仿宋" w:hAnsi="仿宋" w:eastAsia="仿宋"/>
          <w:color w:val="auto"/>
          <w:sz w:val="24"/>
          <w:szCs w:val="24"/>
          <w:lang w:eastAsia="zh-CN"/>
        </w:rPr>
        <w:t>评分</w:t>
      </w:r>
      <w:r>
        <w:rPr>
          <w:rFonts w:hint="eastAsia" w:ascii="仿宋" w:hAnsi="仿宋" w:eastAsia="仿宋"/>
          <w:color w:val="auto"/>
          <w:sz w:val="24"/>
          <w:szCs w:val="24"/>
          <w:lang w:eastAsia="zh-CN"/>
        </w:rPr>
        <w:t>调整主要反映证券公司落实专项工作情况</w:t>
      </w:r>
      <w:r>
        <w:rPr>
          <w:rFonts w:hint="default" w:ascii="仿宋_GB2312" w:hAnsi="宋体" w:eastAsia="仿宋_GB2312" w:cs="宋体"/>
          <w:kern w:val="0"/>
          <w:sz w:val="24"/>
          <w:szCs w:val="24"/>
          <w:highlight w:val="none"/>
          <w:lang w:eastAsia="zh-CN"/>
        </w:rPr>
        <w:t>和投行业务发展</w:t>
      </w:r>
      <w:r>
        <w:rPr>
          <w:rFonts w:hint="eastAsia" w:ascii="仿宋_GB2312" w:hAnsi="宋体" w:eastAsia="仿宋_GB2312" w:cs="宋体"/>
          <w:kern w:val="0"/>
          <w:sz w:val="24"/>
          <w:szCs w:val="24"/>
          <w:highlight w:val="none"/>
          <w:lang w:eastAsia="zh-CN"/>
        </w:rPr>
        <w:t>情况，可以包括但不限于证券公司投行内控机制创新、投行信息系统建设、配合监管部门和自律组织开展工作</w:t>
      </w:r>
      <w:r>
        <w:rPr>
          <w:rFonts w:hint="default" w:ascii="仿宋_GB2312" w:hAnsi="宋体" w:eastAsia="仿宋_GB2312" w:cs="宋体"/>
          <w:kern w:val="0"/>
          <w:sz w:val="24"/>
          <w:szCs w:val="24"/>
          <w:highlight w:val="none"/>
          <w:lang w:eastAsia="zh-CN"/>
        </w:rPr>
        <w:t>、投行业务规模</w:t>
      </w:r>
      <w:r>
        <w:rPr>
          <w:rFonts w:hint="eastAsia" w:ascii="仿宋_GB2312" w:hAnsi="宋体" w:eastAsia="仿宋_GB2312" w:cs="宋体"/>
          <w:kern w:val="0"/>
          <w:sz w:val="24"/>
          <w:szCs w:val="24"/>
          <w:highlight w:val="none"/>
          <w:lang w:eastAsia="zh-CN"/>
        </w:rPr>
        <w:t>等。</w:t>
      </w:r>
    </w:p>
    <w:p>
      <w:pPr>
        <w:spacing w:beforeLines="50"/>
        <w:ind w:firstLine="480" w:firstLineChars="200"/>
        <w:outlineLvl w:val="0"/>
        <w:rPr>
          <w:rFonts w:hint="eastAsia" w:ascii="仿宋_GB2312" w:hAnsi="宋体" w:eastAsia="仿宋_GB2312" w:cs="宋体"/>
          <w:kern w:val="0"/>
          <w:sz w:val="24"/>
          <w:szCs w:val="24"/>
          <w:highlight w:val="none"/>
          <w:lang w:eastAsia="zh-CN"/>
        </w:rPr>
      </w:pPr>
    </w:p>
    <w:tbl>
      <w:tblPr>
        <w:tblStyle w:val="10"/>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3872"/>
        <w:gridCol w:w="2"/>
        <w:gridCol w:w="4152"/>
        <w:gridCol w:w="1134"/>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0" w:type="dxa"/>
            <w:vAlign w:val="center"/>
          </w:tcPr>
          <w:p>
            <w:pPr>
              <w:jc w:val="center"/>
              <w:rPr>
                <w:rFonts w:ascii="仿宋" w:hAnsi="仿宋" w:eastAsia="仿宋"/>
                <w:b/>
                <w:color w:val="auto"/>
                <w:sz w:val="21"/>
                <w:szCs w:val="24"/>
              </w:rPr>
            </w:pPr>
            <w:r>
              <w:rPr>
                <w:rFonts w:hint="eastAsia" w:ascii="仿宋" w:hAnsi="仿宋" w:eastAsia="仿宋"/>
                <w:b/>
                <w:color w:val="auto"/>
                <w:sz w:val="21"/>
                <w:szCs w:val="24"/>
              </w:rPr>
              <w:t>一级评价指标</w:t>
            </w:r>
          </w:p>
        </w:tc>
        <w:tc>
          <w:tcPr>
            <w:tcW w:w="3874" w:type="dxa"/>
            <w:gridSpan w:val="2"/>
            <w:vAlign w:val="center"/>
          </w:tcPr>
          <w:p>
            <w:pPr>
              <w:jc w:val="center"/>
              <w:rPr>
                <w:rFonts w:ascii="仿宋" w:hAnsi="仿宋" w:eastAsia="仿宋"/>
                <w:b/>
                <w:color w:val="auto"/>
                <w:sz w:val="21"/>
                <w:szCs w:val="24"/>
              </w:rPr>
            </w:pPr>
            <w:r>
              <w:rPr>
                <w:rFonts w:hint="eastAsia" w:ascii="仿宋" w:hAnsi="仿宋" w:eastAsia="仿宋"/>
                <w:b/>
                <w:color w:val="auto"/>
                <w:sz w:val="21"/>
                <w:szCs w:val="24"/>
              </w:rPr>
              <w:t>二级评价指标</w:t>
            </w:r>
          </w:p>
        </w:tc>
        <w:tc>
          <w:tcPr>
            <w:tcW w:w="4152" w:type="dxa"/>
            <w:vAlign w:val="center"/>
          </w:tcPr>
          <w:p>
            <w:pPr>
              <w:jc w:val="center"/>
              <w:rPr>
                <w:rFonts w:ascii="仿宋" w:hAnsi="仿宋" w:eastAsia="仿宋"/>
                <w:b/>
                <w:color w:val="auto"/>
                <w:sz w:val="21"/>
                <w:szCs w:val="24"/>
              </w:rPr>
            </w:pPr>
            <w:r>
              <w:rPr>
                <w:rFonts w:hint="eastAsia" w:ascii="仿宋" w:hAnsi="仿宋" w:eastAsia="仿宋"/>
                <w:b/>
                <w:color w:val="auto"/>
                <w:sz w:val="21"/>
                <w:szCs w:val="24"/>
              </w:rPr>
              <w:t>指标含义</w:t>
            </w:r>
          </w:p>
        </w:tc>
        <w:tc>
          <w:tcPr>
            <w:tcW w:w="1134" w:type="dxa"/>
            <w:vAlign w:val="center"/>
          </w:tcPr>
          <w:p>
            <w:pPr>
              <w:jc w:val="center"/>
              <w:rPr>
                <w:rFonts w:ascii="仿宋" w:hAnsi="仿宋" w:eastAsia="仿宋"/>
                <w:b/>
                <w:color w:val="auto"/>
                <w:sz w:val="21"/>
                <w:szCs w:val="24"/>
              </w:rPr>
            </w:pPr>
            <w:r>
              <w:rPr>
                <w:rFonts w:hint="eastAsia" w:ascii="仿宋" w:hAnsi="仿宋" w:eastAsia="仿宋"/>
                <w:b/>
                <w:color w:val="auto"/>
                <w:sz w:val="21"/>
                <w:szCs w:val="24"/>
              </w:rPr>
              <w:t>分值</w:t>
            </w:r>
          </w:p>
        </w:tc>
        <w:tc>
          <w:tcPr>
            <w:tcW w:w="3402" w:type="dxa"/>
            <w:vAlign w:val="center"/>
          </w:tcPr>
          <w:p>
            <w:pPr>
              <w:jc w:val="center"/>
              <w:rPr>
                <w:rFonts w:ascii="仿宋" w:hAnsi="仿宋" w:eastAsia="仿宋"/>
                <w:b/>
                <w:color w:val="auto"/>
                <w:sz w:val="21"/>
                <w:szCs w:val="24"/>
              </w:rPr>
            </w:pPr>
            <w:r>
              <w:rPr>
                <w:rFonts w:hint="eastAsia" w:ascii="仿宋" w:hAnsi="仿宋" w:eastAsia="仿宋"/>
                <w:b/>
                <w:color w:val="auto"/>
                <w:sz w:val="21"/>
                <w:szCs w:val="24"/>
              </w:rPr>
              <w:t>计分标准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0" w:type="dxa"/>
            <w:vMerge w:val="restart"/>
            <w:vAlign w:val="center"/>
          </w:tcPr>
          <w:p>
            <w:pPr>
              <w:jc w:val="both"/>
              <w:rPr>
                <w:rFonts w:ascii="仿宋" w:hAnsi="仿宋" w:eastAsia="仿宋"/>
                <w:color w:val="auto"/>
                <w:sz w:val="21"/>
                <w:szCs w:val="24"/>
              </w:rPr>
            </w:pPr>
            <w:r>
              <w:rPr>
                <w:rFonts w:ascii="仿宋" w:hAnsi="仿宋" w:eastAsia="仿宋"/>
                <w:color w:val="auto"/>
                <w:sz w:val="21"/>
                <w:szCs w:val="24"/>
              </w:rPr>
              <w:t>专项工作评价</w:t>
            </w:r>
          </w:p>
        </w:tc>
        <w:tc>
          <w:tcPr>
            <w:tcW w:w="3874" w:type="dxa"/>
            <w:gridSpan w:val="2"/>
            <w:vAlign w:val="center"/>
          </w:tcPr>
          <w:p>
            <w:pPr>
              <w:jc w:val="both"/>
              <w:rPr>
                <w:rFonts w:ascii="仿宋" w:hAnsi="仿宋" w:eastAsia="仿宋"/>
                <w:color w:val="auto"/>
                <w:sz w:val="21"/>
                <w:szCs w:val="24"/>
              </w:rPr>
            </w:pPr>
            <w:r>
              <w:rPr>
                <w:rFonts w:hint="eastAsia" w:ascii="仿宋" w:hAnsi="仿宋" w:eastAsia="仿宋"/>
                <w:color w:val="auto"/>
                <w:sz w:val="21"/>
                <w:szCs w:val="24"/>
              </w:rPr>
              <w:t>投行内控机制创新</w:t>
            </w:r>
          </w:p>
        </w:tc>
        <w:tc>
          <w:tcPr>
            <w:tcW w:w="4152" w:type="dxa"/>
            <w:vAlign w:val="center"/>
          </w:tcPr>
          <w:p>
            <w:pPr>
              <w:jc w:val="both"/>
              <w:rPr>
                <w:rFonts w:ascii="仿宋" w:hAnsi="仿宋" w:eastAsia="仿宋"/>
                <w:color w:val="auto"/>
                <w:sz w:val="21"/>
                <w:szCs w:val="24"/>
              </w:rPr>
            </w:pPr>
            <w:r>
              <w:rPr>
                <w:rFonts w:ascii="仿宋" w:hAnsi="仿宋" w:eastAsia="仿宋"/>
                <w:color w:val="auto"/>
                <w:sz w:val="21"/>
                <w:szCs w:val="24"/>
              </w:rPr>
              <w:t>投行业务内部控制机制的创新情况</w:t>
            </w:r>
          </w:p>
        </w:tc>
        <w:tc>
          <w:tcPr>
            <w:tcW w:w="1134" w:type="dxa"/>
            <w:vAlign w:val="center"/>
          </w:tcPr>
          <w:p>
            <w:pPr>
              <w:jc w:val="both"/>
              <w:rPr>
                <w:rFonts w:ascii="仿宋" w:hAnsi="仿宋" w:eastAsia="仿宋"/>
                <w:color w:val="auto"/>
                <w:sz w:val="21"/>
                <w:szCs w:val="24"/>
              </w:rPr>
            </w:pPr>
            <w:r>
              <w:rPr>
                <w:rFonts w:ascii="仿宋" w:hAnsi="仿宋" w:eastAsia="仿宋"/>
                <w:color w:val="auto"/>
                <w:sz w:val="21"/>
                <w:szCs w:val="24"/>
              </w:rPr>
              <w:t>2/1/0</w:t>
            </w:r>
            <w:r>
              <w:rPr>
                <w:rFonts w:hint="eastAsia" w:ascii="仿宋" w:hAnsi="仿宋" w:eastAsia="仿宋"/>
                <w:color w:val="auto"/>
                <w:sz w:val="21"/>
                <w:szCs w:val="24"/>
              </w:rPr>
              <w:t>.5</w:t>
            </w:r>
          </w:p>
        </w:tc>
        <w:tc>
          <w:tcPr>
            <w:tcW w:w="3402" w:type="dxa"/>
            <w:vMerge w:val="restart"/>
            <w:vAlign w:val="center"/>
          </w:tcPr>
          <w:p>
            <w:pPr>
              <w:jc w:val="both"/>
              <w:rPr>
                <w:rFonts w:ascii="仿宋" w:hAnsi="仿宋" w:eastAsia="仿宋"/>
                <w:color w:val="auto"/>
                <w:sz w:val="21"/>
                <w:szCs w:val="24"/>
              </w:rPr>
            </w:pPr>
            <w:r>
              <w:rPr>
                <w:rFonts w:hint="eastAsia" w:ascii="仿宋" w:hAnsi="仿宋" w:eastAsia="仿宋"/>
                <w:color w:val="auto"/>
                <w:sz w:val="21"/>
                <w:szCs w:val="24"/>
              </w:rPr>
              <w:t>专项工作评价最高调整不超过6分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0" w:type="dxa"/>
            <w:vMerge w:val="continue"/>
            <w:vAlign w:val="center"/>
          </w:tcPr>
          <w:p>
            <w:pPr>
              <w:jc w:val="both"/>
              <w:rPr>
                <w:rFonts w:ascii="仿宋" w:hAnsi="仿宋" w:eastAsia="仿宋"/>
                <w:color w:val="auto"/>
                <w:sz w:val="21"/>
                <w:szCs w:val="24"/>
              </w:rPr>
            </w:pPr>
          </w:p>
        </w:tc>
        <w:tc>
          <w:tcPr>
            <w:tcW w:w="3874" w:type="dxa"/>
            <w:gridSpan w:val="2"/>
            <w:vAlign w:val="center"/>
          </w:tcPr>
          <w:p>
            <w:pPr>
              <w:jc w:val="both"/>
              <w:rPr>
                <w:rFonts w:ascii="仿宋" w:hAnsi="仿宋" w:eastAsia="仿宋"/>
                <w:color w:val="auto"/>
                <w:sz w:val="21"/>
                <w:szCs w:val="24"/>
              </w:rPr>
            </w:pPr>
            <w:r>
              <w:rPr>
                <w:rFonts w:hint="eastAsia" w:ascii="仿宋" w:hAnsi="仿宋" w:eastAsia="仿宋"/>
                <w:color w:val="auto"/>
                <w:sz w:val="21"/>
                <w:szCs w:val="24"/>
              </w:rPr>
              <w:t>投行信息系统建设</w:t>
            </w:r>
          </w:p>
        </w:tc>
        <w:tc>
          <w:tcPr>
            <w:tcW w:w="4152" w:type="dxa"/>
            <w:vAlign w:val="center"/>
          </w:tcPr>
          <w:p>
            <w:pPr>
              <w:jc w:val="both"/>
              <w:rPr>
                <w:rFonts w:ascii="仿宋" w:hAnsi="仿宋" w:eastAsia="仿宋"/>
                <w:color w:val="auto"/>
                <w:sz w:val="21"/>
                <w:szCs w:val="24"/>
              </w:rPr>
            </w:pPr>
            <w:r>
              <w:rPr>
                <w:rFonts w:hint="eastAsia" w:ascii="仿宋" w:hAnsi="仿宋" w:eastAsia="仿宋"/>
                <w:color w:val="auto"/>
                <w:sz w:val="21"/>
                <w:szCs w:val="24"/>
              </w:rPr>
              <w:t>投行信息系统建设情况</w:t>
            </w:r>
          </w:p>
        </w:tc>
        <w:tc>
          <w:tcPr>
            <w:tcW w:w="1134" w:type="dxa"/>
            <w:vAlign w:val="center"/>
          </w:tcPr>
          <w:p>
            <w:pPr>
              <w:jc w:val="both"/>
              <w:rPr>
                <w:rFonts w:ascii="仿宋" w:hAnsi="仿宋" w:eastAsia="仿宋"/>
                <w:color w:val="auto"/>
                <w:sz w:val="21"/>
                <w:szCs w:val="24"/>
              </w:rPr>
            </w:pPr>
            <w:r>
              <w:rPr>
                <w:rFonts w:ascii="仿宋" w:hAnsi="仿宋" w:eastAsia="仿宋"/>
                <w:color w:val="auto"/>
                <w:sz w:val="21"/>
                <w:szCs w:val="24"/>
              </w:rPr>
              <w:t>2/1/0</w:t>
            </w:r>
            <w:r>
              <w:rPr>
                <w:rFonts w:hint="eastAsia" w:ascii="仿宋" w:hAnsi="仿宋" w:eastAsia="仿宋"/>
                <w:color w:val="auto"/>
                <w:sz w:val="21"/>
                <w:szCs w:val="24"/>
              </w:rPr>
              <w:t>.5</w:t>
            </w:r>
          </w:p>
        </w:tc>
        <w:tc>
          <w:tcPr>
            <w:tcW w:w="3402" w:type="dxa"/>
            <w:vMerge w:val="continue"/>
            <w:vAlign w:val="center"/>
          </w:tcPr>
          <w:p>
            <w:pPr>
              <w:jc w:val="both"/>
              <w:rPr>
                <w:rFonts w:ascii="仿宋" w:hAnsi="仿宋" w:eastAsia="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0" w:type="dxa"/>
            <w:vMerge w:val="continue"/>
            <w:vAlign w:val="center"/>
          </w:tcPr>
          <w:p>
            <w:pPr>
              <w:jc w:val="both"/>
              <w:rPr>
                <w:rFonts w:ascii="仿宋" w:hAnsi="仿宋" w:eastAsia="仿宋"/>
                <w:color w:val="auto"/>
                <w:sz w:val="21"/>
                <w:szCs w:val="24"/>
              </w:rPr>
            </w:pPr>
          </w:p>
        </w:tc>
        <w:tc>
          <w:tcPr>
            <w:tcW w:w="3874" w:type="dxa"/>
            <w:gridSpan w:val="2"/>
            <w:vAlign w:val="center"/>
          </w:tcPr>
          <w:p>
            <w:pPr>
              <w:jc w:val="both"/>
              <w:rPr>
                <w:rFonts w:ascii="仿宋" w:hAnsi="仿宋" w:eastAsia="仿宋"/>
                <w:color w:val="auto"/>
                <w:sz w:val="21"/>
                <w:szCs w:val="24"/>
              </w:rPr>
            </w:pPr>
            <w:r>
              <w:rPr>
                <w:rFonts w:hint="eastAsia" w:ascii="仿宋" w:hAnsi="仿宋" w:eastAsia="仿宋"/>
                <w:color w:val="auto"/>
                <w:sz w:val="21"/>
                <w:szCs w:val="24"/>
              </w:rPr>
              <w:t>配合监管部门和自律组织开展工作情况</w:t>
            </w:r>
          </w:p>
        </w:tc>
        <w:tc>
          <w:tcPr>
            <w:tcW w:w="4152" w:type="dxa"/>
            <w:vAlign w:val="center"/>
          </w:tcPr>
          <w:p>
            <w:pPr>
              <w:jc w:val="both"/>
              <w:rPr>
                <w:rFonts w:ascii="仿宋" w:hAnsi="仿宋" w:eastAsia="仿宋"/>
                <w:color w:val="auto"/>
                <w:sz w:val="21"/>
                <w:szCs w:val="24"/>
              </w:rPr>
            </w:pPr>
            <w:r>
              <w:rPr>
                <w:rFonts w:hint="eastAsia" w:ascii="仿宋" w:hAnsi="仿宋" w:eastAsia="仿宋"/>
                <w:color w:val="auto"/>
                <w:sz w:val="21"/>
                <w:szCs w:val="24"/>
              </w:rPr>
              <w:t>配合监管部门、行业自律组织开展工作情况</w:t>
            </w:r>
          </w:p>
        </w:tc>
        <w:tc>
          <w:tcPr>
            <w:tcW w:w="1134" w:type="dxa"/>
            <w:vAlign w:val="center"/>
          </w:tcPr>
          <w:p>
            <w:pPr>
              <w:jc w:val="both"/>
              <w:rPr>
                <w:rFonts w:ascii="仿宋" w:hAnsi="仿宋" w:eastAsia="仿宋"/>
                <w:color w:val="auto"/>
                <w:sz w:val="21"/>
                <w:szCs w:val="24"/>
              </w:rPr>
            </w:pPr>
            <w:r>
              <w:rPr>
                <w:rFonts w:ascii="仿宋" w:hAnsi="仿宋" w:eastAsia="仿宋"/>
                <w:color w:val="auto"/>
                <w:sz w:val="21"/>
                <w:szCs w:val="24"/>
              </w:rPr>
              <w:t>2/1/0</w:t>
            </w:r>
            <w:r>
              <w:rPr>
                <w:rFonts w:hint="eastAsia" w:ascii="仿宋" w:hAnsi="仿宋" w:eastAsia="仿宋"/>
                <w:color w:val="auto"/>
                <w:sz w:val="21"/>
                <w:szCs w:val="24"/>
              </w:rPr>
              <w:t>.5</w:t>
            </w:r>
          </w:p>
        </w:tc>
        <w:tc>
          <w:tcPr>
            <w:tcW w:w="3402" w:type="dxa"/>
            <w:vMerge w:val="continue"/>
            <w:vAlign w:val="center"/>
          </w:tcPr>
          <w:p>
            <w:pPr>
              <w:jc w:val="both"/>
              <w:rPr>
                <w:rFonts w:ascii="仿宋" w:hAnsi="仿宋" w:eastAsia="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0" w:type="dxa"/>
            <w:vMerge w:val="restart"/>
            <w:vAlign w:val="center"/>
          </w:tcPr>
          <w:p>
            <w:pPr>
              <w:jc w:val="both"/>
              <w:rPr>
                <w:rFonts w:hint="default" w:ascii="仿宋" w:hAnsi="仿宋" w:eastAsia="仿宋"/>
                <w:color w:val="auto"/>
                <w:sz w:val="21"/>
                <w:szCs w:val="24"/>
              </w:rPr>
            </w:pPr>
            <w:r>
              <w:rPr>
                <w:rFonts w:hint="default" w:ascii="仿宋" w:hAnsi="仿宋" w:eastAsia="仿宋"/>
                <w:color w:val="auto"/>
                <w:sz w:val="21"/>
                <w:szCs w:val="24"/>
                <w:lang w:eastAsia="zh-CN"/>
              </w:rPr>
              <w:t>投行业务发展情况</w:t>
            </w:r>
          </w:p>
        </w:tc>
        <w:tc>
          <w:tcPr>
            <w:tcW w:w="3872" w:type="dxa"/>
            <w:vAlign w:val="center"/>
          </w:tcPr>
          <w:p>
            <w:pPr>
              <w:jc w:val="both"/>
              <w:rPr>
                <w:rFonts w:hint="default" w:ascii="仿宋" w:hAnsi="仿宋" w:eastAsia="仿宋"/>
                <w:color w:val="auto"/>
                <w:sz w:val="21"/>
                <w:szCs w:val="24"/>
              </w:rPr>
            </w:pPr>
            <w:r>
              <w:rPr>
                <w:rFonts w:hint="default" w:ascii="仿宋" w:hAnsi="仿宋" w:eastAsia="仿宋"/>
                <w:color w:val="auto"/>
                <w:sz w:val="21"/>
                <w:szCs w:val="24"/>
                <w:lang w:eastAsia="zh-CN"/>
              </w:rPr>
              <w:t>投行业务规模</w:t>
            </w:r>
          </w:p>
        </w:tc>
        <w:tc>
          <w:tcPr>
            <w:tcW w:w="4154" w:type="dxa"/>
            <w:gridSpan w:val="2"/>
            <w:vAlign w:val="center"/>
          </w:tcPr>
          <w:p>
            <w:pPr>
              <w:jc w:val="both"/>
              <w:rPr>
                <w:rFonts w:hint="default" w:ascii="仿宋" w:hAnsi="仿宋" w:eastAsia="仿宋"/>
                <w:color w:val="auto"/>
                <w:sz w:val="21"/>
                <w:szCs w:val="24"/>
                <w:lang w:eastAsia="zh-CN"/>
              </w:rPr>
            </w:pPr>
            <w:r>
              <w:rPr>
                <w:rFonts w:hint="default" w:ascii="仿宋" w:hAnsi="仿宋" w:eastAsia="仿宋"/>
                <w:color w:val="auto"/>
                <w:sz w:val="21"/>
                <w:szCs w:val="24"/>
                <w:lang w:eastAsia="zh-CN"/>
              </w:rPr>
              <w:t>项目数量等情况</w:t>
            </w:r>
          </w:p>
        </w:tc>
        <w:tc>
          <w:tcPr>
            <w:tcW w:w="1134" w:type="dxa"/>
            <w:vAlign w:val="center"/>
          </w:tcPr>
          <w:p>
            <w:pPr>
              <w:jc w:val="both"/>
              <w:rPr>
                <w:rFonts w:ascii="仿宋" w:hAnsi="仿宋" w:eastAsia="仿宋"/>
                <w:color w:val="auto"/>
                <w:sz w:val="21"/>
                <w:szCs w:val="24"/>
              </w:rPr>
            </w:pPr>
          </w:p>
        </w:tc>
        <w:tc>
          <w:tcPr>
            <w:tcW w:w="3402" w:type="dxa"/>
            <w:vAlign w:val="center"/>
          </w:tcPr>
          <w:p>
            <w:pPr>
              <w:jc w:val="both"/>
              <w:rPr>
                <w:rFonts w:hint="default" w:ascii="仿宋" w:hAnsi="仿宋" w:eastAsia="仿宋"/>
                <w:color w:val="auto"/>
                <w:sz w:val="21"/>
                <w:szCs w:val="24"/>
              </w:rPr>
            </w:pPr>
            <w:r>
              <w:rPr>
                <w:rFonts w:ascii="仿宋" w:hAnsi="仿宋" w:eastAsia="仿宋"/>
                <w:color w:val="auto"/>
                <w:sz w:val="21"/>
                <w:szCs w:val="24"/>
              </w:rPr>
              <w:t>根据当年行业发展情况确定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0" w:type="dxa"/>
            <w:vMerge w:val="continue"/>
            <w:vAlign w:val="center"/>
          </w:tcPr>
          <w:p>
            <w:pPr>
              <w:jc w:val="both"/>
              <w:rPr>
                <w:rFonts w:hint="eastAsia" w:ascii="仿宋" w:hAnsi="仿宋" w:eastAsia="仿宋"/>
                <w:color w:val="auto"/>
                <w:sz w:val="21"/>
                <w:szCs w:val="24"/>
                <w:lang w:eastAsia="zh-CN"/>
              </w:rPr>
            </w:pPr>
          </w:p>
        </w:tc>
        <w:tc>
          <w:tcPr>
            <w:tcW w:w="3872" w:type="dxa"/>
            <w:vAlign w:val="center"/>
          </w:tcPr>
          <w:p>
            <w:pPr>
              <w:jc w:val="both"/>
              <w:rPr>
                <w:rFonts w:hint="default" w:ascii="仿宋" w:hAnsi="仿宋" w:eastAsia="仿宋"/>
                <w:color w:val="auto"/>
                <w:sz w:val="21"/>
                <w:szCs w:val="24"/>
                <w:lang w:eastAsia="zh-CN"/>
              </w:rPr>
            </w:pPr>
            <w:r>
              <w:rPr>
                <w:rFonts w:hint="default" w:ascii="仿宋" w:hAnsi="仿宋" w:eastAsia="仿宋"/>
                <w:color w:val="auto"/>
                <w:sz w:val="21"/>
                <w:szCs w:val="24"/>
                <w:lang w:eastAsia="zh-CN"/>
              </w:rPr>
              <w:t>其他</w:t>
            </w:r>
          </w:p>
        </w:tc>
        <w:tc>
          <w:tcPr>
            <w:tcW w:w="4154" w:type="dxa"/>
            <w:gridSpan w:val="2"/>
            <w:vAlign w:val="center"/>
          </w:tcPr>
          <w:p>
            <w:pPr>
              <w:jc w:val="both"/>
              <w:rPr>
                <w:rFonts w:hint="default" w:ascii="仿宋" w:hAnsi="仿宋" w:eastAsia="仿宋"/>
                <w:color w:val="auto"/>
                <w:sz w:val="21"/>
                <w:szCs w:val="24"/>
                <w:lang w:eastAsia="zh-CN"/>
              </w:rPr>
            </w:pPr>
            <w:r>
              <w:rPr>
                <w:rFonts w:hint="default" w:ascii="仿宋" w:hAnsi="仿宋" w:eastAsia="仿宋"/>
                <w:color w:val="auto"/>
                <w:sz w:val="21"/>
                <w:szCs w:val="24"/>
                <w:lang w:eastAsia="zh-CN"/>
              </w:rPr>
              <w:t>其他反映投行业务发展情况的指标</w:t>
            </w:r>
          </w:p>
        </w:tc>
        <w:tc>
          <w:tcPr>
            <w:tcW w:w="1134" w:type="dxa"/>
            <w:vAlign w:val="center"/>
          </w:tcPr>
          <w:p>
            <w:pPr>
              <w:jc w:val="both"/>
              <w:rPr>
                <w:rFonts w:ascii="仿宋" w:hAnsi="仿宋" w:eastAsia="仿宋"/>
                <w:color w:val="auto"/>
                <w:sz w:val="21"/>
                <w:szCs w:val="24"/>
              </w:rPr>
            </w:pPr>
          </w:p>
        </w:tc>
        <w:tc>
          <w:tcPr>
            <w:tcW w:w="3402" w:type="dxa"/>
            <w:vAlign w:val="center"/>
          </w:tcPr>
          <w:p>
            <w:pPr>
              <w:jc w:val="both"/>
              <w:rPr>
                <w:rFonts w:ascii="仿宋" w:hAnsi="仿宋" w:eastAsia="仿宋"/>
                <w:color w:val="auto"/>
                <w:sz w:val="21"/>
                <w:szCs w:val="24"/>
              </w:rPr>
            </w:pPr>
            <w:r>
              <w:rPr>
                <w:rFonts w:ascii="仿宋" w:hAnsi="仿宋" w:eastAsia="仿宋"/>
                <w:color w:val="auto"/>
                <w:sz w:val="21"/>
                <w:szCs w:val="24"/>
              </w:rPr>
              <w:t>根据当年行业发展情况确定</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50"/>
        <w:ind w:firstLine="480" w:firstLineChars="200"/>
        <w:jc w:val="both"/>
        <w:textAlignment w:val="auto"/>
        <w:outlineLvl w:val="0"/>
        <w:rPr>
          <w:rFonts w:hint="eastAsia" w:ascii="仿宋_GB2312" w:hAnsi="宋体" w:eastAsia="仿宋_GB2312" w:cs="宋体"/>
          <w:b w:val="0"/>
          <w:bCs w:val="0"/>
          <w:kern w:val="0"/>
          <w:sz w:val="24"/>
          <w:szCs w:val="24"/>
          <w:lang w:eastAsia="zh-CN"/>
        </w:rPr>
      </w:pPr>
    </w:p>
    <w:p>
      <w:pPr>
        <w:spacing w:before="156"/>
        <w:jc w:val="both"/>
        <w:rPr>
          <w:rFonts w:ascii="仿宋" w:hAnsi="仿宋" w:eastAsia="仿宋"/>
          <w:color w:val="auto"/>
          <w:sz w:val="24"/>
          <w:szCs w:val="24"/>
        </w:rPr>
      </w:pPr>
    </w:p>
    <w:sectPr>
      <w:footerReference r:id="rId3" w:type="default"/>
      <w:pgSz w:w="16838" w:h="11906" w:orient="landscape"/>
      <w:pgMar w:top="1803" w:right="1440" w:bottom="180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6153616"/>
    </w:sdtPr>
    <w:sdtContent>
      <w:p>
        <w:pPr>
          <w:pStyle w:val="4"/>
          <w:jc w:val="center"/>
        </w:pPr>
        <w:r>
          <w:fldChar w:fldCharType="begin"/>
        </w:r>
        <w:r>
          <w:instrText xml:space="preserve">PAGE   \* MERGEFORMAT</w:instrText>
        </w:r>
        <w:r>
          <w:fldChar w:fldCharType="separate"/>
        </w:r>
        <w:r>
          <w:rPr>
            <w:lang w:val="zh-CN"/>
          </w:rPr>
          <w:t>4</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drawingGridHorizontalSpacing w:val="10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025"/>
    <w:rsid w:val="00000AC3"/>
    <w:rsid w:val="000054D6"/>
    <w:rsid w:val="00012FD0"/>
    <w:rsid w:val="000173DE"/>
    <w:rsid w:val="0002260A"/>
    <w:rsid w:val="0004600B"/>
    <w:rsid w:val="0005754A"/>
    <w:rsid w:val="00063C50"/>
    <w:rsid w:val="0006601F"/>
    <w:rsid w:val="00074056"/>
    <w:rsid w:val="000966F7"/>
    <w:rsid w:val="000B5833"/>
    <w:rsid w:val="000D7882"/>
    <w:rsid w:val="000F5849"/>
    <w:rsid w:val="0012311A"/>
    <w:rsid w:val="0012598D"/>
    <w:rsid w:val="00135010"/>
    <w:rsid w:val="0013747C"/>
    <w:rsid w:val="00142194"/>
    <w:rsid w:val="001471D8"/>
    <w:rsid w:val="001605D7"/>
    <w:rsid w:val="00166233"/>
    <w:rsid w:val="0017278A"/>
    <w:rsid w:val="001771FE"/>
    <w:rsid w:val="0019540A"/>
    <w:rsid w:val="001B7BF6"/>
    <w:rsid w:val="001C6081"/>
    <w:rsid w:val="001E1203"/>
    <w:rsid w:val="001E2D78"/>
    <w:rsid w:val="001F0806"/>
    <w:rsid w:val="001F0D8E"/>
    <w:rsid w:val="001F448D"/>
    <w:rsid w:val="001F786B"/>
    <w:rsid w:val="0020184B"/>
    <w:rsid w:val="002151E5"/>
    <w:rsid w:val="00240784"/>
    <w:rsid w:val="0025045F"/>
    <w:rsid w:val="00251FCF"/>
    <w:rsid w:val="00253427"/>
    <w:rsid w:val="00253D55"/>
    <w:rsid w:val="00254534"/>
    <w:rsid w:val="00255284"/>
    <w:rsid w:val="0027579C"/>
    <w:rsid w:val="00275D77"/>
    <w:rsid w:val="00292F91"/>
    <w:rsid w:val="0029631C"/>
    <w:rsid w:val="002C0759"/>
    <w:rsid w:val="002D511E"/>
    <w:rsid w:val="002D6036"/>
    <w:rsid w:val="002D640F"/>
    <w:rsid w:val="002E1C59"/>
    <w:rsid w:val="002E1EC6"/>
    <w:rsid w:val="002F131A"/>
    <w:rsid w:val="002F6896"/>
    <w:rsid w:val="003026C5"/>
    <w:rsid w:val="00326025"/>
    <w:rsid w:val="00332791"/>
    <w:rsid w:val="003355EA"/>
    <w:rsid w:val="00341EC8"/>
    <w:rsid w:val="003455F8"/>
    <w:rsid w:val="0036169C"/>
    <w:rsid w:val="003656F6"/>
    <w:rsid w:val="00396A10"/>
    <w:rsid w:val="003A240B"/>
    <w:rsid w:val="003B0FC0"/>
    <w:rsid w:val="003C03B3"/>
    <w:rsid w:val="003D6811"/>
    <w:rsid w:val="0040734E"/>
    <w:rsid w:val="0041604F"/>
    <w:rsid w:val="00420A84"/>
    <w:rsid w:val="00420FE2"/>
    <w:rsid w:val="004224E9"/>
    <w:rsid w:val="00432752"/>
    <w:rsid w:val="00444185"/>
    <w:rsid w:val="004524A9"/>
    <w:rsid w:val="0045270C"/>
    <w:rsid w:val="0046135C"/>
    <w:rsid w:val="00467709"/>
    <w:rsid w:val="004822A4"/>
    <w:rsid w:val="00482F35"/>
    <w:rsid w:val="00484E63"/>
    <w:rsid w:val="0048501D"/>
    <w:rsid w:val="004A124A"/>
    <w:rsid w:val="004A55C7"/>
    <w:rsid w:val="004A72AF"/>
    <w:rsid w:val="004B2515"/>
    <w:rsid w:val="004B31C9"/>
    <w:rsid w:val="004B5141"/>
    <w:rsid w:val="004B6464"/>
    <w:rsid w:val="004B722C"/>
    <w:rsid w:val="004D1C5D"/>
    <w:rsid w:val="004D3164"/>
    <w:rsid w:val="004E6D81"/>
    <w:rsid w:val="004F5FD4"/>
    <w:rsid w:val="004F6FF1"/>
    <w:rsid w:val="004F7653"/>
    <w:rsid w:val="0050074F"/>
    <w:rsid w:val="00517F40"/>
    <w:rsid w:val="00526948"/>
    <w:rsid w:val="005344E6"/>
    <w:rsid w:val="00534800"/>
    <w:rsid w:val="005441FC"/>
    <w:rsid w:val="00545BF5"/>
    <w:rsid w:val="00561BD1"/>
    <w:rsid w:val="005835E3"/>
    <w:rsid w:val="005954E3"/>
    <w:rsid w:val="005A1C91"/>
    <w:rsid w:val="005B228B"/>
    <w:rsid w:val="005E7047"/>
    <w:rsid w:val="005E7136"/>
    <w:rsid w:val="005F52DD"/>
    <w:rsid w:val="006007F3"/>
    <w:rsid w:val="00637C1E"/>
    <w:rsid w:val="00643D50"/>
    <w:rsid w:val="006444D8"/>
    <w:rsid w:val="006464D9"/>
    <w:rsid w:val="00646891"/>
    <w:rsid w:val="0065472C"/>
    <w:rsid w:val="006641BF"/>
    <w:rsid w:val="0066610D"/>
    <w:rsid w:val="006770EA"/>
    <w:rsid w:val="006829BF"/>
    <w:rsid w:val="006A55B5"/>
    <w:rsid w:val="006B1C85"/>
    <w:rsid w:val="006B6F73"/>
    <w:rsid w:val="006B7401"/>
    <w:rsid w:val="006C3F18"/>
    <w:rsid w:val="006C7680"/>
    <w:rsid w:val="006F0826"/>
    <w:rsid w:val="006F1657"/>
    <w:rsid w:val="00706341"/>
    <w:rsid w:val="00711541"/>
    <w:rsid w:val="007132A5"/>
    <w:rsid w:val="0072067F"/>
    <w:rsid w:val="00720C77"/>
    <w:rsid w:val="007405FB"/>
    <w:rsid w:val="007419CE"/>
    <w:rsid w:val="00753165"/>
    <w:rsid w:val="00756066"/>
    <w:rsid w:val="00761878"/>
    <w:rsid w:val="00764827"/>
    <w:rsid w:val="00767C2B"/>
    <w:rsid w:val="0077026D"/>
    <w:rsid w:val="00791578"/>
    <w:rsid w:val="00791A57"/>
    <w:rsid w:val="007C38F5"/>
    <w:rsid w:val="007D43AF"/>
    <w:rsid w:val="007E1000"/>
    <w:rsid w:val="00805F0A"/>
    <w:rsid w:val="008149F1"/>
    <w:rsid w:val="008167EE"/>
    <w:rsid w:val="008362AE"/>
    <w:rsid w:val="008436B8"/>
    <w:rsid w:val="0084644F"/>
    <w:rsid w:val="00854F96"/>
    <w:rsid w:val="008574F6"/>
    <w:rsid w:val="008659AE"/>
    <w:rsid w:val="00872A2A"/>
    <w:rsid w:val="0088110D"/>
    <w:rsid w:val="008865E7"/>
    <w:rsid w:val="008A206F"/>
    <w:rsid w:val="008A524A"/>
    <w:rsid w:val="008B5384"/>
    <w:rsid w:val="008C457C"/>
    <w:rsid w:val="008C602C"/>
    <w:rsid w:val="008C783D"/>
    <w:rsid w:val="008D5AED"/>
    <w:rsid w:val="008D6468"/>
    <w:rsid w:val="008E2990"/>
    <w:rsid w:val="008E6614"/>
    <w:rsid w:val="008E6ADB"/>
    <w:rsid w:val="008F28F0"/>
    <w:rsid w:val="008F3C9E"/>
    <w:rsid w:val="008F43FE"/>
    <w:rsid w:val="00912E1C"/>
    <w:rsid w:val="00933A98"/>
    <w:rsid w:val="00933B13"/>
    <w:rsid w:val="00942C3F"/>
    <w:rsid w:val="009546A7"/>
    <w:rsid w:val="00960FEF"/>
    <w:rsid w:val="00963FF2"/>
    <w:rsid w:val="00980F9A"/>
    <w:rsid w:val="0099159D"/>
    <w:rsid w:val="00995103"/>
    <w:rsid w:val="009B3001"/>
    <w:rsid w:val="009B61BF"/>
    <w:rsid w:val="009D5223"/>
    <w:rsid w:val="009D68A3"/>
    <w:rsid w:val="009D6C25"/>
    <w:rsid w:val="009D77C3"/>
    <w:rsid w:val="009E5A83"/>
    <w:rsid w:val="009F0433"/>
    <w:rsid w:val="009F1C7C"/>
    <w:rsid w:val="009F495A"/>
    <w:rsid w:val="009F6A3C"/>
    <w:rsid w:val="009F76E9"/>
    <w:rsid w:val="009F7C5A"/>
    <w:rsid w:val="00A01C71"/>
    <w:rsid w:val="00A02F2E"/>
    <w:rsid w:val="00A232D8"/>
    <w:rsid w:val="00A260C4"/>
    <w:rsid w:val="00A37F8C"/>
    <w:rsid w:val="00A420F9"/>
    <w:rsid w:val="00A45498"/>
    <w:rsid w:val="00A476AB"/>
    <w:rsid w:val="00A55856"/>
    <w:rsid w:val="00A62D82"/>
    <w:rsid w:val="00A62E1A"/>
    <w:rsid w:val="00A6536C"/>
    <w:rsid w:val="00A77F71"/>
    <w:rsid w:val="00A87BA7"/>
    <w:rsid w:val="00A90B26"/>
    <w:rsid w:val="00AA3349"/>
    <w:rsid w:val="00AB485D"/>
    <w:rsid w:val="00AB5873"/>
    <w:rsid w:val="00AC39D1"/>
    <w:rsid w:val="00AD1B99"/>
    <w:rsid w:val="00AD2E2B"/>
    <w:rsid w:val="00AE038E"/>
    <w:rsid w:val="00AE3947"/>
    <w:rsid w:val="00AE5705"/>
    <w:rsid w:val="00AE67B6"/>
    <w:rsid w:val="00B13AEB"/>
    <w:rsid w:val="00B23163"/>
    <w:rsid w:val="00B6626B"/>
    <w:rsid w:val="00B67101"/>
    <w:rsid w:val="00B712A2"/>
    <w:rsid w:val="00B713EE"/>
    <w:rsid w:val="00B74E6D"/>
    <w:rsid w:val="00B750F0"/>
    <w:rsid w:val="00B832B6"/>
    <w:rsid w:val="00B91F17"/>
    <w:rsid w:val="00B94ABF"/>
    <w:rsid w:val="00BA4706"/>
    <w:rsid w:val="00BB4E0E"/>
    <w:rsid w:val="00BC3753"/>
    <w:rsid w:val="00BC7486"/>
    <w:rsid w:val="00BE091E"/>
    <w:rsid w:val="00BE5431"/>
    <w:rsid w:val="00BF4033"/>
    <w:rsid w:val="00BF59AE"/>
    <w:rsid w:val="00BF6100"/>
    <w:rsid w:val="00C03522"/>
    <w:rsid w:val="00C0415B"/>
    <w:rsid w:val="00C07745"/>
    <w:rsid w:val="00C344AE"/>
    <w:rsid w:val="00C42B11"/>
    <w:rsid w:val="00C5237F"/>
    <w:rsid w:val="00C54046"/>
    <w:rsid w:val="00C656EA"/>
    <w:rsid w:val="00C66B90"/>
    <w:rsid w:val="00C73E1E"/>
    <w:rsid w:val="00C7416C"/>
    <w:rsid w:val="00C818CE"/>
    <w:rsid w:val="00C81B40"/>
    <w:rsid w:val="00C90204"/>
    <w:rsid w:val="00CA42F8"/>
    <w:rsid w:val="00CA66E2"/>
    <w:rsid w:val="00CC3CB9"/>
    <w:rsid w:val="00CC4882"/>
    <w:rsid w:val="00CC5EE1"/>
    <w:rsid w:val="00CD2049"/>
    <w:rsid w:val="00CE0B1F"/>
    <w:rsid w:val="00CE26EB"/>
    <w:rsid w:val="00CE3DAF"/>
    <w:rsid w:val="00CF45BD"/>
    <w:rsid w:val="00D03183"/>
    <w:rsid w:val="00D04732"/>
    <w:rsid w:val="00D04815"/>
    <w:rsid w:val="00D1253B"/>
    <w:rsid w:val="00D156EF"/>
    <w:rsid w:val="00D20717"/>
    <w:rsid w:val="00D21D83"/>
    <w:rsid w:val="00D4307E"/>
    <w:rsid w:val="00D5298F"/>
    <w:rsid w:val="00D61137"/>
    <w:rsid w:val="00D62A92"/>
    <w:rsid w:val="00D70FDC"/>
    <w:rsid w:val="00D72862"/>
    <w:rsid w:val="00D76C07"/>
    <w:rsid w:val="00D855B0"/>
    <w:rsid w:val="00DB4594"/>
    <w:rsid w:val="00DC0164"/>
    <w:rsid w:val="00DC18B8"/>
    <w:rsid w:val="00DC22F3"/>
    <w:rsid w:val="00DC7DFB"/>
    <w:rsid w:val="00DD1833"/>
    <w:rsid w:val="00DE150F"/>
    <w:rsid w:val="00DE5751"/>
    <w:rsid w:val="00DE7C1A"/>
    <w:rsid w:val="00DF41EF"/>
    <w:rsid w:val="00DF68B1"/>
    <w:rsid w:val="00E048DF"/>
    <w:rsid w:val="00E1061D"/>
    <w:rsid w:val="00E2170B"/>
    <w:rsid w:val="00E25382"/>
    <w:rsid w:val="00E264E2"/>
    <w:rsid w:val="00E26F53"/>
    <w:rsid w:val="00E36727"/>
    <w:rsid w:val="00E41AF3"/>
    <w:rsid w:val="00E47DEA"/>
    <w:rsid w:val="00E53F03"/>
    <w:rsid w:val="00E57C0B"/>
    <w:rsid w:val="00E66F97"/>
    <w:rsid w:val="00E76205"/>
    <w:rsid w:val="00E7738E"/>
    <w:rsid w:val="00E81275"/>
    <w:rsid w:val="00E860AF"/>
    <w:rsid w:val="00E9237C"/>
    <w:rsid w:val="00E96093"/>
    <w:rsid w:val="00EA1547"/>
    <w:rsid w:val="00EA3161"/>
    <w:rsid w:val="00EB74C5"/>
    <w:rsid w:val="00EC1623"/>
    <w:rsid w:val="00EC4478"/>
    <w:rsid w:val="00ED2F33"/>
    <w:rsid w:val="00EE5789"/>
    <w:rsid w:val="00EF168F"/>
    <w:rsid w:val="00EF3056"/>
    <w:rsid w:val="00F15857"/>
    <w:rsid w:val="00F20DCB"/>
    <w:rsid w:val="00F30BD0"/>
    <w:rsid w:val="00F33F1D"/>
    <w:rsid w:val="00F5292C"/>
    <w:rsid w:val="00F65FCA"/>
    <w:rsid w:val="00F71F74"/>
    <w:rsid w:val="00F77677"/>
    <w:rsid w:val="00F81BE2"/>
    <w:rsid w:val="00F90546"/>
    <w:rsid w:val="00F93FF9"/>
    <w:rsid w:val="00FA248C"/>
    <w:rsid w:val="00FB255F"/>
    <w:rsid w:val="00FC4165"/>
    <w:rsid w:val="00FD20D0"/>
    <w:rsid w:val="00FF0F5D"/>
    <w:rsid w:val="1B56E6B9"/>
    <w:rsid w:val="1F76F196"/>
    <w:rsid w:val="1FDEF751"/>
    <w:rsid w:val="27EB9175"/>
    <w:rsid w:val="2EFDCE47"/>
    <w:rsid w:val="2FEDB963"/>
    <w:rsid w:val="31E5ED5F"/>
    <w:rsid w:val="3CE86852"/>
    <w:rsid w:val="3DBAB1B3"/>
    <w:rsid w:val="3DF6D362"/>
    <w:rsid w:val="3DFD3F0A"/>
    <w:rsid w:val="3DFE20CC"/>
    <w:rsid w:val="3E9F8007"/>
    <w:rsid w:val="3F3F1CD7"/>
    <w:rsid w:val="3FF724A9"/>
    <w:rsid w:val="42B7E922"/>
    <w:rsid w:val="47FFBBA6"/>
    <w:rsid w:val="4F470475"/>
    <w:rsid w:val="57DF3961"/>
    <w:rsid w:val="5963565E"/>
    <w:rsid w:val="5BBFE486"/>
    <w:rsid w:val="5BDEEC2E"/>
    <w:rsid w:val="5DB7ED49"/>
    <w:rsid w:val="5DB97E5D"/>
    <w:rsid w:val="5E1ECD4B"/>
    <w:rsid w:val="5EFF8523"/>
    <w:rsid w:val="5F9EA49E"/>
    <w:rsid w:val="5FBB0F34"/>
    <w:rsid w:val="5FBF5F8A"/>
    <w:rsid w:val="5FD836B6"/>
    <w:rsid w:val="675CD6AA"/>
    <w:rsid w:val="6ADDD6F2"/>
    <w:rsid w:val="6BCD2F67"/>
    <w:rsid w:val="6FB6BF1C"/>
    <w:rsid w:val="6FCE02A0"/>
    <w:rsid w:val="6FEBF61F"/>
    <w:rsid w:val="6FF3BD84"/>
    <w:rsid w:val="71FFAE6D"/>
    <w:rsid w:val="73ED4E29"/>
    <w:rsid w:val="753D426A"/>
    <w:rsid w:val="75E99E61"/>
    <w:rsid w:val="777DE68B"/>
    <w:rsid w:val="777FC3C8"/>
    <w:rsid w:val="77DF8630"/>
    <w:rsid w:val="7ABE9946"/>
    <w:rsid w:val="7BEF6E53"/>
    <w:rsid w:val="7BFB84C4"/>
    <w:rsid w:val="7BFE1DF3"/>
    <w:rsid w:val="7BFE5DD4"/>
    <w:rsid w:val="7BFE886E"/>
    <w:rsid w:val="7D7E2E2A"/>
    <w:rsid w:val="7DFE9487"/>
    <w:rsid w:val="7DFFABD1"/>
    <w:rsid w:val="7ECDBE58"/>
    <w:rsid w:val="7EFB33C4"/>
    <w:rsid w:val="7EFE8720"/>
    <w:rsid w:val="7EFFD72F"/>
    <w:rsid w:val="7FB702F6"/>
    <w:rsid w:val="7FBD0292"/>
    <w:rsid w:val="7FD228FA"/>
    <w:rsid w:val="7FFF589D"/>
    <w:rsid w:val="9DFD113A"/>
    <w:rsid w:val="9E670C5A"/>
    <w:rsid w:val="A7EF28F7"/>
    <w:rsid w:val="ADD30132"/>
    <w:rsid w:val="B3FE2BF8"/>
    <w:rsid w:val="B7FE08B8"/>
    <w:rsid w:val="BF3D3D54"/>
    <w:rsid w:val="BF5DC3BE"/>
    <w:rsid w:val="BFA9F507"/>
    <w:rsid w:val="BFEBEF20"/>
    <w:rsid w:val="BFEEF8DA"/>
    <w:rsid w:val="BFFF34D9"/>
    <w:rsid w:val="BFFFF996"/>
    <w:rsid w:val="C3FA7DA9"/>
    <w:rsid w:val="C4FEEB7A"/>
    <w:rsid w:val="C6AF82EA"/>
    <w:rsid w:val="D35F3451"/>
    <w:rsid w:val="D7DF5B6B"/>
    <w:rsid w:val="D7F487AE"/>
    <w:rsid w:val="D7FE4A5A"/>
    <w:rsid w:val="DDBFB661"/>
    <w:rsid w:val="DEF34A54"/>
    <w:rsid w:val="DFBB04FE"/>
    <w:rsid w:val="DFBFF9A3"/>
    <w:rsid w:val="DFDFEFE0"/>
    <w:rsid w:val="DFFB08CD"/>
    <w:rsid w:val="E6D79D93"/>
    <w:rsid w:val="E75B817D"/>
    <w:rsid w:val="E75FE5BD"/>
    <w:rsid w:val="E7F8AAF4"/>
    <w:rsid w:val="EE7F3598"/>
    <w:rsid w:val="EEF54A24"/>
    <w:rsid w:val="EFEFE1ED"/>
    <w:rsid w:val="F0DD0E27"/>
    <w:rsid w:val="F0DFA6CC"/>
    <w:rsid w:val="F1FC126C"/>
    <w:rsid w:val="F770CC6C"/>
    <w:rsid w:val="F77EE9AB"/>
    <w:rsid w:val="F7D74A3A"/>
    <w:rsid w:val="F7F692DB"/>
    <w:rsid w:val="F8FFF44D"/>
    <w:rsid w:val="F9ABE78C"/>
    <w:rsid w:val="F9F7A1EE"/>
    <w:rsid w:val="FB7754BB"/>
    <w:rsid w:val="FBACC69F"/>
    <w:rsid w:val="FBCFD891"/>
    <w:rsid w:val="FBE46D35"/>
    <w:rsid w:val="FBEB85F6"/>
    <w:rsid w:val="FCFD6EAC"/>
    <w:rsid w:val="FDDB91E0"/>
    <w:rsid w:val="FDFEDE3C"/>
    <w:rsid w:val="FDFF491A"/>
    <w:rsid w:val="FEEBCDEB"/>
    <w:rsid w:val="FF76DACE"/>
    <w:rsid w:val="FF9E1664"/>
    <w:rsid w:val="FFAB0E81"/>
    <w:rsid w:val="FFBFD16E"/>
    <w:rsid w:val="FFDB86D9"/>
    <w:rsid w:val="FFF3940A"/>
    <w:rsid w:val="FFFCFBBE"/>
    <w:rsid w:val="FFFEC003"/>
    <w:rsid w:val="FFFFCB38"/>
    <w:rsid w:val="FFFFE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style>
  <w:style w:type="paragraph" w:styleId="3">
    <w:name w:val="Balloon Text"/>
    <w:basedOn w:val="1"/>
    <w:link w:val="16"/>
    <w:semiHidden/>
    <w:unhideWhenUsed/>
    <w:qFormat/>
    <w:uiPriority w:val="99"/>
    <w:rPr>
      <w:sz w:val="18"/>
      <w:szCs w:val="18"/>
    </w:rPr>
  </w:style>
  <w:style w:type="paragraph" w:styleId="4">
    <w:name w:val="footer"/>
    <w:basedOn w:val="1"/>
    <w:link w:val="18"/>
    <w:unhideWhenUsed/>
    <w:qFormat/>
    <w:uiPriority w:val="99"/>
    <w:pPr>
      <w:tabs>
        <w:tab w:val="center" w:pos="4153"/>
        <w:tab w:val="right" w:pos="8306"/>
      </w:tabs>
      <w:snapToGrid w:val="0"/>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20"/>
    <w:semiHidden/>
    <w:unhideWhenUsed/>
    <w:qFormat/>
    <w:uiPriority w:val="99"/>
    <w:pPr>
      <w:snapToGrid w:val="0"/>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sz w:val="24"/>
      <w:szCs w:val="24"/>
    </w:rPr>
  </w:style>
  <w:style w:type="paragraph" w:styleId="8">
    <w:name w:val="annotation subject"/>
    <w:basedOn w:val="2"/>
    <w:next w:val="2"/>
    <w:link w:val="15"/>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character" w:styleId="13">
    <w:name w:val="footnote reference"/>
    <w:basedOn w:val="11"/>
    <w:semiHidden/>
    <w:unhideWhenUsed/>
    <w:qFormat/>
    <w:uiPriority w:val="99"/>
    <w:rPr>
      <w:vertAlign w:val="superscript"/>
    </w:rPr>
  </w:style>
  <w:style w:type="character" w:customStyle="1" w:styleId="14">
    <w:name w:val="批注文字 Char"/>
    <w:basedOn w:val="11"/>
    <w:link w:val="2"/>
    <w:semiHidden/>
    <w:qFormat/>
    <w:uiPriority w:val="99"/>
    <w:rPr>
      <w:rFonts w:ascii="Times New Roman" w:hAnsi="Times New Roman" w:eastAsia="宋体" w:cs="Times New Roman"/>
      <w:kern w:val="0"/>
      <w:sz w:val="20"/>
      <w:szCs w:val="20"/>
    </w:rPr>
  </w:style>
  <w:style w:type="character" w:customStyle="1" w:styleId="15">
    <w:name w:val="批注主题 Char"/>
    <w:basedOn w:val="14"/>
    <w:link w:val="8"/>
    <w:semiHidden/>
    <w:qFormat/>
    <w:uiPriority w:val="99"/>
    <w:rPr>
      <w:rFonts w:ascii="Times New Roman" w:hAnsi="Times New Roman" w:eastAsia="宋体" w:cs="Times New Roman"/>
      <w:b/>
      <w:bCs/>
      <w:kern w:val="0"/>
      <w:sz w:val="20"/>
      <w:szCs w:val="20"/>
    </w:rPr>
  </w:style>
  <w:style w:type="character" w:customStyle="1" w:styleId="16">
    <w:name w:val="批注框文本 Char"/>
    <w:basedOn w:val="11"/>
    <w:link w:val="3"/>
    <w:semiHidden/>
    <w:qFormat/>
    <w:uiPriority w:val="99"/>
    <w:rPr>
      <w:rFonts w:ascii="Times New Roman" w:hAnsi="Times New Roman" w:eastAsia="宋体" w:cs="Times New Roman"/>
      <w:kern w:val="0"/>
      <w:sz w:val="18"/>
      <w:szCs w:val="18"/>
    </w:rPr>
  </w:style>
  <w:style w:type="character" w:customStyle="1" w:styleId="17">
    <w:name w:val="页眉 Char"/>
    <w:basedOn w:val="11"/>
    <w:link w:val="5"/>
    <w:qFormat/>
    <w:uiPriority w:val="99"/>
    <w:rPr>
      <w:rFonts w:ascii="Times New Roman" w:hAnsi="Times New Roman" w:eastAsia="宋体" w:cs="Times New Roman"/>
      <w:kern w:val="0"/>
      <w:sz w:val="18"/>
      <w:szCs w:val="18"/>
    </w:rPr>
  </w:style>
  <w:style w:type="character" w:customStyle="1" w:styleId="18">
    <w:name w:val="页脚 Char"/>
    <w:basedOn w:val="11"/>
    <w:link w:val="4"/>
    <w:qFormat/>
    <w:uiPriority w:val="99"/>
    <w:rPr>
      <w:rFonts w:ascii="Times New Roman" w:hAnsi="Times New Roman" w:eastAsia="宋体" w:cs="Times New Roman"/>
      <w:kern w:val="0"/>
      <w:sz w:val="18"/>
      <w:szCs w:val="18"/>
    </w:rPr>
  </w:style>
  <w:style w:type="paragraph" w:styleId="19">
    <w:name w:val="List Paragraph"/>
    <w:basedOn w:val="1"/>
    <w:unhideWhenUsed/>
    <w:qFormat/>
    <w:uiPriority w:val="99"/>
    <w:pPr>
      <w:ind w:firstLine="420" w:firstLineChars="200"/>
    </w:pPr>
  </w:style>
  <w:style w:type="character" w:customStyle="1" w:styleId="20">
    <w:name w:val="脚注文本 Char"/>
    <w:basedOn w:val="11"/>
    <w:link w:val="6"/>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1051</Words>
  <Characters>5997</Characters>
  <Lines>49</Lines>
  <Paragraphs>14</Paragraphs>
  <TotalTime>8</TotalTime>
  <ScaleCrop>false</ScaleCrop>
  <LinksUpToDate>false</LinksUpToDate>
  <CharactersWithSpaces>7034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2021-09-07T13:46:00Z</dcterms:created>
  <dc:creator>Han Zhang (IB)</dc:creator>
  <cp:lastModifiedBy> </cp:lastModifiedBy>
  <cp:lastPrinted>2022-07-31T01:35:00Z</cp:lastPrinted>
  <dcterms:modified xsi:type="dcterms:W3CDTF">2022-10-13T14:21:17Z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