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tabs>
          <w:tab w:val="left" w:pos="1440"/>
        </w:tabs>
        <w:jc w:val="left"/>
        <w:rPr>
          <w:rFonts w:ascii="黑体" w:hAnsi="黑体" w:eastAsia="黑体" w:cs="黑体"/>
          <w:b/>
          <w:sz w:val="32"/>
          <w:szCs w:val="28"/>
        </w:rPr>
      </w:pPr>
      <w:bookmarkStart w:id="1" w:name="_GoBack"/>
      <w:bookmarkStart w:id="0" w:name="_Toc69746878"/>
    </w:p>
    <w:p>
      <w:pPr>
        <w:shd w:val="clear"/>
        <w:tabs>
          <w:tab w:val="left" w:pos="1440"/>
        </w:tabs>
        <w:jc w:val="center"/>
        <w:rPr>
          <w:rFonts w:ascii="方正小标宋简体" w:hAnsi="华文中宋" w:eastAsia="方正小标宋简体"/>
          <w:bCs/>
          <w:sz w:val="28"/>
          <w:szCs w:val="28"/>
        </w:rPr>
      </w:pPr>
    </w:p>
    <w:p>
      <w:pPr>
        <w:shd w:val="clear"/>
        <w:tabs>
          <w:tab w:val="left" w:pos="1440"/>
        </w:tabs>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公司债券受托管理人处置公司债券</w:t>
      </w:r>
    </w:p>
    <w:p>
      <w:pPr>
        <w:shd w:val="clear"/>
        <w:tabs>
          <w:tab w:val="left" w:pos="1440"/>
        </w:tabs>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违约风险指引</w:t>
      </w:r>
      <w:bookmarkEnd w:id="0"/>
    </w:p>
    <w:p>
      <w:pPr>
        <w:widowControl/>
        <w:shd w:val="clear" w:color="auto"/>
        <w:rPr>
          <w:rFonts w:ascii="仿宋_GB2312" w:hAnsi="宋体" w:eastAsia="仿宋_GB2312" w:cs="宋体"/>
          <w:color w:val="000000"/>
          <w:kern w:val="0"/>
          <w:sz w:val="28"/>
          <w:szCs w:val="28"/>
        </w:rPr>
      </w:pPr>
    </w:p>
    <w:p>
      <w:pPr>
        <w:widowControl/>
        <w:shd w:val="clear" w:color="auto"/>
        <w:jc w:val="center"/>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 xml:space="preserve">第一章 </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b/>
          <w:bCs/>
          <w:color w:val="000000"/>
          <w:kern w:val="0"/>
          <w:sz w:val="32"/>
          <w:szCs w:val="32"/>
        </w:rPr>
        <w:t>总则</w:t>
      </w:r>
    </w:p>
    <w:p>
      <w:pPr>
        <w:widowControl/>
        <w:shd w:val="clear" w:color="auto"/>
        <w:ind w:firstLine="643" w:firstLineChars="20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第一条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为规范公司债券受托管理人（以下简称受托管理人）处置公司债券违约风险的行为，保护投资者合法权益，根据《公司债券发行与交易管理办法》《中国人民银行</w:t>
      </w:r>
      <w:r>
        <w:rPr>
          <w:rFonts w:ascii="仿宋_GB2312" w:hAnsi="仿宋_GB2312"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发展改革委 证监会关于公司信用类债券违约处置有关事宜的通知》《公司债券受托管理人执业行为准则》等部门规章、行政规范性文件和自律规则，制定本指引。</w:t>
      </w:r>
    </w:p>
    <w:p>
      <w:pPr>
        <w:widowControl/>
        <w:shd w:val="clear" w:color="auto"/>
        <w:ind w:firstLine="555"/>
        <w:jc w:val="left"/>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第二条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受托管理人处置公司债券违约风险，应当按照本指引要求开展相关工作。</w:t>
      </w:r>
    </w:p>
    <w:p>
      <w:pPr>
        <w:widowControl/>
        <w:shd w:val="clear" w:color="auto"/>
        <w:ind w:firstLine="555"/>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本指引所称公司债券违约风险是指发行人偿还公司债券本息存在重大不确定性（以下简称潜在违约），与发行人未能按期足额偿还公司债券本息、</w:t>
      </w:r>
      <w:r>
        <w:rPr>
          <w:rFonts w:ascii="仿宋_GB2312" w:hAnsi="仿宋_GB2312" w:eastAsia="仿宋_GB2312" w:cs="宋体"/>
          <w:color w:val="000000"/>
          <w:kern w:val="0"/>
          <w:sz w:val="32"/>
          <w:szCs w:val="32"/>
        </w:rPr>
        <w:t>法院受理发行人破产申请</w:t>
      </w:r>
      <w:r>
        <w:rPr>
          <w:rFonts w:hint="eastAsia" w:ascii="仿宋_GB2312" w:hAnsi="仿宋_GB2312" w:eastAsia="仿宋_GB2312" w:cs="宋体"/>
          <w:color w:val="000000"/>
          <w:kern w:val="0"/>
          <w:sz w:val="32"/>
          <w:szCs w:val="32"/>
        </w:rPr>
        <w:t>或因发</w:t>
      </w:r>
      <w:r>
        <w:rPr>
          <w:rFonts w:ascii="仿宋_GB2312" w:hAnsi="仿宋_GB2312" w:eastAsia="仿宋_GB2312" w:cs="宋体"/>
          <w:color w:val="000000"/>
          <w:kern w:val="0"/>
          <w:sz w:val="32"/>
          <w:szCs w:val="32"/>
        </w:rPr>
        <w:t>生募集说明书等</w:t>
      </w:r>
      <w:r>
        <w:rPr>
          <w:rFonts w:hint="eastAsia" w:ascii="仿宋_GB2312" w:hAnsi="仿宋_GB2312" w:eastAsia="仿宋_GB2312" w:cs="宋体"/>
          <w:color w:val="000000"/>
          <w:kern w:val="0"/>
          <w:sz w:val="32"/>
          <w:szCs w:val="32"/>
        </w:rPr>
        <w:t>约定的情形导致公司债券提前到期且发行人未能按期足额偿付本息（以下简称实质违约）。</w:t>
      </w:r>
    </w:p>
    <w:p>
      <w:pPr>
        <w:widowControl/>
        <w:shd w:val="clear" w:color="auto"/>
        <w:ind w:firstLine="560"/>
        <w:rPr>
          <w:rFonts w:ascii="仿宋_GB2312" w:hAnsi="仿宋_GB2312" w:eastAsia="仿宋_GB2312" w:cs="宋体"/>
          <w:color w:val="000000"/>
          <w:kern w:val="0"/>
          <w:sz w:val="32"/>
          <w:szCs w:val="32"/>
        </w:rPr>
      </w:pPr>
      <w:r>
        <w:rPr>
          <w:rFonts w:ascii="仿宋_GB2312" w:hAnsi="仿宋_GB2312" w:eastAsia="仿宋_GB2312" w:cs="宋体"/>
          <w:color w:val="000000"/>
          <w:kern w:val="0"/>
          <w:sz w:val="32"/>
          <w:szCs w:val="32"/>
        </w:rPr>
        <w:t>公司</w:t>
      </w:r>
      <w:r>
        <w:rPr>
          <w:rFonts w:hint="eastAsia" w:ascii="仿宋_GB2312" w:hAnsi="仿宋_GB2312" w:eastAsia="仿宋_GB2312" w:cs="宋体"/>
          <w:color w:val="000000"/>
          <w:kern w:val="0"/>
          <w:sz w:val="32"/>
          <w:szCs w:val="32"/>
        </w:rPr>
        <w:t>债券</w:t>
      </w:r>
      <w:r>
        <w:rPr>
          <w:rFonts w:ascii="仿宋_GB2312" w:hAnsi="仿宋_GB2312" w:eastAsia="仿宋_GB2312" w:cs="宋体"/>
          <w:color w:val="000000"/>
          <w:kern w:val="0"/>
          <w:sz w:val="32"/>
          <w:szCs w:val="32"/>
        </w:rPr>
        <w:t>发行文件或发行人与持有人达成的其他约定设置宽限期</w:t>
      </w:r>
      <w:r>
        <w:rPr>
          <w:rFonts w:hint="eastAsia" w:ascii="仿宋_GB2312" w:hAnsi="仿宋_GB2312" w:eastAsia="仿宋_GB2312" w:cs="宋体"/>
          <w:color w:val="000000"/>
          <w:kern w:val="0"/>
          <w:sz w:val="32"/>
          <w:szCs w:val="32"/>
        </w:rPr>
        <w:t>或附提前清偿条款的</w:t>
      </w:r>
      <w:r>
        <w:rPr>
          <w:rFonts w:ascii="仿宋_GB2312" w:hAnsi="仿宋_GB2312" w:eastAsia="仿宋_GB2312" w:cs="宋体"/>
          <w:color w:val="000000"/>
          <w:kern w:val="0"/>
          <w:sz w:val="32"/>
          <w:szCs w:val="32"/>
        </w:rPr>
        <w:t>，</w:t>
      </w:r>
      <w:r>
        <w:rPr>
          <w:rFonts w:hint="eastAsia" w:ascii="仿宋_GB2312" w:hAnsi="仿宋_GB2312" w:eastAsia="仿宋_GB2312" w:cs="宋体"/>
          <w:color w:val="000000"/>
          <w:kern w:val="0"/>
          <w:sz w:val="32"/>
          <w:szCs w:val="32"/>
        </w:rPr>
        <w:t>实质</w:t>
      </w:r>
      <w:r>
        <w:rPr>
          <w:rFonts w:ascii="仿宋_GB2312" w:hAnsi="仿宋_GB2312" w:eastAsia="仿宋_GB2312" w:cs="宋体"/>
          <w:color w:val="000000"/>
          <w:kern w:val="0"/>
          <w:sz w:val="32"/>
          <w:szCs w:val="32"/>
        </w:rPr>
        <w:t>违约指截至宽限期届满日</w:t>
      </w:r>
      <w:r>
        <w:rPr>
          <w:rFonts w:hint="eastAsia" w:ascii="仿宋_GB2312" w:hAnsi="仿宋_GB2312" w:eastAsia="仿宋_GB2312" w:cs="宋体"/>
          <w:color w:val="000000"/>
          <w:kern w:val="0"/>
          <w:sz w:val="32"/>
          <w:szCs w:val="32"/>
        </w:rPr>
        <w:t>或</w:t>
      </w:r>
      <w:r>
        <w:rPr>
          <w:rFonts w:ascii="仿宋_GB2312" w:hAnsi="仿宋_GB2312" w:eastAsia="仿宋_GB2312" w:cs="宋体"/>
          <w:color w:val="000000"/>
          <w:kern w:val="0"/>
          <w:sz w:val="32"/>
          <w:szCs w:val="32"/>
        </w:rPr>
        <w:t>提前清偿条款生效仍未能履行足额偿付义务</w:t>
      </w:r>
      <w:r>
        <w:rPr>
          <w:rFonts w:hint="eastAsia" w:ascii="仿宋_GB2312" w:hAnsi="仿宋_GB2312" w:eastAsia="仿宋_GB2312" w:cs="宋体"/>
          <w:color w:val="000000"/>
          <w:kern w:val="0"/>
          <w:sz w:val="32"/>
          <w:szCs w:val="32"/>
        </w:rPr>
        <w:t>。</w:t>
      </w:r>
    </w:p>
    <w:p>
      <w:pPr>
        <w:widowControl/>
        <w:shd w:val="clear" w:color="auto"/>
        <w:ind w:firstLine="56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本指引未做规定的，受托管理人可以在符合相关规定以及公司债券受托管理协议（以下简称受托协议）约定前提下，采取其他必要措施，切实维护债券持有人的利益。其他证券自律组织另有规定的，从其规定。</w:t>
      </w:r>
    </w:p>
    <w:p>
      <w:pPr>
        <w:widowControl/>
        <w:shd w:val="clear" w:color="auto"/>
        <w:ind w:firstLine="560"/>
        <w:jc w:val="left"/>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第三条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中国证券业协会（以下简称协会）对受托管理人开展公司债券违约风险处置工作实施自律管理。</w:t>
      </w:r>
    </w:p>
    <w:p>
      <w:pPr>
        <w:widowControl/>
        <w:shd w:val="clear" w:color="auto"/>
        <w:ind w:firstLine="555"/>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第四条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受托管理人应重视内部控制机制的建设，在开展风险处置工作时，存在潜在利益冲突的，应及时采取措施并予以披露。受托管理人应建立内部信息隔离及保密制度，防止相关人员利用获取的债券信用风险信息实施违法违规行为，扰乱债券市场秩序。</w:t>
      </w:r>
    </w:p>
    <w:p>
      <w:pPr>
        <w:widowControl/>
        <w:shd w:val="clear" w:color="auto"/>
        <w:ind w:firstLine="555"/>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第五条</w:t>
      </w:r>
      <w:r>
        <w:rPr>
          <w:rFonts w:hint="eastAsia" w:ascii="仿宋_GB2312" w:hAnsi="仿宋_GB2312" w:eastAsia="仿宋_GB2312" w:cs="宋体"/>
          <w:color w:val="000000"/>
          <w:kern w:val="0"/>
          <w:sz w:val="32"/>
          <w:szCs w:val="32"/>
        </w:rPr>
        <w:t xml:space="preserve"> </w:t>
      </w:r>
      <w:r>
        <w:rPr>
          <w:rFonts w:ascii="仿宋_GB2312" w:hAnsi="仿宋_GB2312"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受托管理人在开展风险处置工作时</w:t>
      </w:r>
      <w:r>
        <w:rPr>
          <w:rFonts w:ascii="仿宋_GB2312" w:hAnsi="仿宋_GB2312" w:eastAsia="仿宋_GB2312" w:cs="宋体"/>
          <w:color w:val="000000"/>
          <w:kern w:val="0"/>
          <w:sz w:val="32"/>
          <w:szCs w:val="32"/>
        </w:rPr>
        <w:t>，可以聘请熟悉债券市场业务、具备丰富处置经验及专业能力的其他专业</w:t>
      </w:r>
      <w:r>
        <w:rPr>
          <w:rFonts w:hint="eastAsia" w:ascii="仿宋_GB2312" w:hAnsi="仿宋_GB2312" w:eastAsia="仿宋_GB2312" w:cs="宋体"/>
          <w:color w:val="000000"/>
          <w:kern w:val="0"/>
          <w:sz w:val="32"/>
          <w:szCs w:val="32"/>
        </w:rPr>
        <w:t>机构</w:t>
      </w:r>
      <w:r>
        <w:rPr>
          <w:rFonts w:ascii="仿宋_GB2312" w:hAnsi="仿宋_GB2312" w:eastAsia="仿宋_GB2312" w:cs="宋体"/>
          <w:color w:val="000000"/>
          <w:kern w:val="0"/>
          <w:sz w:val="32"/>
          <w:szCs w:val="32"/>
        </w:rPr>
        <w:t>提供专业服务</w:t>
      </w:r>
      <w:r>
        <w:rPr>
          <w:rFonts w:hint="eastAsia" w:ascii="仿宋_GB2312" w:hAnsi="仿宋_GB2312" w:eastAsia="仿宋_GB2312" w:cs="宋体"/>
          <w:color w:val="000000"/>
          <w:kern w:val="0"/>
          <w:sz w:val="32"/>
          <w:szCs w:val="32"/>
        </w:rPr>
        <w:t>。</w:t>
      </w:r>
    </w:p>
    <w:p>
      <w:pPr>
        <w:widowControl/>
        <w:shd w:val="clear" w:color="auto"/>
        <w:ind w:firstLine="555"/>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第六条</w:t>
      </w:r>
      <w:r>
        <w:rPr>
          <w:rFonts w:ascii="仿宋_GB2312" w:hAnsi="仿宋_GB2312" w:eastAsia="仿宋_GB2312" w:cs="宋体"/>
          <w:color w:val="000000"/>
          <w:kern w:val="0"/>
          <w:sz w:val="32"/>
          <w:szCs w:val="32"/>
        </w:rPr>
        <w:t xml:space="preserve">  受托管理人为履行受托管理职责，有权代表债券持有人向</w:t>
      </w:r>
      <w:r>
        <w:rPr>
          <w:rFonts w:hint="eastAsia" w:ascii="仿宋_GB2312" w:hAnsi="仿宋_GB2312" w:eastAsia="仿宋_GB2312" w:cs="宋体"/>
          <w:color w:val="000000"/>
          <w:kern w:val="0"/>
          <w:sz w:val="32"/>
          <w:szCs w:val="32"/>
        </w:rPr>
        <w:t>证</w:t>
      </w:r>
      <w:r>
        <w:rPr>
          <w:rFonts w:ascii="仿宋_GB2312" w:hAnsi="仿宋_GB2312" w:eastAsia="仿宋_GB2312" w:cs="宋体"/>
          <w:color w:val="000000"/>
          <w:kern w:val="0"/>
          <w:sz w:val="32"/>
          <w:szCs w:val="32"/>
        </w:rPr>
        <w:t>券登记</w:t>
      </w:r>
      <w:r>
        <w:rPr>
          <w:rFonts w:hint="eastAsia" w:ascii="仿宋_GB2312" w:hAnsi="仿宋_GB2312" w:eastAsia="仿宋_GB2312" w:cs="宋体"/>
          <w:color w:val="000000"/>
          <w:kern w:val="0"/>
          <w:sz w:val="32"/>
          <w:szCs w:val="32"/>
        </w:rPr>
        <w:t>结算</w:t>
      </w:r>
      <w:r>
        <w:rPr>
          <w:rFonts w:ascii="仿宋_GB2312" w:hAnsi="仿宋_GB2312" w:eastAsia="仿宋_GB2312" w:cs="宋体"/>
          <w:color w:val="000000"/>
          <w:kern w:val="0"/>
          <w:sz w:val="32"/>
          <w:szCs w:val="32"/>
        </w:rPr>
        <w:t>机构</w:t>
      </w:r>
      <w:r>
        <w:rPr>
          <w:rFonts w:hint="eastAsia" w:ascii="仿宋_GB2312" w:hAnsi="仿宋_GB2312" w:eastAsia="仿宋_GB2312" w:cs="宋体"/>
          <w:color w:val="000000"/>
          <w:kern w:val="0"/>
          <w:sz w:val="32"/>
          <w:szCs w:val="32"/>
        </w:rPr>
        <w:t>申请</w:t>
      </w:r>
      <w:r>
        <w:rPr>
          <w:rFonts w:ascii="仿宋_GB2312" w:hAnsi="仿宋_GB2312" w:eastAsia="仿宋_GB2312" w:cs="宋体"/>
          <w:color w:val="000000"/>
          <w:kern w:val="0"/>
          <w:sz w:val="32"/>
          <w:szCs w:val="32"/>
        </w:rPr>
        <w:t>查询债券持有人名册及相关登记信息，为债券持有人会议的召开及开展债券违约处置工作提供支持。</w:t>
      </w:r>
    </w:p>
    <w:p>
      <w:pPr>
        <w:widowControl/>
        <w:shd w:val="clear" w:color="auto"/>
        <w:ind w:firstLine="560"/>
        <w:jc w:val="left"/>
        <w:rPr>
          <w:rFonts w:ascii="仿宋_GB2312" w:hAnsi="仿宋_GB2312" w:eastAsia="仿宋_GB2312" w:cs="Times New Roman"/>
          <w:b/>
          <w:bCs/>
          <w:color w:val="000000"/>
          <w:kern w:val="0"/>
          <w:sz w:val="32"/>
          <w:szCs w:val="32"/>
        </w:rPr>
      </w:pPr>
      <w:r>
        <w:rPr>
          <w:rFonts w:hint="eastAsia" w:ascii="仿宋_GB2312" w:hAnsi="仿宋_GB2312" w:eastAsia="仿宋_GB2312" w:cs="宋体"/>
          <w:b/>
          <w:bCs/>
          <w:color w:val="000000"/>
          <w:kern w:val="0"/>
          <w:sz w:val="32"/>
          <w:szCs w:val="32"/>
        </w:rPr>
        <w:t>第七条</w:t>
      </w:r>
      <w:r>
        <w:rPr>
          <w:rFonts w:ascii="仿宋_GB2312" w:hAnsi="仿宋_GB2312"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受托管理人应当督促各相关主体，按照受托协议的约定承担相应费用。</w:t>
      </w:r>
    </w:p>
    <w:p>
      <w:pPr>
        <w:widowControl/>
        <w:shd w:val="clear" w:color="auto"/>
        <w:ind w:firstLine="56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第八条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受托管理人开展风险处置工作，有权要求发行人配合并提供必要的便利条件。为公司债券发行提供服务的资信评级机构、会计师事务所、资产评估机构（如有）、</w:t>
      </w:r>
      <w:r>
        <w:rPr>
          <w:rFonts w:ascii="仿宋_GB2312" w:hAnsi="仿宋_GB2312" w:eastAsia="仿宋_GB2312" w:cs="宋体"/>
          <w:color w:val="000000"/>
          <w:kern w:val="0"/>
          <w:sz w:val="32"/>
          <w:szCs w:val="32"/>
        </w:rPr>
        <w:t>律师事务所</w:t>
      </w:r>
      <w:r>
        <w:rPr>
          <w:rFonts w:ascii="仿宋_GB2312" w:hAnsi="仿宋_GB2312" w:eastAsia="仿宋_GB2312"/>
          <w:color w:val="000000"/>
          <w:sz w:val="32"/>
          <w:szCs w:val="32"/>
        </w:rPr>
        <w:t>等中介机构</w:t>
      </w:r>
      <w:r>
        <w:rPr>
          <w:rFonts w:hint="eastAsia" w:ascii="仿宋_GB2312" w:hAnsi="仿宋_GB2312" w:eastAsia="仿宋_GB2312"/>
          <w:color w:val="000000"/>
          <w:sz w:val="32"/>
          <w:szCs w:val="32"/>
        </w:rPr>
        <w:t>与增信主体（如有）</w:t>
      </w:r>
      <w:r>
        <w:rPr>
          <w:rFonts w:ascii="仿宋_GB2312" w:hAnsi="仿宋_GB2312" w:eastAsia="仿宋_GB2312"/>
          <w:color w:val="000000"/>
          <w:sz w:val="32"/>
          <w:szCs w:val="32"/>
        </w:rPr>
        <w:t>应当配合受托管理人履行受托管理职责。</w:t>
      </w:r>
      <w:r>
        <w:rPr>
          <w:rFonts w:hint="eastAsia" w:ascii="仿宋_GB2312" w:hAnsi="仿宋_GB2312" w:eastAsia="仿宋_GB2312" w:cs="宋体"/>
          <w:color w:val="000000"/>
          <w:kern w:val="0"/>
          <w:sz w:val="32"/>
          <w:szCs w:val="32"/>
        </w:rPr>
        <w:t>发行人、其他中介机构、</w:t>
      </w:r>
      <w:r>
        <w:rPr>
          <w:rFonts w:hint="eastAsia" w:ascii="仿宋_GB2312" w:hAnsi="仿宋_GB2312" w:eastAsia="仿宋_GB2312"/>
          <w:color w:val="000000"/>
          <w:sz w:val="32"/>
          <w:szCs w:val="32"/>
        </w:rPr>
        <w:t>增信主体（如有）等</w:t>
      </w:r>
      <w:r>
        <w:rPr>
          <w:rFonts w:hint="eastAsia" w:ascii="仿宋_GB2312" w:hAnsi="仿宋_GB2312" w:eastAsia="仿宋_GB2312" w:cs="宋体"/>
          <w:color w:val="000000"/>
          <w:kern w:val="0"/>
          <w:sz w:val="32"/>
          <w:szCs w:val="32"/>
        </w:rPr>
        <w:t>拒不配合受托管理人开展风险处置工作的，受托管理人应当向交易场所、受托管理人所在地证监局、发行人所在地证监局、中国证券业协会（以下简称相关监管机构和自律组织）报告，并按规定及约定履行信息披露义务。</w:t>
      </w:r>
    </w:p>
    <w:p>
      <w:pPr>
        <w:widowControl/>
        <w:shd w:val="clear" w:color="auto"/>
        <w:jc w:val="center"/>
        <w:rPr>
          <w:rFonts w:ascii="仿宋_GB2312" w:hAnsi="仿宋_GB2312" w:eastAsia="仿宋_GB2312" w:cs="Times New Roman"/>
          <w:b/>
          <w:bCs/>
          <w:color w:val="000000"/>
          <w:kern w:val="0"/>
          <w:sz w:val="32"/>
          <w:szCs w:val="32"/>
        </w:rPr>
      </w:pPr>
      <w:r>
        <w:rPr>
          <w:rFonts w:hint="eastAsia" w:ascii="仿宋_GB2312" w:hAnsi="仿宋_GB2312" w:eastAsia="仿宋_GB2312" w:cs="宋体"/>
          <w:b/>
          <w:bCs/>
          <w:color w:val="000000"/>
          <w:kern w:val="0"/>
          <w:sz w:val="32"/>
          <w:szCs w:val="32"/>
        </w:rPr>
        <w:t xml:space="preserve">第二章 </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b/>
          <w:bCs/>
          <w:color w:val="000000"/>
          <w:kern w:val="0"/>
          <w:sz w:val="32"/>
          <w:szCs w:val="32"/>
        </w:rPr>
        <w:t>应急管理机制</w:t>
      </w:r>
    </w:p>
    <w:p>
      <w:pPr>
        <w:widowControl/>
        <w:shd w:val="clear" w:color="auto"/>
        <w:ind w:firstLine="643" w:firstLineChars="20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第九条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受托管理人应当制定公司债券违约风险处置应急管理制度，包括但不限于以下内容：</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（一）应急管理工作的总体原则；</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（二）应急管理工作的常态化组织结构及协调机制；</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（三）应急处置的触发情形和预警监测机制；</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（四）应急处置预案的制定要求；</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（五）应急管理工作的档案保管要求。</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受托管理人应当将其分管公司债券违约处置的高级管理人员及其联系方式向相关监管部门和自律组织报备。</w:t>
      </w:r>
    </w:p>
    <w:p>
      <w:pPr>
        <w:widowControl/>
        <w:shd w:val="clear" w:color="auto"/>
        <w:ind w:firstLine="643" w:firstLineChars="20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第十条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受托管理人应当建立风险事件预警监测机制。公司债券存续期内，发行人发生潜在违约或实质违约情形的，受托管理人应当及时启动应急处置工作并制定相应的受托管理人应急处置预案。应急处置预案应当包括但不限于以下内容：</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（一）应急处置工作组的组织结构及职责分工；</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（二）受托管理人的内部沟通协调机制；</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（三）受托管理人对外信息披露工作及与发行人、增信主体和其他具有偿付义务的机构、债券持有人的沟通协调机制；</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（四）受托管理人与监管机构和自律组织的沟通协调机制；</w:t>
      </w:r>
    </w:p>
    <w:p>
      <w:pPr>
        <w:widowControl/>
        <w:shd w:val="clear" w:color="auto"/>
        <w:ind w:firstLine="640" w:firstLineChars="20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（五）召开债券持有人会议的工作方案；</w:t>
      </w:r>
    </w:p>
    <w:p>
      <w:pPr>
        <w:widowControl/>
        <w:shd w:val="clear" w:color="auto"/>
        <w:ind w:firstLine="640" w:firstLineChars="20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（六）应急管理保密方案。</w:t>
      </w:r>
    </w:p>
    <w:p>
      <w:pPr>
        <w:widowControl/>
        <w:shd w:val="clear" w:color="auto"/>
        <w:ind w:firstLine="56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受托管理人应当在应急处置预案启动后2个工作日内向相关监管机构和自律组织报告。</w:t>
      </w:r>
    </w:p>
    <w:p>
      <w:pPr>
        <w:widowControl/>
        <w:shd w:val="clear" w:color="auto"/>
        <w:ind w:firstLine="56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第十一条</w:t>
      </w:r>
      <w:r>
        <w:rPr>
          <w:rFonts w:ascii="仿宋_GB2312" w:hAnsi="仿宋_GB2312" w:eastAsia="仿宋_GB2312" w:cs="宋体"/>
          <w:color w:val="000000"/>
          <w:kern w:val="0"/>
          <w:sz w:val="32"/>
          <w:szCs w:val="32"/>
        </w:rPr>
        <w:t xml:space="preserve">  公司债券出现违约风险的，受托管理人应当督促发行人制定具有可行性的违约风险处置预案，并可以根据风险处置工作的进展情况及时督促其调整和完善预案。</w:t>
      </w:r>
    </w:p>
    <w:p>
      <w:pPr>
        <w:widowControl/>
        <w:shd w:val="clear" w:color="auto"/>
        <w:jc w:val="center"/>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 xml:space="preserve">第三章 </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b/>
          <w:bCs/>
          <w:color w:val="000000"/>
          <w:kern w:val="0"/>
          <w:sz w:val="32"/>
          <w:szCs w:val="32"/>
        </w:rPr>
        <w:t>潜在违约处置</w:t>
      </w:r>
    </w:p>
    <w:p>
      <w:pPr>
        <w:widowControl/>
        <w:shd w:val="clear" w:color="auto"/>
        <w:adjustRightInd w:val="0"/>
        <w:ind w:firstLine="418"/>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第十二条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发行人发生潜在违约情形的，受托管理人应当按照应急处置预案开展工作，并</w:t>
      </w:r>
      <w:r>
        <w:rPr>
          <w:rFonts w:ascii="仿宋_GB2312" w:hAnsi="仿宋_GB2312" w:eastAsia="仿宋_GB2312" w:cs="宋体"/>
          <w:color w:val="000000"/>
          <w:kern w:val="0"/>
          <w:sz w:val="32"/>
          <w:szCs w:val="32"/>
        </w:rPr>
        <w:t>根据实际情况</w:t>
      </w:r>
      <w:r>
        <w:rPr>
          <w:rFonts w:hint="eastAsia" w:ascii="仿宋_GB2312" w:hAnsi="仿宋_GB2312" w:eastAsia="仿宋_GB2312" w:cs="宋体"/>
          <w:color w:val="000000"/>
          <w:kern w:val="0"/>
          <w:sz w:val="32"/>
          <w:szCs w:val="32"/>
        </w:rPr>
        <w:t>适当</w:t>
      </w:r>
      <w:r>
        <w:rPr>
          <w:rFonts w:ascii="仿宋_GB2312" w:hAnsi="仿宋_GB2312" w:eastAsia="仿宋_GB2312" w:cs="宋体"/>
          <w:color w:val="000000"/>
          <w:kern w:val="0"/>
          <w:sz w:val="32"/>
          <w:szCs w:val="32"/>
        </w:rPr>
        <w:t>调整</w:t>
      </w:r>
      <w:r>
        <w:rPr>
          <w:rFonts w:hint="eastAsia" w:ascii="仿宋_GB2312" w:hAnsi="仿宋_GB2312" w:eastAsia="仿宋_GB2312" w:cs="宋体"/>
          <w:color w:val="000000"/>
          <w:kern w:val="0"/>
          <w:sz w:val="32"/>
          <w:szCs w:val="32"/>
        </w:rPr>
        <w:t>，及时掌握发行人风险状况，并督促发行人和增信主体（如有）按照相关规定和约定履行信息披露义务。</w:t>
      </w:r>
    </w:p>
    <w:p>
      <w:pPr>
        <w:widowControl/>
        <w:shd w:val="clear" w:color="auto"/>
        <w:adjustRightInd w:val="0"/>
        <w:ind w:firstLine="418"/>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第十三条</w:t>
      </w:r>
      <w:r>
        <w:rPr>
          <w:rFonts w:ascii="仿宋_GB2312" w:hAnsi="仿宋_GB2312"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发行人发生潜在违约情形且发生触发债券持有人会议召开条件的事项的，受托管理人应当按照债券持有人会议规则的约定，召开债券持有人会议，并可视情况提请债券持有人会议向受托管理人做出以下授权：</w:t>
      </w:r>
    </w:p>
    <w:p>
      <w:pPr>
        <w:widowControl/>
        <w:shd w:val="clear" w:color="auto"/>
        <w:adjustRightInd w:val="0"/>
        <w:ind w:firstLine="418"/>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（一）授权受托管理人提起民事诉讼、仲裁、申请财产保全等；</w:t>
      </w:r>
    </w:p>
    <w:p>
      <w:pPr>
        <w:widowControl/>
        <w:shd w:val="clear" w:color="auto"/>
        <w:adjustRightInd w:val="0"/>
        <w:ind w:firstLine="418"/>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（二）授权受托管理人提请担保人代偿或处置担保物；</w:t>
      </w:r>
    </w:p>
    <w:p>
      <w:pPr>
        <w:widowControl/>
        <w:shd w:val="clear" w:color="auto"/>
        <w:adjustRightInd w:val="0"/>
        <w:ind w:firstLine="418"/>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（三）授权受托管理人代表债券持有人加入或</w:t>
      </w:r>
      <w:r>
        <w:rPr>
          <w:rFonts w:ascii="仿宋_GB2312" w:hAnsi="仿宋_GB2312" w:eastAsia="仿宋_GB2312" w:cs="宋体"/>
          <w:color w:val="000000"/>
          <w:kern w:val="0"/>
          <w:sz w:val="32"/>
          <w:szCs w:val="32"/>
        </w:rPr>
        <w:t>列席</w:t>
      </w:r>
      <w:r>
        <w:rPr>
          <w:rFonts w:hint="eastAsia" w:ascii="仿宋_GB2312" w:hAnsi="仿宋_GB2312" w:eastAsia="仿宋_GB2312" w:cs="宋体"/>
          <w:color w:val="000000"/>
          <w:kern w:val="0"/>
          <w:sz w:val="32"/>
          <w:szCs w:val="32"/>
        </w:rPr>
        <w:t>金融机构债权人委员会，出席金融机构债权人委员会会议并发表意见；</w:t>
      </w:r>
    </w:p>
    <w:p>
      <w:pPr>
        <w:widowControl/>
        <w:shd w:val="clear" w:color="auto"/>
        <w:adjustRightInd w:val="0"/>
        <w:ind w:firstLine="418"/>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（四）授权受托管理人参与重整或者破产清算等法律程序；</w:t>
      </w:r>
    </w:p>
    <w:p>
      <w:pPr>
        <w:widowControl/>
        <w:shd w:val="clear" w:color="auto"/>
        <w:adjustRightInd w:val="0"/>
        <w:ind w:firstLine="418"/>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（五）授权受托管理人处置违约事项所需的其他权限。</w:t>
      </w:r>
    </w:p>
    <w:p>
      <w:pPr>
        <w:widowControl/>
        <w:shd w:val="clear" w:color="auto"/>
        <w:ind w:firstLine="643" w:firstLineChars="20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 xml:space="preserve">第十四条 </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发行人发生潜在违约情形的，受托管理人应当按照规定或约定要求发行人追加担保，督促发行人履行受托协议或公司债券募集说明书约定的投资者权益保护机制与其他偿债保障措施。</w:t>
      </w:r>
    </w:p>
    <w:p>
      <w:pPr>
        <w:widowControl/>
        <w:shd w:val="clear" w:color="auto"/>
        <w:ind w:firstLine="643" w:firstLineChars="20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 xml:space="preserve">第十五条 </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发行人按照受托管理人或债券持有人会议决议要求提供追加担保的，受托管理人应当督促并协助发行人及时签订担保合同、担保函，办理担保物抵/质押登记工作。受托管理人应当对保证人和担保物的状况进行了解和调查，并督促、提醒担保物保管人妥善保管担保物，避免担保物价值降低、毁损或灭失。</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办理担保物抵/质押登记工作前，受托管理人应当协调发行人、担保物提供者及相关中介机构与登记机构进行沟通。</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完成追加担保工作后，受托管理人和发行人应当向债券持有人披露担保合同和担保函的主要内容以及保证人的基本情况、担保物的基本情况和登记情况等内容，并提示保证人代偿、担保物变现环节可能存在的风险。</w:t>
      </w:r>
    </w:p>
    <w:p>
      <w:pPr>
        <w:widowControl/>
        <w:shd w:val="clear" w:color="auto"/>
        <w:ind w:firstLine="643" w:firstLineChars="20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第十六条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发行人发生潜在违约情形的，受托管理人可以根据相关</w:t>
      </w:r>
      <w:r>
        <w:rPr>
          <w:rFonts w:ascii="仿宋_GB2312" w:hAnsi="仿宋_GB2312" w:eastAsia="仿宋_GB2312" w:cs="宋体"/>
          <w:color w:val="000000"/>
          <w:kern w:val="0"/>
          <w:sz w:val="32"/>
          <w:szCs w:val="32"/>
        </w:rPr>
        <w:t>规定与</w:t>
      </w:r>
      <w:r>
        <w:rPr>
          <w:rFonts w:hint="eastAsia" w:ascii="仿宋_GB2312" w:hAnsi="仿宋_GB2312" w:eastAsia="仿宋_GB2312" w:cs="宋体"/>
          <w:color w:val="000000"/>
          <w:kern w:val="0"/>
          <w:sz w:val="32"/>
          <w:szCs w:val="32"/>
        </w:rPr>
        <w:t>约定</w:t>
      </w:r>
      <w:r>
        <w:rPr>
          <w:rFonts w:ascii="仿宋_GB2312" w:hAnsi="仿宋_GB2312" w:eastAsia="仿宋_GB2312" w:cs="宋体"/>
          <w:color w:val="000000"/>
          <w:kern w:val="0"/>
          <w:sz w:val="32"/>
          <w:szCs w:val="32"/>
        </w:rPr>
        <w:t>或</w:t>
      </w:r>
      <w:r>
        <w:rPr>
          <w:rFonts w:hint="eastAsia" w:ascii="仿宋_GB2312" w:hAnsi="仿宋_GB2312" w:eastAsia="仿宋_GB2312" w:cs="宋体"/>
          <w:color w:val="000000"/>
          <w:kern w:val="0"/>
          <w:sz w:val="32"/>
          <w:szCs w:val="32"/>
        </w:rPr>
        <w:t>债券持有人会议决议授权，作为债权人代表依法申请法定机关采取财产保全措施。相关主体应当遵守受托协议中关于费用的承担方式及财产保全担保的提供方式的约定。</w:t>
      </w:r>
    </w:p>
    <w:p>
      <w:pPr>
        <w:widowControl/>
        <w:shd w:val="clear" w:color="auto"/>
        <w:ind w:firstLine="555"/>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第十七条</w:t>
      </w:r>
      <w:r>
        <w:rPr>
          <w:rFonts w:ascii="仿宋_GB2312" w:hAnsi="仿宋_GB2312"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发行人发生潜在违约情形的，受托管理人可以协助发行人与持有人协商采用一种或多种措施处置违约风险，</w:t>
      </w:r>
      <w:r>
        <w:rPr>
          <w:rFonts w:ascii="仿宋_GB2312" w:hAnsi="仿宋_GB2312" w:eastAsia="仿宋_GB2312" w:cs="宋体"/>
          <w:color w:val="000000"/>
          <w:kern w:val="0"/>
          <w:sz w:val="32"/>
          <w:szCs w:val="32"/>
        </w:rPr>
        <w:t>包括但不限于以下方式：</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（一）与债券持有人协商调整公司债券基本偿付条款，包括调整兑付价格、利率、时间以及债项担保等影响持有人收回本息的条款；</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（二）发行置换债券；</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（三）进行债券转售</w:t>
      </w:r>
      <w:r>
        <w:rPr>
          <w:rFonts w:ascii="仿宋_GB2312" w:hAnsi="仿宋_GB2312" w:eastAsia="仿宋_GB2312" w:cs="宋体"/>
          <w:color w:val="000000"/>
          <w:kern w:val="0"/>
          <w:sz w:val="32"/>
          <w:szCs w:val="32"/>
        </w:rPr>
        <w:t>。</w:t>
      </w:r>
    </w:p>
    <w:p>
      <w:pPr>
        <w:widowControl/>
        <w:shd w:val="clear" w:color="auto"/>
        <w:ind w:firstLine="555"/>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发行人与债券持有人采用调整公司债券基本偿付条款措施的，受托管理人应按规定或约定召集债券持有人会议，开展相关工作。</w:t>
      </w:r>
    </w:p>
    <w:p>
      <w:pPr>
        <w:widowControl/>
        <w:shd w:val="clear" w:color="auto"/>
        <w:ind w:firstLine="418"/>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 xml:space="preserve">第十八条 </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风险事件得到妥善处置，发行人未发生实质违约的，受托管理人应当在应急处置工作结束后，按照规定和约定进行信息披露，并及时对风险事件的发生、处置及损失等情况进行评估和总结。受托管理人应当于处置工作结束后1个月内形成总结报告并向相关监管机构和自律组织报告。</w:t>
      </w:r>
    </w:p>
    <w:p>
      <w:pPr>
        <w:widowControl/>
        <w:shd w:val="clear" w:color="auto"/>
        <w:jc w:val="center"/>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 xml:space="preserve">第四章 </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b/>
          <w:bCs/>
          <w:color w:val="000000"/>
          <w:kern w:val="0"/>
          <w:sz w:val="32"/>
          <w:szCs w:val="32"/>
        </w:rPr>
        <w:t>实质违约处置</w:t>
      </w:r>
    </w:p>
    <w:p>
      <w:pPr>
        <w:widowControl/>
        <w:shd w:val="clear" w:color="auto"/>
        <w:ind w:firstLine="643" w:firstLineChars="20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第十九条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风险事件由潜在违约发展为实质违约或发行人直接发生实质违约的，受托管理人应当按照应急处置预案开展工作并根据实际情况适当调整，督促发行人及时告知全体债券持有人，并于每个季度结束后及时向债券</w:t>
      </w:r>
      <w:r>
        <w:rPr>
          <w:rFonts w:ascii="仿宋_GB2312" w:hAnsi="仿宋_GB2312" w:eastAsia="仿宋_GB2312" w:cs="宋体"/>
          <w:color w:val="000000"/>
          <w:kern w:val="0"/>
          <w:sz w:val="32"/>
          <w:szCs w:val="32"/>
        </w:rPr>
        <w:t>投资者</w:t>
      </w:r>
      <w:r>
        <w:rPr>
          <w:rFonts w:hint="eastAsia" w:ascii="仿宋_GB2312" w:hAnsi="仿宋_GB2312" w:eastAsia="仿宋_GB2312" w:cs="宋体"/>
          <w:color w:val="000000"/>
          <w:kern w:val="0"/>
          <w:sz w:val="32"/>
          <w:szCs w:val="32"/>
        </w:rPr>
        <w:t>披露违约处置的最新进展与自身履职情况。</w:t>
      </w:r>
    </w:p>
    <w:p>
      <w:pPr>
        <w:widowControl/>
        <w:shd w:val="clear" w:color="auto"/>
        <w:ind w:firstLine="643" w:firstLineChars="20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 xml:space="preserve">第二十条 </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发行人实质违约的，受托管理人应当以书面形式督促发行人、增信主体和其他具有偿付义务的机构等落实公司债券募集说明书等文件约定的偿债措施。</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发行人、增信主体和其他具有偿付义务的机构等拒绝或无法按照公司债券募集说明书落实偿债措施的，受托管理人应当在知晓该等情况后2个工作日内向相关监管机构和自律组织报告并按规定及约定进行信息披露。</w:t>
      </w:r>
    </w:p>
    <w:p>
      <w:pPr>
        <w:widowControl/>
        <w:shd w:val="clear" w:color="auto"/>
        <w:ind w:firstLine="643" w:firstLineChars="20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 xml:space="preserve">第二十一条 </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发行人实质违约的，受托管理人应当根据债券持有人会议规则的约定召开债券持有人会议，就需要获得授权的事项提请会议表决，并根据会议决议履行职责。受托管理人可视情况制定会议安保工作方案和突发事件应急预案。</w:t>
      </w:r>
    </w:p>
    <w:p>
      <w:pPr>
        <w:widowControl/>
        <w:shd w:val="clear" w:color="auto"/>
        <w:ind w:firstLine="643" w:firstLineChars="20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 xml:space="preserve">第二十二条 </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发行人实质违约的，受托管理人可以依据《公司债券发行与交易管理办法》的相关规定以及债券募集文件、债券受托管理协议的约定或者债券持有人会议决议的授权，提起、参加仲裁、民事诉讼或者破产等法律程序。受托管理人可以接受部分债券持有人书面授权，提起、参加仲裁、民事诉讼或者破产等法律程序。受托管理人代债券持有人采取本条规定措施产生的相关费用，由相关主体按照约定承担。</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受托管理人有权依据相关规定与债券持有人会议决议授权，作为债权人代表人选加入或</w:t>
      </w:r>
      <w:r>
        <w:rPr>
          <w:rFonts w:ascii="仿宋_GB2312" w:hAnsi="仿宋_GB2312" w:eastAsia="仿宋_GB2312" w:cs="宋体"/>
          <w:color w:val="000000"/>
          <w:kern w:val="0"/>
          <w:sz w:val="32"/>
          <w:szCs w:val="32"/>
        </w:rPr>
        <w:t>列席</w:t>
      </w:r>
      <w:r>
        <w:rPr>
          <w:rFonts w:hint="eastAsia" w:ascii="仿宋_GB2312" w:hAnsi="仿宋_GB2312" w:eastAsia="仿宋_GB2312" w:cs="宋体"/>
          <w:color w:val="000000"/>
          <w:kern w:val="0"/>
          <w:sz w:val="32"/>
          <w:szCs w:val="32"/>
        </w:rPr>
        <w:t>金融机构债权人委员会，并根据债券持有人会议决议代表债权人发表意见。</w:t>
      </w:r>
    </w:p>
    <w:p>
      <w:pPr>
        <w:widowControl/>
        <w:shd w:val="clear" w:color="auto"/>
        <w:ind w:firstLine="643" w:firstLineChars="20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第二十三条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Times New Roman"/>
          <w:bCs/>
          <w:color w:val="000000"/>
          <w:kern w:val="0"/>
          <w:sz w:val="32"/>
          <w:szCs w:val="32"/>
        </w:rPr>
        <w:t>发行人实质违约的，</w:t>
      </w:r>
      <w:r>
        <w:rPr>
          <w:rFonts w:hint="eastAsia" w:ascii="仿宋_GB2312" w:hAnsi="仿宋_GB2312" w:eastAsia="仿宋_GB2312" w:cs="宋体"/>
          <w:color w:val="000000"/>
          <w:kern w:val="0"/>
          <w:sz w:val="32"/>
          <w:szCs w:val="32"/>
        </w:rPr>
        <w:t>受托管理人可以要求发行人追加担保，并可根据债券募集文件、债券受托管理协议的约定或者债券持有人会议决议的授权，依法申请法定机关采取财产保全措施。</w:t>
      </w:r>
    </w:p>
    <w:p>
      <w:pPr>
        <w:widowControl/>
        <w:shd w:val="clear" w:color="auto"/>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Times New Roman"/>
          <w:bCs/>
          <w:color w:val="000000"/>
          <w:kern w:val="0"/>
          <w:sz w:val="32"/>
          <w:szCs w:val="32"/>
        </w:rPr>
        <w:t>按本指引要求提供的担保物发生价值减损或灭失导致无法覆盖违约债券本息的，受托管理人可以要求再次追加担保。相应费用由各相关主体</w:t>
      </w:r>
      <w:r>
        <w:rPr>
          <w:rFonts w:hint="eastAsia" w:ascii="仿宋_GB2312" w:hAnsi="仿宋_GB2312" w:eastAsia="仿宋_GB2312" w:cs="宋体"/>
          <w:color w:val="000000"/>
          <w:kern w:val="0"/>
          <w:sz w:val="32"/>
          <w:szCs w:val="32"/>
        </w:rPr>
        <w:t>按照受托协议的约定承担。</w:t>
      </w:r>
    </w:p>
    <w:p>
      <w:pPr>
        <w:widowControl/>
        <w:shd w:val="clear" w:color="auto"/>
        <w:ind w:firstLine="56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第二十四条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发行人实质违约后，受托管理人应当根据债券持有人会议决议的授权处置担保物。公司债券募集说明书、受托协议等另有约定的，从其约定。</w:t>
      </w:r>
    </w:p>
    <w:p>
      <w:pPr>
        <w:widowControl/>
        <w:shd w:val="clear" w:color="auto"/>
        <w:ind w:firstLine="56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因实现担保物权，以及采取财产保全措施所产生的费用，</w:t>
      </w:r>
      <w:r>
        <w:rPr>
          <w:rFonts w:hint="eastAsia" w:ascii="仿宋_GB2312" w:hAnsi="仿宋_GB2312" w:eastAsia="仿宋_GB2312" w:cs="Times New Roman"/>
          <w:bCs/>
          <w:color w:val="000000"/>
          <w:kern w:val="0"/>
          <w:sz w:val="32"/>
          <w:szCs w:val="32"/>
        </w:rPr>
        <w:t>由相关主体</w:t>
      </w:r>
      <w:r>
        <w:rPr>
          <w:rFonts w:hint="eastAsia" w:ascii="仿宋_GB2312" w:hAnsi="仿宋_GB2312" w:eastAsia="仿宋_GB2312" w:cs="宋体"/>
          <w:color w:val="000000"/>
          <w:kern w:val="0"/>
          <w:sz w:val="32"/>
          <w:szCs w:val="32"/>
        </w:rPr>
        <w:t>按照受托协议的约定承担。</w:t>
      </w:r>
    </w:p>
    <w:p>
      <w:pPr>
        <w:widowControl/>
        <w:shd w:val="clear" w:color="auto"/>
        <w:ind w:firstLine="56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第二十五条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人民法院启动发行人重整、和解或者破产清算法律程序的，受托管理人应当持续关注并披露法院处理情况，并根据其代表的债券持有人的授权参与发行人重整、和解或者破产清算。</w:t>
      </w:r>
    </w:p>
    <w:p>
      <w:pPr>
        <w:widowControl/>
        <w:shd w:val="clear" w:color="auto"/>
        <w:ind w:firstLine="56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受托管理人代为申报债权、参加债权人会议等产生的费用，</w:t>
      </w:r>
      <w:r>
        <w:rPr>
          <w:rFonts w:hint="eastAsia" w:ascii="仿宋_GB2312" w:hAnsi="仿宋_GB2312" w:eastAsia="仿宋_GB2312" w:cs="Times New Roman"/>
          <w:bCs/>
          <w:color w:val="000000"/>
          <w:kern w:val="0"/>
          <w:sz w:val="32"/>
          <w:szCs w:val="32"/>
        </w:rPr>
        <w:t>由相关主体</w:t>
      </w:r>
      <w:r>
        <w:rPr>
          <w:rFonts w:hint="eastAsia" w:ascii="仿宋_GB2312" w:hAnsi="仿宋_GB2312" w:eastAsia="仿宋_GB2312" w:cs="宋体"/>
          <w:color w:val="000000"/>
          <w:kern w:val="0"/>
          <w:sz w:val="32"/>
          <w:szCs w:val="32"/>
        </w:rPr>
        <w:t>按照约定承担。</w:t>
      </w:r>
    </w:p>
    <w:p>
      <w:pPr>
        <w:widowControl/>
        <w:shd w:val="clear" w:color="auto"/>
        <w:ind w:firstLine="56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第二十六条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应急处置工作结束后，受托管理人应当及时对风险事件的发生、处置及损失等情况进行评估和总结。受托管理人应当于处置工作结束后1个月内形成总结报告并向相关监管机构和自律组织报告。</w:t>
      </w:r>
    </w:p>
    <w:p>
      <w:pPr>
        <w:widowControl/>
        <w:shd w:val="clear" w:color="auto"/>
        <w:jc w:val="center"/>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 xml:space="preserve">第五章 </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b/>
          <w:bCs/>
          <w:color w:val="000000"/>
          <w:kern w:val="0"/>
          <w:sz w:val="32"/>
          <w:szCs w:val="32"/>
        </w:rPr>
        <w:t>附则</w:t>
      </w:r>
    </w:p>
    <w:p>
      <w:pPr>
        <w:widowControl/>
        <w:shd w:val="clear" w:color="auto"/>
        <w:ind w:firstLine="643" w:firstLineChars="200"/>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第二十七条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受托管理人应当妥善保管其公司债券违约风险处置工作中的所有文件档案及电子资料，保管时间不得少于债权债务关系终止之日起5年。</w:t>
      </w:r>
    </w:p>
    <w:p>
      <w:pPr>
        <w:widowControl/>
        <w:shd w:val="clear" w:color="auto"/>
        <w:ind w:firstLine="560"/>
        <w:jc w:val="left"/>
        <w:rPr>
          <w:rFonts w:ascii="仿宋_GB2312" w:hAnsi="仿宋_GB2312" w:eastAsia="仿宋_GB2312" w:cs="宋体"/>
          <w:color w:val="000000"/>
          <w:kern w:val="0"/>
          <w:sz w:val="32"/>
          <w:szCs w:val="32"/>
        </w:rPr>
      </w:pPr>
      <w:r>
        <w:rPr>
          <w:rFonts w:hint="eastAsia" w:ascii="仿宋_GB2312" w:hAnsi="仿宋_GB2312" w:eastAsia="仿宋_GB2312" w:cs="宋体"/>
          <w:b/>
          <w:bCs/>
          <w:color w:val="000000"/>
          <w:kern w:val="0"/>
          <w:sz w:val="32"/>
          <w:szCs w:val="32"/>
        </w:rPr>
        <w:t>第二十八条</w:t>
      </w:r>
      <w:r>
        <w:rPr>
          <w:rFonts w:ascii="仿宋_GB2312" w:hAnsi="仿宋_GB2312" w:eastAsia="仿宋_GB2312" w:cs="宋体"/>
          <w:b/>
          <w:bCs/>
          <w:color w:val="000000"/>
          <w:kern w:val="0"/>
          <w:sz w:val="32"/>
          <w:szCs w:val="32"/>
        </w:rPr>
        <w:t xml:space="preserve">  </w:t>
      </w:r>
      <w:r>
        <w:rPr>
          <w:rFonts w:hint="eastAsia" w:ascii="仿宋_GB2312" w:hAnsi="仿宋_GB2312" w:eastAsia="仿宋_GB2312" w:cs="宋体"/>
          <w:color w:val="000000"/>
          <w:kern w:val="0"/>
          <w:sz w:val="32"/>
          <w:szCs w:val="32"/>
        </w:rPr>
        <w:t>本指引自发布之日起实施。</w:t>
      </w:r>
    </w:p>
    <w:p>
      <w:pPr>
        <w:widowControl/>
        <w:shd w:val="clear" w:color="auto"/>
        <w:jc w:val="left"/>
        <w:rPr>
          <w:rFonts w:ascii="仿宋_GB2312" w:hAnsi="宋体" w:eastAsia="仿宋_GB2312" w:cs="宋体"/>
          <w:color w:val="000000"/>
          <w:kern w:val="0"/>
          <w:sz w:val="28"/>
          <w:szCs w:val="28"/>
        </w:rPr>
      </w:pPr>
    </w:p>
    <w:bookmarkEnd w:id="1"/>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3417384"/>
    </w:sdtPr>
    <w:sdtContent>
      <w:p>
        <w:pPr>
          <w:pStyle w:val="6"/>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52"/>
    <w:rsid w:val="000132E3"/>
    <w:rsid w:val="00013B7B"/>
    <w:rsid w:val="0001579D"/>
    <w:rsid w:val="00017863"/>
    <w:rsid w:val="000221B4"/>
    <w:rsid w:val="00025D1F"/>
    <w:rsid w:val="00027B09"/>
    <w:rsid w:val="0003224D"/>
    <w:rsid w:val="00047FFC"/>
    <w:rsid w:val="00051117"/>
    <w:rsid w:val="00053C64"/>
    <w:rsid w:val="00053E19"/>
    <w:rsid w:val="00054D09"/>
    <w:rsid w:val="000610A6"/>
    <w:rsid w:val="00064197"/>
    <w:rsid w:val="000650AD"/>
    <w:rsid w:val="00065B5F"/>
    <w:rsid w:val="00066DDB"/>
    <w:rsid w:val="00067A9C"/>
    <w:rsid w:val="00073B8A"/>
    <w:rsid w:val="000758AF"/>
    <w:rsid w:val="00075FC9"/>
    <w:rsid w:val="00076996"/>
    <w:rsid w:val="00084EEA"/>
    <w:rsid w:val="000855E3"/>
    <w:rsid w:val="000911A1"/>
    <w:rsid w:val="00091517"/>
    <w:rsid w:val="00097E98"/>
    <w:rsid w:val="000A3AA6"/>
    <w:rsid w:val="000A57C9"/>
    <w:rsid w:val="000A639C"/>
    <w:rsid w:val="000A686C"/>
    <w:rsid w:val="000B1047"/>
    <w:rsid w:val="000B2278"/>
    <w:rsid w:val="000B276B"/>
    <w:rsid w:val="000B5725"/>
    <w:rsid w:val="000B599E"/>
    <w:rsid w:val="000B7483"/>
    <w:rsid w:val="000C0771"/>
    <w:rsid w:val="000C0E96"/>
    <w:rsid w:val="000C135B"/>
    <w:rsid w:val="000D0BFE"/>
    <w:rsid w:val="000D0D06"/>
    <w:rsid w:val="000D451E"/>
    <w:rsid w:val="000D7AFE"/>
    <w:rsid w:val="000E0253"/>
    <w:rsid w:val="000E1D3B"/>
    <w:rsid w:val="000E43F4"/>
    <w:rsid w:val="000F0611"/>
    <w:rsid w:val="000F09C4"/>
    <w:rsid w:val="000F445B"/>
    <w:rsid w:val="000F5B7D"/>
    <w:rsid w:val="000F6AB3"/>
    <w:rsid w:val="00104CBD"/>
    <w:rsid w:val="001058DD"/>
    <w:rsid w:val="00113921"/>
    <w:rsid w:val="00113CD0"/>
    <w:rsid w:val="0011409B"/>
    <w:rsid w:val="0011700E"/>
    <w:rsid w:val="001205FC"/>
    <w:rsid w:val="00122059"/>
    <w:rsid w:val="00122E80"/>
    <w:rsid w:val="00123970"/>
    <w:rsid w:val="001239AF"/>
    <w:rsid w:val="00127005"/>
    <w:rsid w:val="001275C6"/>
    <w:rsid w:val="001300C7"/>
    <w:rsid w:val="00131108"/>
    <w:rsid w:val="00134B00"/>
    <w:rsid w:val="00135D3A"/>
    <w:rsid w:val="001373F7"/>
    <w:rsid w:val="0013785F"/>
    <w:rsid w:val="001415AF"/>
    <w:rsid w:val="0014483F"/>
    <w:rsid w:val="00147B70"/>
    <w:rsid w:val="00152DB7"/>
    <w:rsid w:val="00157B14"/>
    <w:rsid w:val="00160720"/>
    <w:rsid w:val="00165037"/>
    <w:rsid w:val="0017751A"/>
    <w:rsid w:val="00180095"/>
    <w:rsid w:val="00182619"/>
    <w:rsid w:val="0018323E"/>
    <w:rsid w:val="00186C75"/>
    <w:rsid w:val="00187FE6"/>
    <w:rsid w:val="0019168C"/>
    <w:rsid w:val="00195024"/>
    <w:rsid w:val="00197E04"/>
    <w:rsid w:val="001A7655"/>
    <w:rsid w:val="001B5E5C"/>
    <w:rsid w:val="001B6D85"/>
    <w:rsid w:val="001C012F"/>
    <w:rsid w:val="001C1D18"/>
    <w:rsid w:val="001C45BB"/>
    <w:rsid w:val="001D12E2"/>
    <w:rsid w:val="001D29E5"/>
    <w:rsid w:val="001D3E00"/>
    <w:rsid w:val="001D5632"/>
    <w:rsid w:val="001E403F"/>
    <w:rsid w:val="001E561B"/>
    <w:rsid w:val="001E6F19"/>
    <w:rsid w:val="001F0706"/>
    <w:rsid w:val="001F44FB"/>
    <w:rsid w:val="001F6C4D"/>
    <w:rsid w:val="00200BC2"/>
    <w:rsid w:val="002015B0"/>
    <w:rsid w:val="0020198A"/>
    <w:rsid w:val="0020279A"/>
    <w:rsid w:val="002035BA"/>
    <w:rsid w:val="002060F8"/>
    <w:rsid w:val="0021070E"/>
    <w:rsid w:val="0021274A"/>
    <w:rsid w:val="00213789"/>
    <w:rsid w:val="00216D86"/>
    <w:rsid w:val="00217344"/>
    <w:rsid w:val="00222646"/>
    <w:rsid w:val="00223A24"/>
    <w:rsid w:val="002242A2"/>
    <w:rsid w:val="0022505C"/>
    <w:rsid w:val="00225256"/>
    <w:rsid w:val="002262DB"/>
    <w:rsid w:val="00231745"/>
    <w:rsid w:val="00234A8F"/>
    <w:rsid w:val="00235709"/>
    <w:rsid w:val="002367B6"/>
    <w:rsid w:val="00254077"/>
    <w:rsid w:val="00256FF9"/>
    <w:rsid w:val="00270235"/>
    <w:rsid w:val="00271D43"/>
    <w:rsid w:val="002750FB"/>
    <w:rsid w:val="002774E4"/>
    <w:rsid w:val="00287E2C"/>
    <w:rsid w:val="00287F49"/>
    <w:rsid w:val="002910DB"/>
    <w:rsid w:val="00297991"/>
    <w:rsid w:val="002A160E"/>
    <w:rsid w:val="002A2EC8"/>
    <w:rsid w:val="002A6F03"/>
    <w:rsid w:val="002B1A84"/>
    <w:rsid w:val="002B2FE5"/>
    <w:rsid w:val="002B3CD0"/>
    <w:rsid w:val="002B54A3"/>
    <w:rsid w:val="002B658C"/>
    <w:rsid w:val="002C0658"/>
    <w:rsid w:val="002C0F04"/>
    <w:rsid w:val="002C1865"/>
    <w:rsid w:val="002C2D4B"/>
    <w:rsid w:val="002C2D6D"/>
    <w:rsid w:val="002C3FDF"/>
    <w:rsid w:val="002C42F0"/>
    <w:rsid w:val="002C75BA"/>
    <w:rsid w:val="002D4A27"/>
    <w:rsid w:val="002D79F9"/>
    <w:rsid w:val="002E1296"/>
    <w:rsid w:val="002E4FFE"/>
    <w:rsid w:val="002F1CFB"/>
    <w:rsid w:val="002F3A6E"/>
    <w:rsid w:val="003102F0"/>
    <w:rsid w:val="003118BE"/>
    <w:rsid w:val="00316F52"/>
    <w:rsid w:val="00317F1A"/>
    <w:rsid w:val="0032299B"/>
    <w:rsid w:val="00322AE2"/>
    <w:rsid w:val="00322B4B"/>
    <w:rsid w:val="00325EB6"/>
    <w:rsid w:val="0033303B"/>
    <w:rsid w:val="0033482B"/>
    <w:rsid w:val="003458AD"/>
    <w:rsid w:val="00345EAC"/>
    <w:rsid w:val="0034687B"/>
    <w:rsid w:val="003532F7"/>
    <w:rsid w:val="00354FC7"/>
    <w:rsid w:val="00355F12"/>
    <w:rsid w:val="003574BA"/>
    <w:rsid w:val="00361829"/>
    <w:rsid w:val="003619C4"/>
    <w:rsid w:val="00361AA6"/>
    <w:rsid w:val="00382E02"/>
    <w:rsid w:val="00384B2F"/>
    <w:rsid w:val="003861B6"/>
    <w:rsid w:val="00390CE7"/>
    <w:rsid w:val="003A1F19"/>
    <w:rsid w:val="003A3C55"/>
    <w:rsid w:val="003A4766"/>
    <w:rsid w:val="003A7469"/>
    <w:rsid w:val="003C0541"/>
    <w:rsid w:val="003C1281"/>
    <w:rsid w:val="003C7F4E"/>
    <w:rsid w:val="003D0A14"/>
    <w:rsid w:val="003D170D"/>
    <w:rsid w:val="003D3116"/>
    <w:rsid w:val="003F09BE"/>
    <w:rsid w:val="003F0DA3"/>
    <w:rsid w:val="003F30D3"/>
    <w:rsid w:val="003F5314"/>
    <w:rsid w:val="00402173"/>
    <w:rsid w:val="00402FF3"/>
    <w:rsid w:val="00406883"/>
    <w:rsid w:val="00414752"/>
    <w:rsid w:val="00421637"/>
    <w:rsid w:val="004244BE"/>
    <w:rsid w:val="00430922"/>
    <w:rsid w:val="0044030E"/>
    <w:rsid w:val="00442BFB"/>
    <w:rsid w:val="00442E1F"/>
    <w:rsid w:val="00445952"/>
    <w:rsid w:val="004542E2"/>
    <w:rsid w:val="00455DAD"/>
    <w:rsid w:val="004564A9"/>
    <w:rsid w:val="004566C7"/>
    <w:rsid w:val="004717B9"/>
    <w:rsid w:val="00472ABE"/>
    <w:rsid w:val="00475ADE"/>
    <w:rsid w:val="004779CD"/>
    <w:rsid w:val="0048377E"/>
    <w:rsid w:val="004930EA"/>
    <w:rsid w:val="00497D10"/>
    <w:rsid w:val="004A28C8"/>
    <w:rsid w:val="004A6797"/>
    <w:rsid w:val="004B4F26"/>
    <w:rsid w:val="004C19CB"/>
    <w:rsid w:val="004C2F2A"/>
    <w:rsid w:val="004C3B1E"/>
    <w:rsid w:val="004C5402"/>
    <w:rsid w:val="004C67AB"/>
    <w:rsid w:val="004D018C"/>
    <w:rsid w:val="004D01CE"/>
    <w:rsid w:val="004E0ABA"/>
    <w:rsid w:val="004E42D5"/>
    <w:rsid w:val="004E55B3"/>
    <w:rsid w:val="004E7DCB"/>
    <w:rsid w:val="004F072F"/>
    <w:rsid w:val="004F14D6"/>
    <w:rsid w:val="004F453B"/>
    <w:rsid w:val="004F5E73"/>
    <w:rsid w:val="004F640E"/>
    <w:rsid w:val="004F7FE1"/>
    <w:rsid w:val="005017B5"/>
    <w:rsid w:val="00501C79"/>
    <w:rsid w:val="00501ED0"/>
    <w:rsid w:val="00505674"/>
    <w:rsid w:val="005071D2"/>
    <w:rsid w:val="00522BD2"/>
    <w:rsid w:val="00525FFA"/>
    <w:rsid w:val="005274BB"/>
    <w:rsid w:val="0053076C"/>
    <w:rsid w:val="00530CA2"/>
    <w:rsid w:val="00530E17"/>
    <w:rsid w:val="005316EA"/>
    <w:rsid w:val="00532322"/>
    <w:rsid w:val="0053539C"/>
    <w:rsid w:val="00542F4A"/>
    <w:rsid w:val="0054530E"/>
    <w:rsid w:val="00551551"/>
    <w:rsid w:val="005577C1"/>
    <w:rsid w:val="00557E2F"/>
    <w:rsid w:val="0056012E"/>
    <w:rsid w:val="005610C5"/>
    <w:rsid w:val="00565206"/>
    <w:rsid w:val="005667AE"/>
    <w:rsid w:val="00567265"/>
    <w:rsid w:val="0057417D"/>
    <w:rsid w:val="00574FD1"/>
    <w:rsid w:val="00577888"/>
    <w:rsid w:val="005800DD"/>
    <w:rsid w:val="005804E7"/>
    <w:rsid w:val="00585147"/>
    <w:rsid w:val="0058528C"/>
    <w:rsid w:val="00590629"/>
    <w:rsid w:val="00595734"/>
    <w:rsid w:val="005963D2"/>
    <w:rsid w:val="005A2FB9"/>
    <w:rsid w:val="005A5198"/>
    <w:rsid w:val="005A54C7"/>
    <w:rsid w:val="005A7CFF"/>
    <w:rsid w:val="005B30AC"/>
    <w:rsid w:val="005C0A56"/>
    <w:rsid w:val="005C2D95"/>
    <w:rsid w:val="005C6198"/>
    <w:rsid w:val="005C7479"/>
    <w:rsid w:val="005C7E1E"/>
    <w:rsid w:val="005D0896"/>
    <w:rsid w:val="005D13D5"/>
    <w:rsid w:val="005D2DB5"/>
    <w:rsid w:val="005D5096"/>
    <w:rsid w:val="005D5805"/>
    <w:rsid w:val="005E0E55"/>
    <w:rsid w:val="005E6592"/>
    <w:rsid w:val="005F2D6F"/>
    <w:rsid w:val="005F32DD"/>
    <w:rsid w:val="006005EE"/>
    <w:rsid w:val="006059C5"/>
    <w:rsid w:val="006062CA"/>
    <w:rsid w:val="00611485"/>
    <w:rsid w:val="00612F73"/>
    <w:rsid w:val="00612FC2"/>
    <w:rsid w:val="006159D8"/>
    <w:rsid w:val="00616EF1"/>
    <w:rsid w:val="006232DB"/>
    <w:rsid w:val="00624F57"/>
    <w:rsid w:val="00626A0D"/>
    <w:rsid w:val="00632DED"/>
    <w:rsid w:val="00643299"/>
    <w:rsid w:val="006449AC"/>
    <w:rsid w:val="00655B8E"/>
    <w:rsid w:val="00657068"/>
    <w:rsid w:val="00657AD8"/>
    <w:rsid w:val="006603A2"/>
    <w:rsid w:val="00660757"/>
    <w:rsid w:val="00660E0A"/>
    <w:rsid w:val="0066529B"/>
    <w:rsid w:val="00667E32"/>
    <w:rsid w:val="006719E0"/>
    <w:rsid w:val="00675E76"/>
    <w:rsid w:val="006773C4"/>
    <w:rsid w:val="006805BF"/>
    <w:rsid w:val="00680FEF"/>
    <w:rsid w:val="00685907"/>
    <w:rsid w:val="006B06A4"/>
    <w:rsid w:val="006B099B"/>
    <w:rsid w:val="006B0D42"/>
    <w:rsid w:val="006B27ED"/>
    <w:rsid w:val="006B364E"/>
    <w:rsid w:val="006B429A"/>
    <w:rsid w:val="006B6628"/>
    <w:rsid w:val="006C6477"/>
    <w:rsid w:val="006C7B6F"/>
    <w:rsid w:val="006D0D83"/>
    <w:rsid w:val="006D1368"/>
    <w:rsid w:val="006D2633"/>
    <w:rsid w:val="006D39E2"/>
    <w:rsid w:val="006E5AB5"/>
    <w:rsid w:val="006E7C5B"/>
    <w:rsid w:val="007000AF"/>
    <w:rsid w:val="0070036D"/>
    <w:rsid w:val="00701800"/>
    <w:rsid w:val="00705DAF"/>
    <w:rsid w:val="00706A6C"/>
    <w:rsid w:val="00712698"/>
    <w:rsid w:val="00712A16"/>
    <w:rsid w:val="00716CFF"/>
    <w:rsid w:val="00725385"/>
    <w:rsid w:val="0072743B"/>
    <w:rsid w:val="0073288E"/>
    <w:rsid w:val="007332A1"/>
    <w:rsid w:val="00733741"/>
    <w:rsid w:val="0073397F"/>
    <w:rsid w:val="00740CB6"/>
    <w:rsid w:val="0074489B"/>
    <w:rsid w:val="0075151C"/>
    <w:rsid w:val="00752388"/>
    <w:rsid w:val="00753DF0"/>
    <w:rsid w:val="0077061E"/>
    <w:rsid w:val="00772756"/>
    <w:rsid w:val="00772F9F"/>
    <w:rsid w:val="00775569"/>
    <w:rsid w:val="007770F3"/>
    <w:rsid w:val="00780C4D"/>
    <w:rsid w:val="00785242"/>
    <w:rsid w:val="0078647F"/>
    <w:rsid w:val="00791B09"/>
    <w:rsid w:val="007921AE"/>
    <w:rsid w:val="00795777"/>
    <w:rsid w:val="0079767E"/>
    <w:rsid w:val="007A7254"/>
    <w:rsid w:val="007B205C"/>
    <w:rsid w:val="007B2094"/>
    <w:rsid w:val="007B22EA"/>
    <w:rsid w:val="007B4D19"/>
    <w:rsid w:val="007B503C"/>
    <w:rsid w:val="007C5513"/>
    <w:rsid w:val="007C6E61"/>
    <w:rsid w:val="007D49CF"/>
    <w:rsid w:val="007E0427"/>
    <w:rsid w:val="007E3A86"/>
    <w:rsid w:val="007E4CD5"/>
    <w:rsid w:val="007E536A"/>
    <w:rsid w:val="007E6286"/>
    <w:rsid w:val="007E772A"/>
    <w:rsid w:val="007F6CEE"/>
    <w:rsid w:val="00803687"/>
    <w:rsid w:val="008158C0"/>
    <w:rsid w:val="008229D4"/>
    <w:rsid w:val="00825A37"/>
    <w:rsid w:val="00831386"/>
    <w:rsid w:val="00831FFC"/>
    <w:rsid w:val="00835516"/>
    <w:rsid w:val="00836A3E"/>
    <w:rsid w:val="00836A9F"/>
    <w:rsid w:val="008453D1"/>
    <w:rsid w:val="00846E23"/>
    <w:rsid w:val="008515AB"/>
    <w:rsid w:val="00853ACB"/>
    <w:rsid w:val="0085535B"/>
    <w:rsid w:val="0086009C"/>
    <w:rsid w:val="00863B40"/>
    <w:rsid w:val="008669CE"/>
    <w:rsid w:val="00871A7A"/>
    <w:rsid w:val="00871E2C"/>
    <w:rsid w:val="00874AF6"/>
    <w:rsid w:val="0087675E"/>
    <w:rsid w:val="00881480"/>
    <w:rsid w:val="00887041"/>
    <w:rsid w:val="0088768A"/>
    <w:rsid w:val="008928E2"/>
    <w:rsid w:val="008A03CC"/>
    <w:rsid w:val="008A3DC4"/>
    <w:rsid w:val="008A4779"/>
    <w:rsid w:val="008A6A10"/>
    <w:rsid w:val="008B235E"/>
    <w:rsid w:val="008C3484"/>
    <w:rsid w:val="008D32CC"/>
    <w:rsid w:val="008D3CF1"/>
    <w:rsid w:val="008D546B"/>
    <w:rsid w:val="008E3AFB"/>
    <w:rsid w:val="008E7C9C"/>
    <w:rsid w:val="008F034C"/>
    <w:rsid w:val="008F1E5A"/>
    <w:rsid w:val="009015F3"/>
    <w:rsid w:val="00904E45"/>
    <w:rsid w:val="0090506E"/>
    <w:rsid w:val="0091134F"/>
    <w:rsid w:val="00912969"/>
    <w:rsid w:val="009155D4"/>
    <w:rsid w:val="009204C9"/>
    <w:rsid w:val="00927462"/>
    <w:rsid w:val="00930502"/>
    <w:rsid w:val="00934E5D"/>
    <w:rsid w:val="00935E41"/>
    <w:rsid w:val="009360D2"/>
    <w:rsid w:val="0093750D"/>
    <w:rsid w:val="0094181A"/>
    <w:rsid w:val="00942D97"/>
    <w:rsid w:val="00944C81"/>
    <w:rsid w:val="00945BA6"/>
    <w:rsid w:val="009469DA"/>
    <w:rsid w:val="00954283"/>
    <w:rsid w:val="00954443"/>
    <w:rsid w:val="0095716C"/>
    <w:rsid w:val="00957E86"/>
    <w:rsid w:val="0096019C"/>
    <w:rsid w:val="00960860"/>
    <w:rsid w:val="0096119C"/>
    <w:rsid w:val="00962427"/>
    <w:rsid w:val="00971105"/>
    <w:rsid w:val="00971177"/>
    <w:rsid w:val="00971A76"/>
    <w:rsid w:val="00994084"/>
    <w:rsid w:val="00994FFF"/>
    <w:rsid w:val="009A4514"/>
    <w:rsid w:val="009A4E30"/>
    <w:rsid w:val="009B1D7F"/>
    <w:rsid w:val="009B20BE"/>
    <w:rsid w:val="009C0DEF"/>
    <w:rsid w:val="009C118D"/>
    <w:rsid w:val="009C3C75"/>
    <w:rsid w:val="009C72F3"/>
    <w:rsid w:val="009D067E"/>
    <w:rsid w:val="009D0976"/>
    <w:rsid w:val="009D2979"/>
    <w:rsid w:val="009D4635"/>
    <w:rsid w:val="009D6AD4"/>
    <w:rsid w:val="009E1072"/>
    <w:rsid w:val="009E4B81"/>
    <w:rsid w:val="009E5436"/>
    <w:rsid w:val="009E7AAA"/>
    <w:rsid w:val="009F53CA"/>
    <w:rsid w:val="009F791F"/>
    <w:rsid w:val="00A0482D"/>
    <w:rsid w:val="00A05064"/>
    <w:rsid w:val="00A11772"/>
    <w:rsid w:val="00A12A8A"/>
    <w:rsid w:val="00A143B4"/>
    <w:rsid w:val="00A22007"/>
    <w:rsid w:val="00A25972"/>
    <w:rsid w:val="00A260D4"/>
    <w:rsid w:val="00A353D8"/>
    <w:rsid w:val="00A3552A"/>
    <w:rsid w:val="00A43AE2"/>
    <w:rsid w:val="00A46DF7"/>
    <w:rsid w:val="00A474BF"/>
    <w:rsid w:val="00A5549D"/>
    <w:rsid w:val="00A55CEE"/>
    <w:rsid w:val="00A56EC2"/>
    <w:rsid w:val="00A605D0"/>
    <w:rsid w:val="00A63D9E"/>
    <w:rsid w:val="00A64E66"/>
    <w:rsid w:val="00A738E3"/>
    <w:rsid w:val="00A746FC"/>
    <w:rsid w:val="00A7662E"/>
    <w:rsid w:val="00A76FE7"/>
    <w:rsid w:val="00A85088"/>
    <w:rsid w:val="00A92F5F"/>
    <w:rsid w:val="00A948C3"/>
    <w:rsid w:val="00A94EFB"/>
    <w:rsid w:val="00AA359B"/>
    <w:rsid w:val="00AA6B4E"/>
    <w:rsid w:val="00AA7D4A"/>
    <w:rsid w:val="00AB70B8"/>
    <w:rsid w:val="00AB714B"/>
    <w:rsid w:val="00AC4E67"/>
    <w:rsid w:val="00AD37ED"/>
    <w:rsid w:val="00AD3B44"/>
    <w:rsid w:val="00AD742C"/>
    <w:rsid w:val="00AE355E"/>
    <w:rsid w:val="00AE559C"/>
    <w:rsid w:val="00AE59C7"/>
    <w:rsid w:val="00AE68F0"/>
    <w:rsid w:val="00AF0673"/>
    <w:rsid w:val="00AF0919"/>
    <w:rsid w:val="00AF51A5"/>
    <w:rsid w:val="00AF5D48"/>
    <w:rsid w:val="00AF6059"/>
    <w:rsid w:val="00B02ADD"/>
    <w:rsid w:val="00B07B2F"/>
    <w:rsid w:val="00B10193"/>
    <w:rsid w:val="00B10411"/>
    <w:rsid w:val="00B12178"/>
    <w:rsid w:val="00B153BC"/>
    <w:rsid w:val="00B26AF0"/>
    <w:rsid w:val="00B26DED"/>
    <w:rsid w:val="00B30960"/>
    <w:rsid w:val="00B330FE"/>
    <w:rsid w:val="00B36100"/>
    <w:rsid w:val="00B373FE"/>
    <w:rsid w:val="00B41F63"/>
    <w:rsid w:val="00B4233E"/>
    <w:rsid w:val="00B44354"/>
    <w:rsid w:val="00B513FF"/>
    <w:rsid w:val="00B51857"/>
    <w:rsid w:val="00B52471"/>
    <w:rsid w:val="00B526F9"/>
    <w:rsid w:val="00B52A34"/>
    <w:rsid w:val="00B5541C"/>
    <w:rsid w:val="00B55B58"/>
    <w:rsid w:val="00B617B6"/>
    <w:rsid w:val="00B61B8D"/>
    <w:rsid w:val="00B707BB"/>
    <w:rsid w:val="00B7187C"/>
    <w:rsid w:val="00B755F9"/>
    <w:rsid w:val="00B75B7B"/>
    <w:rsid w:val="00B80B81"/>
    <w:rsid w:val="00B83351"/>
    <w:rsid w:val="00B83CDA"/>
    <w:rsid w:val="00B843EF"/>
    <w:rsid w:val="00B9371B"/>
    <w:rsid w:val="00BA2D9D"/>
    <w:rsid w:val="00BB1697"/>
    <w:rsid w:val="00BB7D2D"/>
    <w:rsid w:val="00BC0371"/>
    <w:rsid w:val="00BC0C27"/>
    <w:rsid w:val="00BC154A"/>
    <w:rsid w:val="00BC3922"/>
    <w:rsid w:val="00BD012C"/>
    <w:rsid w:val="00BD351A"/>
    <w:rsid w:val="00BD453B"/>
    <w:rsid w:val="00BE2254"/>
    <w:rsid w:val="00BE62C1"/>
    <w:rsid w:val="00BF19F7"/>
    <w:rsid w:val="00BF3338"/>
    <w:rsid w:val="00C03722"/>
    <w:rsid w:val="00C07B6C"/>
    <w:rsid w:val="00C17781"/>
    <w:rsid w:val="00C2122E"/>
    <w:rsid w:val="00C26C69"/>
    <w:rsid w:val="00C26EF8"/>
    <w:rsid w:val="00C31681"/>
    <w:rsid w:val="00C42164"/>
    <w:rsid w:val="00C4740F"/>
    <w:rsid w:val="00C50605"/>
    <w:rsid w:val="00C5314D"/>
    <w:rsid w:val="00C56A68"/>
    <w:rsid w:val="00C56E1E"/>
    <w:rsid w:val="00C62172"/>
    <w:rsid w:val="00C6256F"/>
    <w:rsid w:val="00C64583"/>
    <w:rsid w:val="00C64683"/>
    <w:rsid w:val="00C648CC"/>
    <w:rsid w:val="00C70291"/>
    <w:rsid w:val="00C70B9C"/>
    <w:rsid w:val="00C745EC"/>
    <w:rsid w:val="00C75301"/>
    <w:rsid w:val="00C7715D"/>
    <w:rsid w:val="00C86E8A"/>
    <w:rsid w:val="00C9314C"/>
    <w:rsid w:val="00C9328B"/>
    <w:rsid w:val="00C9452F"/>
    <w:rsid w:val="00C964FB"/>
    <w:rsid w:val="00C96EA8"/>
    <w:rsid w:val="00C97ABD"/>
    <w:rsid w:val="00CA60FB"/>
    <w:rsid w:val="00CA6AE3"/>
    <w:rsid w:val="00CB0F0E"/>
    <w:rsid w:val="00CB7D40"/>
    <w:rsid w:val="00CC496E"/>
    <w:rsid w:val="00CC49BD"/>
    <w:rsid w:val="00CD514C"/>
    <w:rsid w:val="00CD6CD2"/>
    <w:rsid w:val="00CD7980"/>
    <w:rsid w:val="00CE081E"/>
    <w:rsid w:val="00CE0916"/>
    <w:rsid w:val="00CE1301"/>
    <w:rsid w:val="00CF2384"/>
    <w:rsid w:val="00CF4B17"/>
    <w:rsid w:val="00CF654C"/>
    <w:rsid w:val="00CF692D"/>
    <w:rsid w:val="00D0093C"/>
    <w:rsid w:val="00D01F7E"/>
    <w:rsid w:val="00D033CD"/>
    <w:rsid w:val="00D046B4"/>
    <w:rsid w:val="00D04951"/>
    <w:rsid w:val="00D05926"/>
    <w:rsid w:val="00D12C5C"/>
    <w:rsid w:val="00D22AEE"/>
    <w:rsid w:val="00D24C3A"/>
    <w:rsid w:val="00D256BB"/>
    <w:rsid w:val="00D266DC"/>
    <w:rsid w:val="00D30CEF"/>
    <w:rsid w:val="00D30E9C"/>
    <w:rsid w:val="00D37C4A"/>
    <w:rsid w:val="00D42CC5"/>
    <w:rsid w:val="00D46637"/>
    <w:rsid w:val="00D50E7E"/>
    <w:rsid w:val="00D542EB"/>
    <w:rsid w:val="00D63BE7"/>
    <w:rsid w:val="00D65A74"/>
    <w:rsid w:val="00D65B07"/>
    <w:rsid w:val="00D7077E"/>
    <w:rsid w:val="00D71812"/>
    <w:rsid w:val="00D8703F"/>
    <w:rsid w:val="00D92D9D"/>
    <w:rsid w:val="00D9327F"/>
    <w:rsid w:val="00DA7E66"/>
    <w:rsid w:val="00DB221D"/>
    <w:rsid w:val="00DB245F"/>
    <w:rsid w:val="00DB3F92"/>
    <w:rsid w:val="00DB4F83"/>
    <w:rsid w:val="00DC2A54"/>
    <w:rsid w:val="00DC31F4"/>
    <w:rsid w:val="00DC3967"/>
    <w:rsid w:val="00DC5DB7"/>
    <w:rsid w:val="00DD17FA"/>
    <w:rsid w:val="00DD2DEA"/>
    <w:rsid w:val="00DD6A0A"/>
    <w:rsid w:val="00DE1F1F"/>
    <w:rsid w:val="00DE39B0"/>
    <w:rsid w:val="00DE4766"/>
    <w:rsid w:val="00DF0414"/>
    <w:rsid w:val="00DF41AE"/>
    <w:rsid w:val="00DF6BB7"/>
    <w:rsid w:val="00DF7648"/>
    <w:rsid w:val="00E04B16"/>
    <w:rsid w:val="00E05F70"/>
    <w:rsid w:val="00E06409"/>
    <w:rsid w:val="00E06D2E"/>
    <w:rsid w:val="00E10003"/>
    <w:rsid w:val="00E11F23"/>
    <w:rsid w:val="00E1242D"/>
    <w:rsid w:val="00E144A9"/>
    <w:rsid w:val="00E20A7F"/>
    <w:rsid w:val="00E216A0"/>
    <w:rsid w:val="00E22CA0"/>
    <w:rsid w:val="00E2523A"/>
    <w:rsid w:val="00E27BF9"/>
    <w:rsid w:val="00E37B11"/>
    <w:rsid w:val="00E41A52"/>
    <w:rsid w:val="00E420FF"/>
    <w:rsid w:val="00E4623A"/>
    <w:rsid w:val="00E540E8"/>
    <w:rsid w:val="00E56FED"/>
    <w:rsid w:val="00E60F0F"/>
    <w:rsid w:val="00E80786"/>
    <w:rsid w:val="00E8508C"/>
    <w:rsid w:val="00E92119"/>
    <w:rsid w:val="00EA0AE6"/>
    <w:rsid w:val="00EB19C1"/>
    <w:rsid w:val="00EB485B"/>
    <w:rsid w:val="00EB4878"/>
    <w:rsid w:val="00EC0C28"/>
    <w:rsid w:val="00EC35B4"/>
    <w:rsid w:val="00EC77E8"/>
    <w:rsid w:val="00ED3939"/>
    <w:rsid w:val="00EE07B3"/>
    <w:rsid w:val="00EE1817"/>
    <w:rsid w:val="00EE1D8B"/>
    <w:rsid w:val="00EE58C5"/>
    <w:rsid w:val="00EF0E3C"/>
    <w:rsid w:val="00F011EF"/>
    <w:rsid w:val="00F07C02"/>
    <w:rsid w:val="00F107B7"/>
    <w:rsid w:val="00F1173A"/>
    <w:rsid w:val="00F14436"/>
    <w:rsid w:val="00F15730"/>
    <w:rsid w:val="00F20D58"/>
    <w:rsid w:val="00F22D03"/>
    <w:rsid w:val="00F23396"/>
    <w:rsid w:val="00F2430A"/>
    <w:rsid w:val="00F2465F"/>
    <w:rsid w:val="00F2694D"/>
    <w:rsid w:val="00F27525"/>
    <w:rsid w:val="00F30EA8"/>
    <w:rsid w:val="00F33565"/>
    <w:rsid w:val="00F44EE3"/>
    <w:rsid w:val="00F455B0"/>
    <w:rsid w:val="00F46B43"/>
    <w:rsid w:val="00F53AF5"/>
    <w:rsid w:val="00F54A2D"/>
    <w:rsid w:val="00F5620B"/>
    <w:rsid w:val="00F568C7"/>
    <w:rsid w:val="00F645A2"/>
    <w:rsid w:val="00F73C0A"/>
    <w:rsid w:val="00F748E4"/>
    <w:rsid w:val="00F75612"/>
    <w:rsid w:val="00F75D70"/>
    <w:rsid w:val="00F76855"/>
    <w:rsid w:val="00F77B73"/>
    <w:rsid w:val="00F80549"/>
    <w:rsid w:val="00F819E7"/>
    <w:rsid w:val="00F83E52"/>
    <w:rsid w:val="00F85829"/>
    <w:rsid w:val="00F86B68"/>
    <w:rsid w:val="00F97E00"/>
    <w:rsid w:val="00FA11F1"/>
    <w:rsid w:val="00FA4DE6"/>
    <w:rsid w:val="00FC1EF8"/>
    <w:rsid w:val="00FC31EE"/>
    <w:rsid w:val="00FC3FBB"/>
    <w:rsid w:val="00FC44A3"/>
    <w:rsid w:val="00FC46F7"/>
    <w:rsid w:val="00FD1671"/>
    <w:rsid w:val="00FD6684"/>
    <w:rsid w:val="00FE3AF2"/>
    <w:rsid w:val="00FF07DA"/>
    <w:rsid w:val="00FF4EAA"/>
    <w:rsid w:val="019026ED"/>
    <w:rsid w:val="07175E76"/>
    <w:rsid w:val="0A9A4C23"/>
    <w:rsid w:val="26980AFE"/>
    <w:rsid w:val="29B0735B"/>
    <w:rsid w:val="329A27DB"/>
    <w:rsid w:val="3787498D"/>
    <w:rsid w:val="3F54196C"/>
    <w:rsid w:val="419B27A4"/>
    <w:rsid w:val="495716D2"/>
    <w:rsid w:val="50DA3A03"/>
    <w:rsid w:val="5BC660BA"/>
    <w:rsid w:val="5E6F58D0"/>
    <w:rsid w:val="5F923F13"/>
    <w:rsid w:val="71A31EFB"/>
    <w:rsid w:val="7DDA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ind w:firstLine="641" w:firstLineChars="200"/>
      <w:jc w:val="center"/>
      <w:outlineLvl w:val="0"/>
    </w:pPr>
    <w:rPr>
      <w:rFonts w:ascii="华文中宋" w:hAnsi="华文中宋" w:eastAsia="华文中宋"/>
      <w:b/>
      <w:bCs/>
      <w:kern w:val="44"/>
      <w:sz w:val="32"/>
      <w:szCs w:val="32"/>
    </w:rPr>
  </w:style>
  <w:style w:type="paragraph" w:styleId="3">
    <w:name w:val="heading 2"/>
    <w:basedOn w:val="1"/>
    <w:next w:val="1"/>
    <w:link w:val="31"/>
    <w:unhideWhenUsed/>
    <w:qFormat/>
    <w:uiPriority w:val="9"/>
    <w:pPr>
      <w:widowControl/>
      <w:shd w:val="clear" w:color="auto" w:fill="FFFFFF"/>
      <w:ind w:firstLine="562" w:firstLineChars="200"/>
      <w:jc w:val="center"/>
      <w:outlineLvl w:val="1"/>
    </w:pPr>
    <w:rPr>
      <w:rFonts w:ascii="仿宋_GB2312" w:hAnsi="黑体" w:eastAsia="仿宋_GB2312" w:cs="宋体"/>
      <w:b/>
      <w:bCs/>
      <w:color w:val="000000"/>
      <w:kern w:val="0"/>
      <w:sz w:val="28"/>
      <w:szCs w:val="28"/>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8"/>
    <w:unhideWhenUsed/>
    <w:qFormat/>
    <w:uiPriority w:val="99"/>
    <w:pPr>
      <w:jc w:val="left"/>
    </w:pPr>
  </w:style>
  <w:style w:type="paragraph" w:styleId="5">
    <w:name w:val="Balloon Text"/>
    <w:basedOn w:val="1"/>
    <w:link w:val="30"/>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rPr>
      <w:rFonts w:eastAsia="仿宋_GB2312"/>
      <w:sz w:val="28"/>
    </w:rPr>
  </w:style>
  <w:style w:type="paragraph" w:styleId="9">
    <w:name w:val="footnote text"/>
    <w:basedOn w:val="1"/>
    <w:link w:val="22"/>
    <w:semiHidden/>
    <w:unhideWhenUsed/>
    <w:qFormat/>
    <w:uiPriority w:val="99"/>
    <w:pPr>
      <w:snapToGrid w:val="0"/>
      <w:jc w:val="left"/>
    </w:pPr>
    <w:rPr>
      <w:sz w:val="18"/>
      <w:szCs w:val="18"/>
    </w:rPr>
  </w:style>
  <w:style w:type="paragraph" w:styleId="10">
    <w:name w:val="toc 2"/>
    <w:basedOn w:val="1"/>
    <w:next w:val="1"/>
    <w:unhideWhenUsed/>
    <w:qFormat/>
    <w:uiPriority w:val="39"/>
    <w:pPr>
      <w:ind w:left="420" w:leftChars="200"/>
    </w:pPr>
    <w:rPr>
      <w:rFonts w:eastAsia="仿宋_GB2312"/>
      <w:sz w:val="24"/>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4"/>
    <w:next w:val="4"/>
    <w:link w:val="29"/>
    <w:semiHidden/>
    <w:unhideWhenUsed/>
    <w:qFormat/>
    <w:uiPriority w:val="99"/>
    <w:rPr>
      <w:b/>
      <w:bCs/>
    </w:rPr>
  </w:style>
  <w:style w:type="character" w:styleId="15">
    <w:name w:val="Strong"/>
    <w:basedOn w:val="14"/>
    <w:qFormat/>
    <w:uiPriority w:val="22"/>
    <w:rPr>
      <w:b/>
      <w:bCs/>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styleId="18">
    <w:name w:val="footnote reference"/>
    <w:basedOn w:val="14"/>
    <w:semiHidden/>
    <w:unhideWhenUsed/>
    <w:qFormat/>
    <w:uiPriority w:val="99"/>
    <w:rPr>
      <w:vertAlign w:val="superscript"/>
    </w:rPr>
  </w:style>
  <w:style w:type="character" w:customStyle="1" w:styleId="19">
    <w:name w:val="页眉 字符"/>
    <w:basedOn w:val="14"/>
    <w:link w:val="7"/>
    <w:qFormat/>
    <w:uiPriority w:val="99"/>
    <w:rPr>
      <w:sz w:val="18"/>
      <w:szCs w:val="18"/>
    </w:rPr>
  </w:style>
  <w:style w:type="character" w:customStyle="1" w:styleId="20">
    <w:name w:val="页脚 字符"/>
    <w:basedOn w:val="14"/>
    <w:link w:val="6"/>
    <w:qFormat/>
    <w:uiPriority w:val="99"/>
    <w:rPr>
      <w:sz w:val="18"/>
      <w:szCs w:val="18"/>
    </w:rPr>
  </w:style>
  <w:style w:type="character" w:customStyle="1" w:styleId="21">
    <w:name w:val="标题 1 字符"/>
    <w:basedOn w:val="14"/>
    <w:link w:val="2"/>
    <w:qFormat/>
    <w:uiPriority w:val="9"/>
    <w:rPr>
      <w:rFonts w:ascii="华文中宋" w:hAnsi="华文中宋" w:eastAsia="华文中宋"/>
      <w:b/>
      <w:bCs/>
      <w:kern w:val="44"/>
      <w:sz w:val="32"/>
      <w:szCs w:val="32"/>
    </w:rPr>
  </w:style>
  <w:style w:type="character" w:customStyle="1" w:styleId="22">
    <w:name w:val="脚注文本 字符"/>
    <w:basedOn w:val="14"/>
    <w:link w:val="9"/>
    <w:semiHidden/>
    <w:qFormat/>
    <w:uiPriority w:val="99"/>
    <w:rPr>
      <w:sz w:val="18"/>
      <w:szCs w:val="18"/>
    </w:rPr>
  </w:style>
  <w:style w:type="paragraph" w:styleId="23">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paragraph" w:customStyle="1" w:styleId="24">
    <w:name w:val="defaul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02partie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批注文字 字符"/>
    <w:basedOn w:val="14"/>
    <w:link w:val="4"/>
    <w:qFormat/>
    <w:uiPriority w:val="99"/>
  </w:style>
  <w:style w:type="character" w:customStyle="1" w:styleId="29">
    <w:name w:val="批注主题 字符"/>
    <w:basedOn w:val="28"/>
    <w:link w:val="12"/>
    <w:semiHidden/>
    <w:qFormat/>
    <w:uiPriority w:val="99"/>
    <w:rPr>
      <w:b/>
      <w:bCs/>
    </w:rPr>
  </w:style>
  <w:style w:type="character" w:customStyle="1" w:styleId="30">
    <w:name w:val="批注框文本 字符"/>
    <w:basedOn w:val="14"/>
    <w:link w:val="5"/>
    <w:semiHidden/>
    <w:qFormat/>
    <w:uiPriority w:val="99"/>
    <w:rPr>
      <w:sz w:val="18"/>
      <w:szCs w:val="18"/>
    </w:rPr>
  </w:style>
  <w:style w:type="character" w:customStyle="1" w:styleId="31">
    <w:name w:val="标题 2 字符"/>
    <w:basedOn w:val="14"/>
    <w:link w:val="3"/>
    <w:qFormat/>
    <w:uiPriority w:val="9"/>
    <w:rPr>
      <w:rFonts w:ascii="仿宋_GB2312" w:hAnsi="黑体" w:eastAsia="仿宋_GB2312" w:cs="宋体"/>
      <w:b/>
      <w:bCs/>
      <w:color w:val="000000"/>
      <w:kern w:val="0"/>
      <w:sz w:val="28"/>
      <w:szCs w:val="28"/>
      <w:shd w:val="clear" w:color="auto" w:fill="FFFFFF"/>
    </w:rPr>
  </w:style>
  <w:style w:type="paragraph" w:customStyle="1" w:styleId="3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3">
    <w:name w:val="pf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FC96AF-8D0F-4DC8-B889-BDDE77ADFDDC}">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613</Words>
  <Characters>3500</Characters>
  <Lines>29</Lines>
  <Paragraphs>8</Paragraphs>
  <TotalTime>3</TotalTime>
  <ScaleCrop>false</ScaleCrop>
  <LinksUpToDate>false</LinksUpToDate>
  <CharactersWithSpaces>4105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2021-12-27T02:33:00Z</dcterms:created>
  <cp:lastModifiedBy>祎</cp:lastModifiedBy>
  <cp:lastPrinted>2021-11-19T06:33:00Z</cp:lastPrinted>
  <dcterms:modified xsi:type="dcterms:W3CDTF">2022-01-14T06:55:24Z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A31A0E2C56FF46B19A09526D87246353</vt:lpwstr>
  </property>
</Properties>
</file>