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74" w:rsidRPr="00053B03" w:rsidRDefault="00A65D74" w:rsidP="00A65D74">
      <w:pPr>
        <w:widowControl/>
        <w:rPr>
          <w:rFonts w:ascii="仿宋_GB2312" w:eastAsia="仿宋_GB2312" w:hAnsiTheme="minorEastAsia" w:cs="Times New Roman"/>
          <w:b/>
          <w:color w:val="000000" w:themeColor="text1"/>
          <w:kern w:val="0"/>
          <w:sz w:val="30"/>
          <w:szCs w:val="30"/>
        </w:rPr>
      </w:pPr>
      <w:r w:rsidRPr="00053B03">
        <w:rPr>
          <w:rFonts w:ascii="仿宋_GB2312" w:eastAsia="仿宋_GB2312" w:hAnsiTheme="minorEastAsia" w:cs="Times New Roman" w:hint="eastAsia"/>
          <w:b/>
          <w:color w:val="000000" w:themeColor="text1"/>
          <w:kern w:val="0"/>
          <w:sz w:val="30"/>
          <w:szCs w:val="30"/>
        </w:rPr>
        <w:t>附件</w:t>
      </w:r>
    </w:p>
    <w:p w:rsidR="00A65D74" w:rsidRDefault="00A65D74" w:rsidP="00FA7B0C">
      <w:pPr>
        <w:widowControl/>
        <w:jc w:val="center"/>
        <w:rPr>
          <w:rFonts w:ascii="黑体" w:eastAsia="黑体" w:hAnsi="黑体" w:cs="Times New Roman"/>
          <w:b/>
          <w:bCs/>
          <w:color w:val="000000" w:themeColor="text1"/>
          <w:kern w:val="0"/>
          <w:sz w:val="42"/>
          <w:szCs w:val="42"/>
        </w:rPr>
      </w:pPr>
    </w:p>
    <w:p w:rsidR="00A65D74" w:rsidRPr="00053B03" w:rsidRDefault="007F4958" w:rsidP="00053B03">
      <w:pPr>
        <w:snapToGrid w:val="0"/>
        <w:spacing w:line="560" w:lineRule="exact"/>
        <w:jc w:val="center"/>
        <w:rPr>
          <w:rFonts w:ascii="方正大标宋简体" w:eastAsia="方正大标宋简体" w:hAnsi="黑体" w:cs="Times New Roman"/>
          <w:sz w:val="42"/>
          <w:szCs w:val="42"/>
        </w:rPr>
      </w:pPr>
      <w:r w:rsidRPr="00053B03">
        <w:rPr>
          <w:rFonts w:ascii="方正大标宋简体" w:eastAsia="方正大标宋简体" w:hAnsi="黑体" w:cs="Times New Roman" w:hint="eastAsia"/>
          <w:sz w:val="42"/>
          <w:szCs w:val="42"/>
        </w:rPr>
        <w:t>上海证券交易所上市公司自律监管指引</w:t>
      </w:r>
    </w:p>
    <w:p w:rsidR="00FA7B0C" w:rsidRPr="00053B03" w:rsidRDefault="007F4958" w:rsidP="00053B03">
      <w:pPr>
        <w:snapToGrid w:val="0"/>
        <w:spacing w:line="560" w:lineRule="exact"/>
        <w:jc w:val="center"/>
        <w:rPr>
          <w:rFonts w:ascii="方正大标宋简体" w:eastAsia="方正大标宋简体" w:hAnsi="黑体" w:cs="Times New Roman"/>
          <w:sz w:val="42"/>
          <w:szCs w:val="42"/>
        </w:rPr>
      </w:pPr>
      <w:r w:rsidRPr="00053B03">
        <w:rPr>
          <w:rFonts w:ascii="方正大标宋简体" w:eastAsia="方正大标宋简体" w:hAnsi="黑体" w:cs="Times New Roman" w:hint="eastAsia"/>
          <w:sz w:val="42"/>
          <w:szCs w:val="42"/>
        </w:rPr>
        <w:t>第5号</w:t>
      </w:r>
      <w:r w:rsidR="00A50DC7" w:rsidRPr="00053B03">
        <w:rPr>
          <w:rFonts w:ascii="方正大标宋简体" w:eastAsia="方正大标宋简体" w:hAnsi="黑体" w:cs="Times New Roman"/>
          <w:sz w:val="42"/>
          <w:szCs w:val="42"/>
        </w:rPr>
        <w:t>——</w:t>
      </w:r>
      <w:r w:rsidR="00A50DC7" w:rsidRPr="00053B03">
        <w:rPr>
          <w:rFonts w:ascii="方正大标宋简体" w:eastAsia="方正大标宋简体" w:hAnsi="黑体" w:cs="Times New Roman"/>
          <w:sz w:val="42"/>
          <w:szCs w:val="42"/>
        </w:rPr>
        <w:t>交易</w:t>
      </w:r>
      <w:r w:rsidR="00A50DC7" w:rsidRPr="00053B03">
        <w:rPr>
          <w:rFonts w:ascii="方正大标宋简体" w:eastAsia="方正大标宋简体" w:hAnsi="黑体" w:cs="Times New Roman" w:hint="eastAsia"/>
          <w:sz w:val="42"/>
          <w:szCs w:val="42"/>
        </w:rPr>
        <w:t>与</w:t>
      </w:r>
      <w:r w:rsidR="00A81061" w:rsidRPr="00053B03">
        <w:rPr>
          <w:rFonts w:ascii="方正大标宋简体" w:eastAsia="方正大标宋简体" w:hAnsi="黑体" w:cs="Times New Roman" w:hint="eastAsia"/>
          <w:sz w:val="42"/>
          <w:szCs w:val="42"/>
        </w:rPr>
        <w:t>关联</w:t>
      </w:r>
      <w:r w:rsidR="00955470" w:rsidRPr="00053B03">
        <w:rPr>
          <w:rFonts w:ascii="方正大标宋简体" w:eastAsia="方正大标宋简体" w:hAnsi="黑体" w:cs="Times New Roman" w:hint="eastAsia"/>
          <w:sz w:val="42"/>
          <w:szCs w:val="42"/>
        </w:rPr>
        <w:t>交易</w:t>
      </w:r>
    </w:p>
    <w:p w:rsidR="00FA7B0C" w:rsidRPr="00807C45" w:rsidRDefault="00FA7B0C" w:rsidP="00FA7B0C">
      <w:pPr>
        <w:rPr>
          <w:rFonts w:asciiTheme="minorEastAsia" w:hAnsiTheme="minorEastAsia" w:cs="Times New Roman"/>
          <w:bCs/>
          <w:color w:val="000000" w:themeColor="text1"/>
          <w:kern w:val="0"/>
          <w:szCs w:val="21"/>
        </w:rPr>
      </w:pPr>
    </w:p>
    <w:p w:rsidR="002A36C8" w:rsidRPr="00053B03" w:rsidRDefault="00FA7B0C" w:rsidP="000907B2">
      <w:pPr>
        <w:spacing w:line="560" w:lineRule="exact"/>
        <w:jc w:val="center"/>
        <w:rPr>
          <w:rFonts w:ascii="黑体" w:eastAsia="黑体" w:hAnsi="仿宋" w:cs="Arial"/>
          <w:b/>
          <w:color w:val="000000"/>
          <w:sz w:val="30"/>
          <w:szCs w:val="30"/>
        </w:rPr>
      </w:pPr>
      <w:r w:rsidRPr="00053B03">
        <w:rPr>
          <w:rFonts w:ascii="黑体" w:eastAsia="黑体" w:hAnsi="仿宋" w:cs="Arial" w:hint="eastAsia"/>
          <w:b/>
          <w:color w:val="000000"/>
          <w:sz w:val="30"/>
          <w:szCs w:val="30"/>
        </w:rPr>
        <w:t>第一章 总则</w:t>
      </w:r>
    </w:p>
    <w:p w:rsidR="00A50DC7" w:rsidRPr="00807C45" w:rsidRDefault="00A50DC7"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第一条 </w:t>
      </w:r>
      <w:r w:rsidRPr="00807C45">
        <w:rPr>
          <w:rFonts w:ascii="仿宋_GB2312" w:eastAsia="仿宋_GB2312" w:hAnsiTheme="minorEastAsia" w:cs="Times New Roman"/>
          <w:bCs/>
          <w:color w:val="000000" w:themeColor="text1"/>
          <w:kern w:val="0"/>
          <w:sz w:val="30"/>
          <w:szCs w:val="30"/>
        </w:rPr>
        <w:t>为规范上市公司交易</w:t>
      </w:r>
      <w:r w:rsidR="00F7496B" w:rsidRPr="00807C45">
        <w:rPr>
          <w:rFonts w:ascii="仿宋_GB2312" w:eastAsia="仿宋_GB2312" w:hAnsiTheme="minorEastAsia" w:cs="Times New Roman" w:hint="eastAsia"/>
          <w:bCs/>
          <w:color w:val="000000" w:themeColor="text1"/>
          <w:kern w:val="0"/>
          <w:sz w:val="30"/>
          <w:szCs w:val="30"/>
        </w:rPr>
        <w:t>与</w:t>
      </w:r>
      <w:r w:rsidR="00EF2AE7" w:rsidRPr="00807C45">
        <w:rPr>
          <w:rFonts w:ascii="仿宋_GB2312" w:eastAsia="仿宋_GB2312" w:hAnsiTheme="minorEastAsia" w:cs="Times New Roman" w:hint="eastAsia"/>
          <w:bCs/>
          <w:color w:val="000000" w:themeColor="text1"/>
          <w:kern w:val="0"/>
          <w:sz w:val="30"/>
          <w:szCs w:val="30"/>
        </w:rPr>
        <w:t>关联</w:t>
      </w:r>
      <w:r w:rsidRPr="00807C45">
        <w:rPr>
          <w:rFonts w:ascii="仿宋_GB2312" w:eastAsia="仿宋_GB2312" w:hAnsiTheme="minorEastAsia" w:cs="Times New Roman"/>
          <w:bCs/>
          <w:color w:val="000000" w:themeColor="text1"/>
          <w:kern w:val="0"/>
          <w:sz w:val="30"/>
          <w:szCs w:val="30"/>
        </w:rPr>
        <w:t>交易行为，提高上市公司规范运作水平，保护</w:t>
      </w:r>
      <w:r w:rsidRPr="00807C45">
        <w:rPr>
          <w:rFonts w:ascii="仿宋_GB2312" w:eastAsia="仿宋_GB2312" w:hAnsiTheme="minorEastAsia" w:cs="Times New Roman" w:hint="eastAsia"/>
          <w:bCs/>
          <w:color w:val="000000" w:themeColor="text1"/>
          <w:kern w:val="0"/>
          <w:sz w:val="30"/>
          <w:szCs w:val="30"/>
        </w:rPr>
        <w:t>投资者</w:t>
      </w:r>
      <w:r w:rsidRPr="00807C45">
        <w:rPr>
          <w:rFonts w:ascii="仿宋_GB2312" w:eastAsia="仿宋_GB2312" w:hAnsiTheme="minorEastAsia" w:cs="Times New Roman"/>
          <w:bCs/>
          <w:color w:val="000000" w:themeColor="text1"/>
          <w:kern w:val="0"/>
          <w:sz w:val="30"/>
          <w:szCs w:val="30"/>
        </w:rPr>
        <w:t>的合法权益，根据《中华人民共和国公司法》（以下简称《公司法》）、《中华人民共和国证券法》（以下简称《证券法》）和</w:t>
      </w:r>
      <w:r w:rsidRPr="00807C45">
        <w:rPr>
          <w:rFonts w:ascii="仿宋_GB2312" w:eastAsia="仿宋_GB2312" w:hAnsiTheme="minorEastAsia" w:cs="Times New Roman" w:hint="eastAsia"/>
          <w:bCs/>
          <w:color w:val="000000" w:themeColor="text1"/>
          <w:kern w:val="0"/>
          <w:sz w:val="30"/>
          <w:szCs w:val="30"/>
        </w:rPr>
        <w:t>《上市公司信息披露管理办法》</w:t>
      </w:r>
      <w:r w:rsidRPr="00807C45">
        <w:rPr>
          <w:rFonts w:ascii="仿宋_GB2312" w:eastAsia="仿宋_GB2312" w:hAnsiTheme="minorEastAsia" w:cs="Times New Roman"/>
          <w:bCs/>
          <w:color w:val="000000" w:themeColor="text1"/>
          <w:kern w:val="0"/>
          <w:sz w:val="30"/>
          <w:szCs w:val="30"/>
        </w:rPr>
        <w:t>等法律法规、部门规章、规范性文件，以及《上海证券交易所股票上市规则》（以下简称《股票上市规则》）等</w:t>
      </w:r>
      <w:r w:rsidRPr="00807C45">
        <w:rPr>
          <w:rFonts w:ascii="仿宋_GB2312" w:eastAsia="仿宋_GB2312" w:hAnsiTheme="minorEastAsia" w:cs="Times New Roman" w:hint="eastAsia"/>
          <w:bCs/>
          <w:color w:val="000000" w:themeColor="text1"/>
          <w:kern w:val="0"/>
          <w:sz w:val="30"/>
          <w:szCs w:val="30"/>
        </w:rPr>
        <w:t>业务规则</w:t>
      </w:r>
      <w:r w:rsidRPr="00807C45">
        <w:rPr>
          <w:rFonts w:ascii="仿宋_GB2312" w:eastAsia="仿宋_GB2312" w:hAnsiTheme="minorEastAsia" w:cs="Times New Roman"/>
          <w:bCs/>
          <w:color w:val="000000" w:themeColor="text1"/>
          <w:kern w:val="0"/>
          <w:sz w:val="30"/>
          <w:szCs w:val="30"/>
        </w:rPr>
        <w:t>，制定本指引。</w:t>
      </w:r>
    </w:p>
    <w:p w:rsidR="00A50DC7" w:rsidRPr="00807C45" w:rsidRDefault="00A50DC7"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第二条 </w:t>
      </w:r>
      <w:r w:rsidRPr="00807C45">
        <w:rPr>
          <w:rFonts w:ascii="仿宋_GB2312" w:eastAsia="仿宋_GB2312" w:hAnsiTheme="minorEastAsia" w:cs="Times New Roman" w:hint="eastAsia"/>
          <w:bCs/>
          <w:color w:val="000000" w:themeColor="text1"/>
          <w:kern w:val="0"/>
          <w:sz w:val="30"/>
          <w:szCs w:val="30"/>
        </w:rPr>
        <w:t>上市公司发生《股票上市规则》规定的交易</w:t>
      </w:r>
      <w:r w:rsidR="00F7496B" w:rsidRPr="00807C45">
        <w:rPr>
          <w:rFonts w:ascii="仿宋_GB2312" w:eastAsia="仿宋_GB2312" w:hAnsiTheme="minorEastAsia" w:cs="Times New Roman" w:hint="eastAsia"/>
          <w:bCs/>
          <w:color w:val="000000" w:themeColor="text1"/>
          <w:kern w:val="0"/>
          <w:sz w:val="30"/>
          <w:szCs w:val="30"/>
        </w:rPr>
        <w:t>与</w:t>
      </w:r>
      <w:r w:rsidR="00EF2AE7" w:rsidRPr="00807C45">
        <w:rPr>
          <w:rFonts w:ascii="仿宋_GB2312" w:eastAsia="仿宋_GB2312" w:hAnsiTheme="minorEastAsia" w:cs="Times New Roman" w:hint="eastAsia"/>
          <w:bCs/>
          <w:color w:val="000000" w:themeColor="text1"/>
          <w:kern w:val="0"/>
          <w:sz w:val="30"/>
          <w:szCs w:val="30"/>
        </w:rPr>
        <w:t>关联</w:t>
      </w:r>
      <w:r w:rsidRPr="00807C45">
        <w:rPr>
          <w:rFonts w:ascii="仿宋_GB2312" w:eastAsia="仿宋_GB2312" w:hAnsiTheme="minorEastAsia" w:cs="Times New Roman" w:hint="eastAsia"/>
          <w:bCs/>
          <w:color w:val="000000" w:themeColor="text1"/>
          <w:kern w:val="0"/>
          <w:sz w:val="30"/>
          <w:szCs w:val="30"/>
        </w:rPr>
        <w:t>交易事项适用本指引。</w:t>
      </w:r>
    </w:p>
    <w:p w:rsidR="00A50DC7" w:rsidRPr="00807C45" w:rsidRDefault="00A50DC7"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第三条 </w:t>
      </w:r>
      <w:r w:rsidRPr="00807C45">
        <w:rPr>
          <w:rFonts w:ascii="仿宋_GB2312" w:eastAsia="仿宋_GB2312" w:hAnsiTheme="minorEastAsia" w:cs="Times New Roman" w:hint="eastAsia"/>
          <w:bCs/>
          <w:color w:val="000000" w:themeColor="text1"/>
          <w:kern w:val="0"/>
          <w:sz w:val="30"/>
          <w:szCs w:val="30"/>
        </w:rPr>
        <w:t>上市公司应当建立健全交易</w:t>
      </w:r>
      <w:r w:rsidR="00F7496B" w:rsidRPr="00807C45">
        <w:rPr>
          <w:rFonts w:ascii="仿宋_GB2312" w:eastAsia="仿宋_GB2312" w:hAnsiTheme="minorEastAsia" w:cs="Times New Roman" w:hint="eastAsia"/>
          <w:bCs/>
          <w:color w:val="000000" w:themeColor="text1"/>
          <w:kern w:val="0"/>
          <w:sz w:val="30"/>
          <w:szCs w:val="30"/>
        </w:rPr>
        <w:t>与</w:t>
      </w:r>
      <w:r w:rsidR="00402EC9" w:rsidRPr="00807C45">
        <w:rPr>
          <w:rFonts w:ascii="仿宋_GB2312" w:eastAsia="仿宋_GB2312" w:hAnsiTheme="minorEastAsia" w:cs="Times New Roman" w:hint="eastAsia"/>
          <w:bCs/>
          <w:color w:val="000000" w:themeColor="text1"/>
          <w:kern w:val="0"/>
          <w:sz w:val="30"/>
          <w:szCs w:val="30"/>
        </w:rPr>
        <w:t>关联</w:t>
      </w:r>
      <w:r w:rsidRPr="00807C45">
        <w:rPr>
          <w:rFonts w:ascii="仿宋_GB2312" w:eastAsia="仿宋_GB2312" w:hAnsiTheme="minorEastAsia" w:cs="Times New Roman" w:hint="eastAsia"/>
          <w:bCs/>
          <w:color w:val="000000" w:themeColor="text1"/>
          <w:kern w:val="0"/>
          <w:sz w:val="30"/>
          <w:szCs w:val="30"/>
        </w:rPr>
        <w:t>交易的内部控制制度，明确交易</w:t>
      </w:r>
      <w:r w:rsidR="00F7496B" w:rsidRPr="00807C45">
        <w:rPr>
          <w:rFonts w:ascii="仿宋_GB2312" w:eastAsia="仿宋_GB2312" w:hAnsiTheme="minorEastAsia" w:cs="Times New Roman" w:hint="eastAsia"/>
          <w:bCs/>
          <w:color w:val="000000" w:themeColor="text1"/>
          <w:kern w:val="0"/>
          <w:sz w:val="30"/>
          <w:szCs w:val="30"/>
        </w:rPr>
        <w:t>与</w:t>
      </w:r>
      <w:r w:rsidR="00402EC9" w:rsidRPr="00807C45">
        <w:rPr>
          <w:rFonts w:ascii="仿宋_GB2312" w:eastAsia="仿宋_GB2312" w:hAnsiTheme="minorEastAsia" w:cs="Times New Roman" w:hint="eastAsia"/>
          <w:bCs/>
          <w:color w:val="000000" w:themeColor="text1"/>
          <w:kern w:val="0"/>
          <w:sz w:val="30"/>
          <w:szCs w:val="30"/>
        </w:rPr>
        <w:t>关联</w:t>
      </w:r>
      <w:r w:rsidRPr="00807C45">
        <w:rPr>
          <w:rFonts w:ascii="仿宋_GB2312" w:eastAsia="仿宋_GB2312" w:hAnsiTheme="minorEastAsia" w:cs="Times New Roman" w:hint="eastAsia"/>
          <w:bCs/>
          <w:color w:val="000000" w:themeColor="text1"/>
          <w:kern w:val="0"/>
          <w:sz w:val="30"/>
          <w:szCs w:val="30"/>
        </w:rPr>
        <w:t>交易的决策权限和审议程序，并在关联交易审议过程中严格实施关联董事和关联股东回避表决制度。</w:t>
      </w:r>
    </w:p>
    <w:p w:rsidR="00A50DC7" w:rsidRPr="00807C45" w:rsidRDefault="00A50DC7"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公司交易与</w:t>
      </w:r>
      <w:r w:rsidR="00A81061" w:rsidRPr="00807C45">
        <w:rPr>
          <w:rFonts w:ascii="仿宋_GB2312" w:eastAsia="仿宋_GB2312" w:hAnsiTheme="minorEastAsia" w:cs="Times New Roman" w:hint="eastAsia"/>
          <w:bCs/>
          <w:color w:val="000000" w:themeColor="text1"/>
          <w:kern w:val="0"/>
          <w:sz w:val="30"/>
          <w:szCs w:val="30"/>
        </w:rPr>
        <w:t>关联</w:t>
      </w:r>
      <w:r w:rsidRPr="00807C45">
        <w:rPr>
          <w:rFonts w:ascii="仿宋_GB2312" w:eastAsia="仿宋_GB2312" w:hAnsiTheme="minorEastAsia" w:cs="Times New Roman" w:hint="eastAsia"/>
          <w:bCs/>
          <w:color w:val="000000" w:themeColor="text1"/>
          <w:kern w:val="0"/>
          <w:sz w:val="30"/>
          <w:szCs w:val="30"/>
        </w:rPr>
        <w:t>交易行为应当定价公允、审议程序合规、信息披露规范。</w:t>
      </w:r>
    </w:p>
    <w:p w:rsidR="00A50DC7" w:rsidRPr="00807C45" w:rsidRDefault="008728BF"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第四条 </w:t>
      </w:r>
      <w:r w:rsidRPr="00807C45">
        <w:rPr>
          <w:rFonts w:ascii="仿宋_GB2312" w:eastAsia="仿宋_GB2312" w:hAnsiTheme="minorEastAsia" w:cs="Times New Roman" w:hint="eastAsia"/>
          <w:bCs/>
          <w:color w:val="000000" w:themeColor="text1"/>
          <w:kern w:val="0"/>
          <w:sz w:val="30"/>
          <w:szCs w:val="30"/>
        </w:rPr>
        <w:t>上市公司交易</w:t>
      </w:r>
      <w:r w:rsidR="004B5BF2" w:rsidRPr="00807C45">
        <w:rPr>
          <w:rFonts w:ascii="仿宋_GB2312" w:eastAsia="仿宋_GB2312" w:hAnsiTheme="minorEastAsia" w:cs="Times New Roman" w:hint="eastAsia"/>
          <w:bCs/>
          <w:color w:val="000000" w:themeColor="text1"/>
          <w:kern w:val="0"/>
          <w:sz w:val="30"/>
          <w:szCs w:val="30"/>
        </w:rPr>
        <w:t>与</w:t>
      </w:r>
      <w:r w:rsidR="00A81061" w:rsidRPr="00807C45">
        <w:rPr>
          <w:rFonts w:ascii="仿宋_GB2312" w:eastAsia="仿宋_GB2312" w:hAnsiTheme="minorEastAsia" w:cs="Times New Roman" w:hint="eastAsia"/>
          <w:bCs/>
          <w:color w:val="000000" w:themeColor="text1"/>
          <w:kern w:val="0"/>
          <w:sz w:val="30"/>
          <w:szCs w:val="30"/>
        </w:rPr>
        <w:t>关联</w:t>
      </w:r>
      <w:r w:rsidRPr="00807C45">
        <w:rPr>
          <w:rFonts w:ascii="仿宋_GB2312" w:eastAsia="仿宋_GB2312" w:hAnsiTheme="minorEastAsia" w:cs="Times New Roman" w:hint="eastAsia"/>
          <w:bCs/>
          <w:color w:val="000000" w:themeColor="text1"/>
          <w:kern w:val="0"/>
          <w:sz w:val="30"/>
          <w:szCs w:val="30"/>
        </w:rPr>
        <w:t>交易行为应当合法合规，不得隐瞒关联关系，不得通过将关联交易非关联化规避相关审议程序和信息披露义务。相关交易不得存在导致或者可能导致上市公司出现被控股股东、实际控制人及其</w:t>
      </w:r>
      <w:r w:rsidR="00173445" w:rsidRPr="00807C45">
        <w:rPr>
          <w:rFonts w:ascii="仿宋_GB2312" w:eastAsia="仿宋_GB2312" w:hAnsiTheme="minorEastAsia" w:cs="Times New Roman" w:hint="eastAsia"/>
          <w:bCs/>
          <w:color w:val="000000" w:themeColor="text1"/>
          <w:kern w:val="0"/>
          <w:sz w:val="30"/>
          <w:szCs w:val="30"/>
        </w:rPr>
        <w:t>他</w:t>
      </w:r>
      <w:r w:rsidRPr="00807C45">
        <w:rPr>
          <w:rFonts w:ascii="仿宋_GB2312" w:eastAsia="仿宋_GB2312" w:hAnsiTheme="minorEastAsia" w:cs="Times New Roman" w:hint="eastAsia"/>
          <w:bCs/>
          <w:color w:val="000000" w:themeColor="text1"/>
          <w:kern w:val="0"/>
          <w:sz w:val="30"/>
          <w:szCs w:val="30"/>
        </w:rPr>
        <w:t>关联人非经营性资金占用、为关联人违规提供担保或者其他被关联人侵占利益的情形。</w:t>
      </w:r>
    </w:p>
    <w:p w:rsidR="008728BF" w:rsidRPr="00807C45" w:rsidRDefault="008728BF"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lastRenderedPageBreak/>
        <w:t xml:space="preserve">第五条 </w:t>
      </w:r>
      <w:r w:rsidRPr="00807C45">
        <w:rPr>
          <w:rFonts w:ascii="仿宋_GB2312" w:eastAsia="仿宋_GB2312" w:hAnsiTheme="minorEastAsia" w:cs="Times New Roman" w:hint="eastAsia"/>
          <w:bCs/>
          <w:color w:val="000000" w:themeColor="text1"/>
          <w:kern w:val="0"/>
          <w:sz w:val="30"/>
          <w:szCs w:val="30"/>
        </w:rPr>
        <w:t>上市公司在审议交易</w:t>
      </w:r>
      <w:r w:rsidR="00C0035D" w:rsidRPr="00807C45">
        <w:rPr>
          <w:rFonts w:ascii="仿宋_GB2312" w:eastAsia="仿宋_GB2312" w:hAnsiTheme="minorEastAsia" w:cs="Times New Roman" w:hint="eastAsia"/>
          <w:bCs/>
          <w:color w:val="000000" w:themeColor="text1"/>
          <w:kern w:val="0"/>
          <w:sz w:val="30"/>
          <w:szCs w:val="30"/>
        </w:rPr>
        <w:t>与</w:t>
      </w:r>
      <w:r w:rsidR="00A81061" w:rsidRPr="00807C45">
        <w:rPr>
          <w:rFonts w:ascii="仿宋_GB2312" w:eastAsia="仿宋_GB2312" w:hAnsiTheme="minorEastAsia" w:cs="Times New Roman" w:hint="eastAsia"/>
          <w:bCs/>
          <w:color w:val="000000" w:themeColor="text1"/>
          <w:kern w:val="0"/>
          <w:sz w:val="30"/>
          <w:szCs w:val="30"/>
        </w:rPr>
        <w:t>关联</w:t>
      </w:r>
      <w:r w:rsidRPr="00807C45">
        <w:rPr>
          <w:rFonts w:ascii="仿宋_GB2312" w:eastAsia="仿宋_GB2312" w:hAnsiTheme="minorEastAsia" w:cs="Times New Roman" w:hint="eastAsia"/>
          <w:bCs/>
          <w:color w:val="000000" w:themeColor="text1"/>
          <w:kern w:val="0"/>
          <w:sz w:val="30"/>
          <w:szCs w:val="30"/>
        </w:rPr>
        <w:t>交易事项时，应当详细了解交易标的真实状况和交易对方诚信记录、资信状况、履约能力等，审慎评估相关交易的必要性、合理性和对上市公司的影响，根据充分的定价依据确定交易价格。重点关注是否存在交易标的权属不清、交易对方履约能力不明、交易价格不</w:t>
      </w:r>
      <w:r w:rsidR="00413166">
        <w:rPr>
          <w:rFonts w:ascii="仿宋_GB2312" w:eastAsia="仿宋_GB2312" w:hAnsiTheme="minorEastAsia" w:cs="Times New Roman" w:hint="eastAsia"/>
          <w:bCs/>
          <w:color w:val="000000" w:themeColor="text1"/>
          <w:kern w:val="0"/>
          <w:sz w:val="30"/>
          <w:szCs w:val="30"/>
        </w:rPr>
        <w:t>公允</w:t>
      </w:r>
      <w:r w:rsidRPr="00807C45">
        <w:rPr>
          <w:rFonts w:ascii="仿宋_GB2312" w:eastAsia="仿宋_GB2312" w:hAnsiTheme="minorEastAsia" w:cs="Times New Roman" w:hint="eastAsia"/>
          <w:bCs/>
          <w:color w:val="000000" w:themeColor="text1"/>
          <w:kern w:val="0"/>
          <w:sz w:val="30"/>
          <w:szCs w:val="30"/>
        </w:rPr>
        <w:t>等问题，并按照《股票上市规则》的要求聘请中介机构对交易标的进行审计或者评估。</w:t>
      </w:r>
    </w:p>
    <w:p w:rsidR="008728BF" w:rsidRPr="00807C45" w:rsidRDefault="008728BF"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交易对方应当配合上市公司履行相应的审议程序和信息披露义务。</w:t>
      </w:r>
    </w:p>
    <w:p w:rsidR="008728BF" w:rsidRPr="00807C45" w:rsidRDefault="00955470"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第六条 </w:t>
      </w:r>
      <w:r w:rsidRPr="00807C45">
        <w:rPr>
          <w:rFonts w:ascii="仿宋_GB2312" w:eastAsia="仿宋_GB2312" w:hAnsiTheme="minorEastAsia" w:cs="Times New Roman" w:hint="eastAsia"/>
          <w:bCs/>
          <w:color w:val="000000" w:themeColor="text1"/>
          <w:kern w:val="0"/>
          <w:sz w:val="30"/>
          <w:szCs w:val="30"/>
        </w:rPr>
        <w:t>上市公司应</w:t>
      </w:r>
      <w:r w:rsidR="00E3221E">
        <w:rPr>
          <w:rFonts w:ascii="仿宋_GB2312" w:eastAsia="仿宋_GB2312" w:hAnsiTheme="minorEastAsia" w:cs="Times New Roman" w:hint="eastAsia"/>
          <w:bCs/>
          <w:color w:val="000000" w:themeColor="text1"/>
          <w:kern w:val="0"/>
          <w:sz w:val="30"/>
          <w:szCs w:val="30"/>
        </w:rPr>
        <w:t>当</w:t>
      </w:r>
      <w:r w:rsidRPr="00807C45">
        <w:rPr>
          <w:rFonts w:ascii="仿宋_GB2312" w:eastAsia="仿宋_GB2312" w:hAnsiTheme="minorEastAsia" w:cs="Times New Roman" w:hint="eastAsia"/>
          <w:bCs/>
          <w:color w:val="000000" w:themeColor="text1"/>
          <w:kern w:val="0"/>
          <w:sz w:val="30"/>
          <w:szCs w:val="30"/>
        </w:rPr>
        <w:t>及时通过本所业务管理</w:t>
      </w:r>
      <w:r w:rsidRPr="00807C45">
        <w:rPr>
          <w:rFonts w:ascii="仿宋_GB2312" w:eastAsia="仿宋_GB2312" w:hAnsiTheme="minorEastAsia" w:cs="Times New Roman"/>
          <w:bCs/>
          <w:color w:val="000000" w:themeColor="text1"/>
          <w:kern w:val="0"/>
          <w:sz w:val="30"/>
          <w:szCs w:val="30"/>
        </w:rPr>
        <w:t>系统</w:t>
      </w:r>
      <w:r w:rsidRPr="00807C45">
        <w:rPr>
          <w:rFonts w:ascii="仿宋_GB2312" w:eastAsia="仿宋_GB2312" w:hAnsiTheme="minorEastAsia" w:cs="Times New Roman" w:hint="eastAsia"/>
          <w:bCs/>
          <w:color w:val="000000" w:themeColor="text1"/>
          <w:kern w:val="0"/>
          <w:sz w:val="30"/>
          <w:szCs w:val="30"/>
        </w:rPr>
        <w:t>填报</w:t>
      </w:r>
      <w:r w:rsidR="00A8425B">
        <w:rPr>
          <w:rFonts w:ascii="仿宋_GB2312" w:eastAsia="仿宋_GB2312" w:hAnsiTheme="minorEastAsia" w:cs="Times New Roman" w:hint="eastAsia"/>
          <w:bCs/>
          <w:color w:val="000000" w:themeColor="text1"/>
          <w:kern w:val="0"/>
          <w:sz w:val="30"/>
          <w:szCs w:val="30"/>
        </w:rPr>
        <w:t>和</w:t>
      </w:r>
      <w:r w:rsidRPr="00807C45">
        <w:rPr>
          <w:rFonts w:ascii="仿宋_GB2312" w:eastAsia="仿宋_GB2312" w:hAnsiTheme="minorEastAsia" w:cs="Times New Roman" w:hint="eastAsia"/>
          <w:bCs/>
          <w:color w:val="000000" w:themeColor="text1"/>
          <w:kern w:val="0"/>
          <w:sz w:val="30"/>
          <w:szCs w:val="30"/>
        </w:rPr>
        <w:t>更新上市公司关联人名单及关联关系信息。</w:t>
      </w:r>
    </w:p>
    <w:p w:rsidR="00955470" w:rsidRPr="00807C45" w:rsidRDefault="00955470"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第七条 </w:t>
      </w:r>
      <w:r w:rsidRPr="00807C45">
        <w:rPr>
          <w:rFonts w:ascii="仿宋_GB2312" w:eastAsia="仿宋_GB2312" w:hAnsiTheme="minorEastAsia" w:cs="Times New Roman" w:hint="eastAsia"/>
          <w:bCs/>
          <w:color w:val="000000" w:themeColor="text1"/>
          <w:kern w:val="0"/>
          <w:sz w:val="30"/>
          <w:szCs w:val="30"/>
        </w:rPr>
        <w:t>上市公司披露的交易事项涉及资产评估的，应当按照相关规定披露评估情况。</w:t>
      </w:r>
    </w:p>
    <w:p w:rsidR="00955470" w:rsidRPr="00807C45" w:rsidRDefault="00955470"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提交股东大会审议的交易事项涉及的交易标的评估值</w:t>
      </w:r>
      <w:r w:rsidR="004F3C09">
        <w:rPr>
          <w:rFonts w:ascii="仿宋_GB2312" w:eastAsia="仿宋_GB2312" w:hAnsiTheme="minorEastAsia" w:cs="Times New Roman" w:hint="eastAsia"/>
          <w:bCs/>
          <w:color w:val="000000" w:themeColor="text1"/>
          <w:kern w:val="0"/>
          <w:sz w:val="30"/>
          <w:szCs w:val="30"/>
        </w:rPr>
        <w:t>较账面值</w:t>
      </w:r>
      <w:r w:rsidRPr="00807C45">
        <w:rPr>
          <w:rFonts w:ascii="仿宋_GB2312" w:eastAsia="仿宋_GB2312" w:hAnsiTheme="minorEastAsia" w:cs="Times New Roman" w:hint="eastAsia"/>
          <w:bCs/>
          <w:color w:val="000000" w:themeColor="text1"/>
          <w:kern w:val="0"/>
          <w:sz w:val="30"/>
          <w:szCs w:val="30"/>
        </w:rPr>
        <w:t>增减值较大</w:t>
      </w:r>
      <w:r w:rsidR="008523D3" w:rsidRPr="00807C45">
        <w:rPr>
          <w:rFonts w:ascii="仿宋_GB2312" w:eastAsia="仿宋_GB2312" w:hAnsiTheme="minorEastAsia" w:cs="Times New Roman" w:hint="eastAsia"/>
          <w:bCs/>
          <w:color w:val="000000" w:themeColor="text1"/>
          <w:kern w:val="0"/>
          <w:sz w:val="30"/>
          <w:szCs w:val="30"/>
        </w:rPr>
        <w:t>的</w:t>
      </w:r>
      <w:r w:rsidRPr="00807C45">
        <w:rPr>
          <w:rFonts w:ascii="仿宋_GB2312" w:eastAsia="仿宋_GB2312" w:hAnsiTheme="minorEastAsia" w:cs="Times New Roman" w:hint="eastAsia"/>
          <w:bCs/>
          <w:color w:val="000000" w:themeColor="text1"/>
          <w:kern w:val="0"/>
          <w:sz w:val="30"/>
          <w:szCs w:val="30"/>
        </w:rPr>
        <w:t>，上市公司应当详细披露增减值原因、评估结果的推算过程。上市公司独立董事应当对评估机构的选聘、评估机构的独立性、评估假设的合理性和评估结论的公允性发表明确意见。</w:t>
      </w:r>
    </w:p>
    <w:p w:rsidR="007F4958" w:rsidRPr="00807C45" w:rsidRDefault="007F4958"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p>
    <w:p w:rsidR="00A50DC7" w:rsidRPr="00053B03" w:rsidRDefault="00955470" w:rsidP="000907B2">
      <w:pPr>
        <w:spacing w:line="560" w:lineRule="exact"/>
        <w:jc w:val="center"/>
        <w:rPr>
          <w:rFonts w:ascii="黑体" w:eastAsia="黑体" w:hAnsi="仿宋" w:cs="Arial"/>
          <w:b/>
          <w:color w:val="000000"/>
          <w:sz w:val="30"/>
          <w:szCs w:val="30"/>
        </w:rPr>
      </w:pPr>
      <w:r w:rsidRPr="00053B03">
        <w:rPr>
          <w:rFonts w:ascii="黑体" w:eastAsia="黑体" w:hAnsi="仿宋" w:cs="Arial" w:hint="eastAsia"/>
          <w:b/>
          <w:color w:val="000000"/>
          <w:sz w:val="30"/>
          <w:szCs w:val="30"/>
        </w:rPr>
        <w:t>第二章 关联交易的审议和</w:t>
      </w:r>
      <w:r w:rsidRPr="00053B03">
        <w:rPr>
          <w:rFonts w:ascii="黑体" w:eastAsia="黑体" w:hAnsi="仿宋" w:cs="Arial"/>
          <w:b/>
          <w:color w:val="000000"/>
          <w:sz w:val="30"/>
          <w:szCs w:val="30"/>
        </w:rPr>
        <w:t>披露</w:t>
      </w:r>
    </w:p>
    <w:p w:rsidR="00955470" w:rsidRPr="00807C45" w:rsidRDefault="00955470" w:rsidP="000907B2">
      <w:pPr>
        <w:adjustRightInd w:val="0"/>
        <w:snapToGrid w:val="0"/>
        <w:spacing w:line="560" w:lineRule="exact"/>
        <w:jc w:val="center"/>
        <w:rPr>
          <w:rFonts w:ascii="仿宋_GB2312" w:eastAsia="仿宋_GB2312" w:hAnsiTheme="minorEastAsia" w:cs="Times New Roman"/>
          <w:b/>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第一节　财务公司关联交易</w:t>
      </w:r>
    </w:p>
    <w:p w:rsidR="008D3886" w:rsidRPr="00807C45" w:rsidRDefault="006C7483"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第八条 </w:t>
      </w:r>
      <w:r w:rsidRPr="00807C45">
        <w:rPr>
          <w:rFonts w:ascii="仿宋_GB2312" w:eastAsia="仿宋_GB2312" w:hAnsiTheme="minorEastAsia" w:cs="Times New Roman" w:hint="eastAsia"/>
          <w:bCs/>
          <w:color w:val="000000" w:themeColor="text1"/>
          <w:kern w:val="0"/>
          <w:sz w:val="30"/>
          <w:szCs w:val="30"/>
        </w:rPr>
        <w:t>上市公司与存在关联关系的企业集团财务公司 （以下简称财务公司）以及上市公司控股的财务公司与关联人发生存款、贷款等金融业务的，相关财务公司应当具备相应业务资质，且相关财务公司的基本财务指标应当符合中国人民银行、中国银行保险监督管理委员会等监管机构的规定。</w:t>
      </w:r>
    </w:p>
    <w:p w:rsidR="006C7483" w:rsidRPr="00807C45" w:rsidRDefault="006C7483"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上市公司通过不具备相关业务资质的财务公司与关联人发生关联交易，构成关联人非经营性资金占用的，上市公司应当及时</w:t>
      </w:r>
      <w:r w:rsidR="002673AC">
        <w:rPr>
          <w:rFonts w:ascii="仿宋_GB2312" w:eastAsia="仿宋_GB2312" w:hAnsiTheme="minorEastAsia" w:cs="Times New Roman" w:hint="eastAsia"/>
          <w:bCs/>
          <w:color w:val="000000" w:themeColor="text1"/>
          <w:kern w:val="0"/>
          <w:sz w:val="30"/>
          <w:szCs w:val="30"/>
        </w:rPr>
        <w:t>披露</w:t>
      </w:r>
      <w:r w:rsidRPr="00807C45">
        <w:rPr>
          <w:rFonts w:ascii="仿宋_GB2312" w:eastAsia="仿宋_GB2312" w:hAnsiTheme="minorEastAsia" w:cs="Times New Roman" w:hint="eastAsia"/>
          <w:bCs/>
          <w:color w:val="000000" w:themeColor="text1"/>
          <w:kern w:val="0"/>
          <w:sz w:val="30"/>
          <w:szCs w:val="30"/>
        </w:rPr>
        <w:t>并按照规定予以解决。</w:t>
      </w:r>
    </w:p>
    <w:p w:rsidR="006C7483" w:rsidRPr="00807C45" w:rsidRDefault="006C7483"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第九条 </w:t>
      </w:r>
      <w:r w:rsidRPr="00807C45">
        <w:rPr>
          <w:rFonts w:ascii="仿宋_GB2312" w:eastAsia="仿宋_GB2312" w:hAnsiTheme="minorEastAsia" w:cs="Times New Roman" w:hint="eastAsia"/>
          <w:bCs/>
          <w:color w:val="000000" w:themeColor="text1"/>
          <w:kern w:val="0"/>
          <w:sz w:val="30"/>
          <w:szCs w:val="30"/>
        </w:rPr>
        <w:t>上市公司与存在关联关系的财务公司发生存款、贷款等金融业务的，应</w:t>
      </w:r>
      <w:r w:rsidR="0023063B" w:rsidRPr="00807C45">
        <w:rPr>
          <w:rFonts w:ascii="仿宋_GB2312" w:eastAsia="仿宋_GB2312" w:hAnsiTheme="minorEastAsia" w:cs="Times New Roman" w:hint="eastAsia"/>
          <w:bCs/>
          <w:color w:val="000000" w:themeColor="text1"/>
          <w:kern w:val="0"/>
          <w:sz w:val="30"/>
          <w:szCs w:val="30"/>
        </w:rPr>
        <w:t>当</w:t>
      </w:r>
      <w:r w:rsidRPr="00807C45">
        <w:rPr>
          <w:rFonts w:ascii="仿宋_GB2312" w:eastAsia="仿宋_GB2312" w:hAnsiTheme="minorEastAsia" w:cs="Times New Roman" w:hint="eastAsia"/>
          <w:bCs/>
          <w:color w:val="000000" w:themeColor="text1"/>
          <w:kern w:val="0"/>
          <w:sz w:val="30"/>
          <w:szCs w:val="30"/>
        </w:rPr>
        <w:t>以存款本金额度及利息、贷款利息金</w:t>
      </w:r>
      <w:r w:rsidR="006174B5" w:rsidRPr="00807C45">
        <w:rPr>
          <w:rFonts w:ascii="仿宋_GB2312" w:eastAsia="仿宋_GB2312" w:hAnsiTheme="minorEastAsia" w:cs="Times New Roman" w:hint="eastAsia"/>
          <w:bCs/>
          <w:color w:val="000000" w:themeColor="text1"/>
          <w:kern w:val="0"/>
          <w:sz w:val="30"/>
          <w:szCs w:val="30"/>
        </w:rPr>
        <w:t>额</w:t>
      </w:r>
      <w:r w:rsidR="002F350C" w:rsidRPr="00807C45">
        <w:rPr>
          <w:rFonts w:ascii="仿宋_GB2312" w:eastAsia="仿宋_GB2312" w:hAnsiTheme="minorEastAsia" w:cs="Times New Roman" w:hint="eastAsia"/>
          <w:bCs/>
          <w:color w:val="000000" w:themeColor="text1"/>
          <w:kern w:val="0"/>
          <w:sz w:val="30"/>
          <w:szCs w:val="30"/>
        </w:rPr>
        <w:t>中</w:t>
      </w:r>
      <w:r w:rsidRPr="00807C45">
        <w:rPr>
          <w:rFonts w:ascii="仿宋_GB2312" w:eastAsia="仿宋_GB2312" w:hAnsiTheme="minorEastAsia" w:cs="Times New Roman" w:hint="eastAsia"/>
          <w:bCs/>
          <w:color w:val="000000" w:themeColor="text1"/>
          <w:kern w:val="0"/>
          <w:sz w:val="30"/>
          <w:szCs w:val="30"/>
        </w:rPr>
        <w:t>孰高为标准适用《股票上市规则》关联交易的相关规定。</w:t>
      </w:r>
    </w:p>
    <w:p w:rsidR="006C7483" w:rsidRPr="00807C45" w:rsidRDefault="006C7483"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上市公司控股的财务公司与关联人发生存款、贷款等金融业务的，应当以存款利息、贷款本金额度及利息金额</w:t>
      </w:r>
      <w:r w:rsidR="002F350C" w:rsidRPr="00807C45">
        <w:rPr>
          <w:rFonts w:ascii="仿宋_GB2312" w:eastAsia="仿宋_GB2312" w:hAnsiTheme="minorEastAsia" w:cs="Times New Roman" w:hint="eastAsia"/>
          <w:bCs/>
          <w:color w:val="000000" w:themeColor="text1"/>
          <w:kern w:val="0"/>
          <w:sz w:val="30"/>
          <w:szCs w:val="30"/>
        </w:rPr>
        <w:t>中</w:t>
      </w:r>
      <w:r w:rsidRPr="00807C45">
        <w:rPr>
          <w:rFonts w:ascii="仿宋_GB2312" w:eastAsia="仿宋_GB2312" w:hAnsiTheme="minorEastAsia" w:cs="Times New Roman" w:hint="eastAsia"/>
          <w:bCs/>
          <w:color w:val="000000" w:themeColor="text1"/>
          <w:kern w:val="0"/>
          <w:sz w:val="30"/>
          <w:szCs w:val="30"/>
        </w:rPr>
        <w:t>孰高为标准适用《股票上市规则》的相关规定。</w:t>
      </w:r>
    </w:p>
    <w:p w:rsidR="00C437FA" w:rsidRPr="00807C45" w:rsidRDefault="00C437FA"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第十条 </w:t>
      </w:r>
      <w:r w:rsidRPr="00807C45">
        <w:rPr>
          <w:rFonts w:ascii="仿宋_GB2312" w:eastAsia="仿宋_GB2312" w:hAnsiTheme="minorEastAsia" w:cs="Times New Roman" w:hint="eastAsia"/>
          <w:bCs/>
          <w:color w:val="000000" w:themeColor="text1"/>
          <w:kern w:val="0"/>
          <w:sz w:val="30"/>
          <w:szCs w:val="30"/>
        </w:rPr>
        <w:t>上市公司与关联人发生涉及财务公司的关联交易应当签订金融服务协议，并作为单独议案提交董事会或者股东大会审议并披露。</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金融服务协议应当明确协议期限、交易类型、各类交易预计额度、交易定价、风险评估及控制措施等内容，并予以披露。</w:t>
      </w:r>
    </w:p>
    <w:p w:rsidR="00955470"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金融服务协议超过</w:t>
      </w:r>
      <w:r w:rsidR="00FB2606">
        <w:rPr>
          <w:rFonts w:ascii="仿宋_GB2312" w:eastAsia="仿宋_GB2312" w:hAnsiTheme="minorEastAsia" w:cs="Times New Roman" w:hint="eastAsia"/>
          <w:bCs/>
          <w:color w:val="000000" w:themeColor="text1"/>
          <w:kern w:val="0"/>
          <w:sz w:val="30"/>
          <w:szCs w:val="30"/>
        </w:rPr>
        <w:t>3年的，应当每3</w:t>
      </w:r>
      <w:r w:rsidRPr="00807C45">
        <w:rPr>
          <w:rFonts w:ascii="仿宋_GB2312" w:eastAsia="仿宋_GB2312" w:hAnsiTheme="minorEastAsia" w:cs="Times New Roman" w:hint="eastAsia"/>
          <w:bCs/>
          <w:color w:val="000000" w:themeColor="text1"/>
          <w:kern w:val="0"/>
          <w:sz w:val="30"/>
          <w:szCs w:val="30"/>
        </w:rPr>
        <w:t>年重新履行审议程序和信息披露义务。</w:t>
      </w:r>
    </w:p>
    <w:p w:rsidR="00C437FA" w:rsidRPr="00807C45" w:rsidRDefault="00C437FA"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第十一条 </w:t>
      </w:r>
      <w:r w:rsidRPr="00807C45">
        <w:rPr>
          <w:rFonts w:ascii="仿宋_GB2312" w:eastAsia="仿宋_GB2312" w:hAnsiTheme="minorEastAsia" w:cs="Times New Roman" w:hint="eastAsia"/>
          <w:bCs/>
          <w:color w:val="000000" w:themeColor="text1"/>
          <w:kern w:val="0"/>
          <w:sz w:val="30"/>
          <w:szCs w:val="30"/>
        </w:rPr>
        <w:t>上市公司与存在关联关系的财务公司签署金融服务协议，应当在资金存放于财务公司前取得并审阅财务公司经审计的年度财务报告，对财务公司的经营资质、业务和风险状况进行评估，出具风险评估报告，并作为单独议案提交董事会审议并披露。风险评估报告应当至少包括财务公司及其业务的合法合规情况、是否存在违反《企业集团财务公司管理办法》等规定情形、经符合《证券法》规定的会计师事务所审计的最近一年主要财务数据、持续风险评估措施等内容。</w:t>
      </w:r>
    </w:p>
    <w:p w:rsidR="00C437FA" w:rsidRPr="00807C45" w:rsidRDefault="00C437FA"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第十二条 </w:t>
      </w:r>
      <w:r w:rsidRPr="00807C45">
        <w:rPr>
          <w:rFonts w:ascii="仿宋_GB2312" w:eastAsia="仿宋_GB2312" w:hAnsiTheme="minorEastAsia" w:cs="Times New Roman" w:hint="eastAsia"/>
          <w:bCs/>
          <w:color w:val="000000" w:themeColor="text1"/>
          <w:kern w:val="0"/>
          <w:sz w:val="30"/>
          <w:szCs w:val="30"/>
        </w:rPr>
        <w:t>上市公司与关联人发生涉及财务公司的关联交易，上市公司应当制定以保障资金安全性为目标的风险处置预案，分析可能出现的影响上市公司资金安全的风险，针对相关风险提出解决措施及资金保全方案并明确相应责任人，作为单独议案提交董事会审议并披露。</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关联交易存续期间</w:t>
      </w:r>
      <w:r w:rsidR="00390668" w:rsidRPr="00807C45">
        <w:rPr>
          <w:rFonts w:ascii="仿宋_GB2312" w:eastAsia="仿宋_GB2312" w:hAnsiTheme="minorEastAsia" w:cs="Times New Roman" w:hint="eastAsia"/>
          <w:bCs/>
          <w:color w:val="000000" w:themeColor="text1"/>
          <w:kern w:val="0"/>
          <w:sz w:val="30"/>
          <w:szCs w:val="30"/>
        </w:rPr>
        <w:t>，</w:t>
      </w:r>
      <w:r w:rsidRPr="00807C45">
        <w:rPr>
          <w:rFonts w:ascii="仿宋_GB2312" w:eastAsia="仿宋_GB2312" w:hAnsiTheme="minorEastAsia" w:cs="Times New Roman" w:hint="eastAsia"/>
          <w:bCs/>
          <w:color w:val="000000" w:themeColor="text1"/>
          <w:kern w:val="0"/>
          <w:sz w:val="30"/>
          <w:szCs w:val="30"/>
        </w:rPr>
        <w:t>上市公司应当指派专门机构和人员对存放于财务公司的资金风险状况进行动态评估和监督。如出现风险处置预案确定的风险情形，上市公司应当及时予以披露，并积极采取措施保障上市公司利益。财务公司等关联人应当及时书面告知上市公司，并配合上市公司履行信息披露义务。</w:t>
      </w:r>
    </w:p>
    <w:p w:rsidR="00C437FA" w:rsidRPr="00807C45" w:rsidRDefault="00C437FA"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第十三条 </w:t>
      </w:r>
      <w:r w:rsidRPr="00807C45">
        <w:rPr>
          <w:rFonts w:ascii="仿宋_GB2312" w:eastAsia="仿宋_GB2312" w:hAnsiTheme="minorEastAsia" w:cs="Times New Roman" w:hint="eastAsia"/>
          <w:bCs/>
          <w:color w:val="000000" w:themeColor="text1"/>
          <w:kern w:val="0"/>
          <w:sz w:val="30"/>
          <w:szCs w:val="30"/>
        </w:rPr>
        <w:t>上市公司独立董事应当对财务公司的资质、关联交易的必要性、公允性以及对上市公司的影响等发表意见，并对金融服务协议的合理性、风险评估报告的客观性和公正性、风险处置预案的充分性和可行性等发表意见。</w:t>
      </w:r>
    </w:p>
    <w:p w:rsidR="00C437FA" w:rsidRPr="00807C45" w:rsidRDefault="00C437FA"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第十四条 </w:t>
      </w:r>
      <w:r w:rsidRPr="00807C45">
        <w:rPr>
          <w:rFonts w:ascii="仿宋_GB2312" w:eastAsia="仿宋_GB2312" w:hAnsiTheme="minorEastAsia" w:cs="Times New Roman" w:hint="eastAsia"/>
          <w:bCs/>
          <w:color w:val="000000" w:themeColor="text1"/>
          <w:kern w:val="0"/>
          <w:sz w:val="30"/>
          <w:szCs w:val="30"/>
        </w:rPr>
        <w:t>上市公司与存在关联关系的财务公司或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上市公司控股的财务公司与关联人</w:t>
      </w:r>
      <w:r w:rsidR="006174B5" w:rsidRPr="00807C45">
        <w:rPr>
          <w:rFonts w:ascii="仿宋_GB2312" w:eastAsia="仿宋_GB2312" w:hAnsiTheme="minorEastAsia" w:cs="Times New Roman" w:hint="eastAsia"/>
          <w:bCs/>
          <w:color w:val="000000" w:themeColor="text1"/>
          <w:kern w:val="0"/>
          <w:sz w:val="30"/>
          <w:szCs w:val="30"/>
        </w:rPr>
        <w:t>发</w:t>
      </w:r>
      <w:r w:rsidRPr="00807C45">
        <w:rPr>
          <w:rFonts w:ascii="仿宋_GB2312" w:eastAsia="仿宋_GB2312" w:hAnsiTheme="minorEastAsia" w:cs="Times New Roman" w:hint="eastAsia"/>
          <w:bCs/>
          <w:color w:val="000000" w:themeColor="text1"/>
          <w:kern w:val="0"/>
          <w:sz w:val="30"/>
          <w:szCs w:val="30"/>
        </w:rPr>
        <w:t>生存款、贷款等关联交易的，应当披露存款、贷款利率等的确定方式，并与存款基准利率、贷款市场报价利率等指标对比，说明交易定价是否公允，是否充分保护上市公司利益和中小股东合法权益。</w:t>
      </w:r>
    </w:p>
    <w:p w:rsidR="00C437FA" w:rsidRPr="00807C45" w:rsidRDefault="00C437FA"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第十五条 </w:t>
      </w:r>
      <w:r w:rsidRPr="00807C45">
        <w:rPr>
          <w:rFonts w:ascii="仿宋_GB2312" w:eastAsia="仿宋_GB2312" w:hAnsiTheme="minorEastAsia" w:cs="Times New Roman" w:hint="eastAsia"/>
          <w:bCs/>
          <w:color w:val="000000" w:themeColor="text1"/>
          <w:kern w:val="0"/>
          <w:sz w:val="30"/>
          <w:szCs w:val="30"/>
        </w:rPr>
        <w:t>上市公司与关联人签订金融服务协议约定每年度各类金融业务规模，应当在协议期间内的每个年度及时披露预计业务情况：</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（一）该年度每日最高存款限额、存款利率范围；</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（二）该年度贷款额度、贷款利率范围；</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（三）该年度授信总额、其他金融业务额度等。</w:t>
      </w:r>
    </w:p>
    <w:p w:rsidR="00851484"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上市公司与关联人签订超过一年的金融服务协议</w:t>
      </w:r>
      <w:r w:rsidR="00851484" w:rsidRPr="00807C45">
        <w:rPr>
          <w:rFonts w:ascii="仿宋_GB2312" w:eastAsia="仿宋_GB2312" w:hAnsiTheme="minorEastAsia" w:cs="Times New Roman" w:hint="eastAsia"/>
          <w:bCs/>
          <w:color w:val="000000" w:themeColor="text1"/>
          <w:kern w:val="0"/>
          <w:sz w:val="30"/>
          <w:szCs w:val="30"/>
        </w:rPr>
        <w:t>，</w:t>
      </w:r>
      <w:r w:rsidRPr="00807C45">
        <w:rPr>
          <w:rFonts w:ascii="仿宋_GB2312" w:eastAsia="仿宋_GB2312" w:hAnsiTheme="minorEastAsia" w:cs="Times New Roman" w:hint="eastAsia"/>
          <w:bCs/>
          <w:color w:val="000000" w:themeColor="text1"/>
          <w:kern w:val="0"/>
          <w:sz w:val="30"/>
          <w:szCs w:val="30"/>
        </w:rPr>
        <w:t>约定每年度各类金融业务规模，并按照规定提交股东大会审议，且协议期间财务公司不存在违法违规、业务违约、资金安全性和可收回性难以保障等可能损害上市公司利益或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风险处置预案确定的风险情形的，上市公司应当按照前款规定履行信息披露义务，并就财务公司的合规经营情况和业务风险状况、资金安全性和可收回性，以及不存在其他风险情形等予以充分说明。</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如财务公司在协议期间发生前述风险情形，且上市公司拟继续在下一年度开展相关金融业务的，上市公司与关联人应当重新签订下一年度金融服务协议，充分说明继续开展相关金融业务的主要考虑及保障措施，并履行股东大会审议程序。</w:t>
      </w:r>
    </w:p>
    <w:p w:rsidR="00C437FA" w:rsidRPr="00807C45" w:rsidRDefault="00C437FA"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第十六条 </w:t>
      </w:r>
      <w:r w:rsidRPr="00807C45">
        <w:rPr>
          <w:rFonts w:ascii="仿宋_GB2312" w:eastAsia="仿宋_GB2312" w:hAnsiTheme="minorEastAsia" w:cs="Times New Roman" w:hint="eastAsia"/>
          <w:bCs/>
          <w:color w:val="000000" w:themeColor="text1"/>
          <w:kern w:val="0"/>
          <w:sz w:val="30"/>
          <w:szCs w:val="30"/>
        </w:rPr>
        <w:t>上市公司应当在定期报告中持续披露涉及财务公司的关联交易情况，每半年取得并审阅财务公司的财务报告，出具风险持续评估报告，并与半年度报告、年度报告同步披露。</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风险持续评估报告应当强化现金管理科学性，结合同行业</w:t>
      </w:r>
      <w:r w:rsidR="00AC5BC7" w:rsidRPr="00807C45">
        <w:rPr>
          <w:rFonts w:ascii="仿宋_GB2312" w:eastAsia="仿宋_GB2312" w:hAnsiTheme="minorEastAsia" w:cs="Times New Roman" w:hint="eastAsia"/>
          <w:bCs/>
          <w:color w:val="000000" w:themeColor="text1"/>
          <w:kern w:val="0"/>
          <w:sz w:val="30"/>
          <w:szCs w:val="30"/>
        </w:rPr>
        <w:t>其他</w:t>
      </w:r>
      <w:r w:rsidRPr="00807C45">
        <w:rPr>
          <w:rFonts w:ascii="仿宋_GB2312" w:eastAsia="仿宋_GB2312" w:hAnsiTheme="minorEastAsia" w:cs="Times New Roman" w:hint="eastAsia"/>
          <w:bCs/>
          <w:color w:val="000000" w:themeColor="text1"/>
          <w:kern w:val="0"/>
          <w:sz w:val="30"/>
          <w:szCs w:val="30"/>
        </w:rPr>
        <w:t>上市公司资金支出情况，对报告期内资金收支的整体安排及其在财务公司存款是否将影响正常生产经营作出必要说明，包括是</w:t>
      </w:r>
      <w:r w:rsidR="006174B5" w:rsidRPr="00807C45">
        <w:rPr>
          <w:rFonts w:ascii="仿宋_GB2312" w:eastAsia="仿宋_GB2312" w:hAnsiTheme="minorEastAsia" w:cs="Times New Roman" w:hint="eastAsia"/>
          <w:bCs/>
          <w:color w:val="000000" w:themeColor="text1"/>
          <w:kern w:val="0"/>
          <w:sz w:val="30"/>
          <w:szCs w:val="30"/>
        </w:rPr>
        <w:t>否存在重大经营性支出计划、同期在其他银行存贷款情况、在财务公司存款比例和贷款比例及其合理性、对外投资理财情况等。</w:t>
      </w:r>
      <w:r w:rsidR="00FE34E2" w:rsidRPr="00807C45">
        <w:rPr>
          <w:rFonts w:ascii="仿宋_GB2312" w:eastAsia="仿宋_GB2312" w:hAnsiTheme="minorEastAsia" w:cs="Times New Roman" w:hint="eastAsia"/>
          <w:bCs/>
          <w:color w:val="000000" w:themeColor="text1"/>
          <w:kern w:val="0"/>
          <w:sz w:val="30"/>
          <w:szCs w:val="30"/>
        </w:rPr>
        <w:t>其中，上市公司在财务公司存（贷）款比例是指上市公司在财务公司的</w:t>
      </w:r>
      <w:r w:rsidR="004C0698" w:rsidRPr="00807C45">
        <w:rPr>
          <w:rFonts w:ascii="仿宋_GB2312" w:eastAsia="仿宋_GB2312" w:hAnsiTheme="minorEastAsia" w:cs="Times New Roman" w:hint="eastAsia"/>
          <w:bCs/>
          <w:color w:val="000000" w:themeColor="text1"/>
          <w:kern w:val="0"/>
          <w:sz w:val="30"/>
          <w:szCs w:val="30"/>
        </w:rPr>
        <w:t>存（贷）款</w:t>
      </w:r>
      <w:r w:rsidR="007B70CE" w:rsidRPr="00807C45">
        <w:rPr>
          <w:rFonts w:ascii="仿宋_GB2312" w:eastAsia="仿宋_GB2312" w:hAnsiTheme="minorEastAsia" w:cs="Times New Roman" w:hint="eastAsia"/>
          <w:bCs/>
          <w:color w:val="000000" w:themeColor="text1"/>
          <w:kern w:val="0"/>
          <w:sz w:val="30"/>
          <w:szCs w:val="30"/>
        </w:rPr>
        <w:t>期末</w:t>
      </w:r>
      <w:r w:rsidR="004C0698" w:rsidRPr="00807C45">
        <w:rPr>
          <w:rFonts w:ascii="仿宋_GB2312" w:eastAsia="仿宋_GB2312" w:hAnsiTheme="minorEastAsia" w:cs="Times New Roman" w:hint="eastAsia"/>
          <w:bCs/>
          <w:color w:val="000000" w:themeColor="text1"/>
          <w:kern w:val="0"/>
          <w:sz w:val="30"/>
          <w:szCs w:val="30"/>
        </w:rPr>
        <w:t>余额占其在财务公司和银行存（贷）款期末余额总额的比例。</w:t>
      </w:r>
    </w:p>
    <w:p w:rsidR="00C437FA" w:rsidRPr="00807C45" w:rsidRDefault="00C437FA"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为上市公司提供审计服务的会计师事务所应当每年</w:t>
      </w:r>
      <w:r w:rsidR="006174B5" w:rsidRPr="00807C45">
        <w:rPr>
          <w:rFonts w:ascii="仿宋_GB2312" w:eastAsia="仿宋_GB2312" w:hAnsiTheme="minorEastAsia" w:cs="Times New Roman" w:hint="eastAsia"/>
          <w:bCs/>
          <w:color w:val="000000" w:themeColor="text1"/>
          <w:kern w:val="0"/>
          <w:sz w:val="30"/>
          <w:szCs w:val="30"/>
        </w:rPr>
        <w:t>度提交</w:t>
      </w:r>
      <w:r w:rsidRPr="00807C45">
        <w:rPr>
          <w:rFonts w:ascii="仿宋_GB2312" w:eastAsia="仿宋_GB2312" w:hAnsiTheme="minorEastAsia" w:cs="Times New Roman" w:hint="eastAsia"/>
          <w:bCs/>
          <w:color w:val="000000" w:themeColor="text1"/>
          <w:kern w:val="0"/>
          <w:sz w:val="30"/>
          <w:szCs w:val="30"/>
        </w:rPr>
        <w:t>涉及财务公司关联交易的存款、贷款等金融业务的专项说明，按照存款、贷款等不同金融业务类别，分别统计每年度的发生额、余额，并与年度报告同步披露。保荐</w:t>
      </w:r>
      <w:r w:rsidR="00AC5BC7" w:rsidRPr="00807C45">
        <w:rPr>
          <w:rFonts w:ascii="仿宋_GB2312" w:eastAsia="仿宋_GB2312" w:hAnsiTheme="minorEastAsia" w:cs="Times New Roman" w:hint="eastAsia"/>
          <w:bCs/>
          <w:color w:val="000000" w:themeColor="text1"/>
          <w:kern w:val="0"/>
          <w:sz w:val="30"/>
          <w:szCs w:val="30"/>
        </w:rPr>
        <w:t>人</w:t>
      </w:r>
      <w:r w:rsidRPr="00807C45">
        <w:rPr>
          <w:rFonts w:ascii="仿宋_GB2312" w:eastAsia="仿宋_GB2312" w:hAnsiTheme="minorEastAsia" w:cs="Times New Roman" w:hint="eastAsia"/>
          <w:bCs/>
          <w:color w:val="000000" w:themeColor="text1"/>
          <w:kern w:val="0"/>
          <w:sz w:val="30"/>
          <w:szCs w:val="30"/>
        </w:rPr>
        <w:t>、独立财务顾问在持续督导期间应当每年度对金融服务协议条款的完备性、协议的执行情况、风险控制措施和风险处置预案的执行情况，以及上市公司对上述情况的信息披露的真实性进行专项核查，并与年度报告同步披露。独立董事应当结合会计师事务所等中介机构的专项说明，就涉及财务公司的关联交易事项是否公平、上市公司资金独立性、安全性以及是否存在被关联人占用的风险、是否损害上市公司</w:t>
      </w:r>
      <w:r w:rsidR="006174B5" w:rsidRPr="00807C45">
        <w:rPr>
          <w:rFonts w:ascii="仿宋_GB2312" w:eastAsia="仿宋_GB2312" w:hAnsiTheme="minorEastAsia" w:cs="Times New Roman" w:hint="eastAsia"/>
          <w:bCs/>
          <w:color w:val="000000" w:themeColor="text1"/>
          <w:kern w:val="0"/>
          <w:sz w:val="30"/>
          <w:szCs w:val="30"/>
        </w:rPr>
        <w:t>利益等发表明确意见，</w:t>
      </w:r>
      <w:r w:rsidR="00FE34E2" w:rsidRPr="00807C45">
        <w:rPr>
          <w:rFonts w:ascii="仿宋_GB2312" w:eastAsia="仿宋_GB2312" w:hAnsiTheme="minorEastAsia" w:cs="Times New Roman" w:hint="eastAsia"/>
          <w:bCs/>
          <w:color w:val="000000" w:themeColor="text1"/>
          <w:kern w:val="0"/>
          <w:sz w:val="30"/>
          <w:szCs w:val="30"/>
        </w:rPr>
        <w:t>并与年度报告同步</w:t>
      </w:r>
      <w:r w:rsidR="00E82F2A" w:rsidRPr="00807C45">
        <w:rPr>
          <w:rFonts w:ascii="仿宋_GB2312" w:eastAsia="仿宋_GB2312" w:hAnsiTheme="minorEastAsia" w:cs="Times New Roman" w:hint="eastAsia"/>
          <w:bCs/>
          <w:color w:val="000000" w:themeColor="text1"/>
          <w:kern w:val="0"/>
          <w:sz w:val="30"/>
          <w:szCs w:val="30"/>
        </w:rPr>
        <w:t>披露。</w:t>
      </w:r>
    </w:p>
    <w:p w:rsidR="00BC76D4" w:rsidRPr="00807C45" w:rsidRDefault="00BC76D4" w:rsidP="000907B2">
      <w:pPr>
        <w:adjustRightInd w:val="0"/>
        <w:snapToGrid w:val="0"/>
        <w:spacing w:line="560" w:lineRule="exact"/>
        <w:jc w:val="center"/>
        <w:rPr>
          <w:rFonts w:ascii="仿宋_GB2312" w:eastAsia="仿宋_GB2312" w:hAnsiTheme="minorEastAsia" w:cs="Times New Roman"/>
          <w:b/>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第二节</w:t>
      </w:r>
      <w:r w:rsidR="006174B5" w:rsidRPr="00807C45">
        <w:rPr>
          <w:rFonts w:ascii="仿宋_GB2312" w:eastAsia="仿宋_GB2312" w:hAnsiTheme="minorEastAsia" w:cs="Times New Roman"/>
          <w:b/>
          <w:bCs/>
          <w:color w:val="000000" w:themeColor="text1"/>
          <w:kern w:val="0"/>
          <w:sz w:val="30"/>
          <w:szCs w:val="30"/>
        </w:rPr>
        <w:t xml:space="preserve"> 关联共同投资</w:t>
      </w:r>
    </w:p>
    <w:p w:rsidR="00BC76D4" w:rsidRPr="00807C45" w:rsidRDefault="006174B5"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bookmarkStart w:id="0" w:name="_Hlk89203609"/>
      <w:r w:rsidRPr="00807C45">
        <w:rPr>
          <w:rFonts w:ascii="仿宋_GB2312" w:eastAsia="仿宋_GB2312" w:hAnsiTheme="minorEastAsia" w:cs="Times New Roman" w:hint="eastAsia"/>
          <w:b/>
          <w:bCs/>
          <w:color w:val="000000" w:themeColor="text1"/>
          <w:kern w:val="0"/>
          <w:sz w:val="30"/>
          <w:szCs w:val="30"/>
        </w:rPr>
        <w:t>第十七条</w:t>
      </w:r>
      <w:r w:rsidRPr="00807C45">
        <w:rPr>
          <w:rFonts w:ascii="仿宋_GB2312" w:eastAsia="仿宋_GB2312" w:hAnsiTheme="minorEastAsia" w:cs="Times New Roman"/>
          <w:b/>
          <w:bCs/>
          <w:color w:val="000000" w:themeColor="text1"/>
          <w:kern w:val="0"/>
          <w:sz w:val="30"/>
          <w:szCs w:val="30"/>
        </w:rPr>
        <w:t xml:space="preserve"> </w:t>
      </w:r>
      <w:r w:rsidRPr="00807C45">
        <w:rPr>
          <w:rFonts w:ascii="仿宋_GB2312" w:eastAsia="仿宋_GB2312" w:hAnsiTheme="minorEastAsia" w:cs="Times New Roman" w:hint="eastAsia"/>
          <w:bCs/>
          <w:color w:val="000000" w:themeColor="text1"/>
          <w:kern w:val="0"/>
          <w:sz w:val="30"/>
          <w:szCs w:val="30"/>
        </w:rPr>
        <w:t>上市公司与关联人共同投资，向共同投资的</w:t>
      </w:r>
      <w:r w:rsidR="00BC76D4" w:rsidRPr="00807C45">
        <w:rPr>
          <w:rFonts w:ascii="仿宋_GB2312" w:eastAsia="仿宋_GB2312" w:hAnsiTheme="minorEastAsia" w:cs="Times New Roman" w:hint="eastAsia"/>
          <w:bCs/>
          <w:color w:val="000000" w:themeColor="text1"/>
          <w:kern w:val="0"/>
          <w:sz w:val="30"/>
          <w:szCs w:val="30"/>
        </w:rPr>
        <w:t>企业增资、减资时，应当以上市公司的投资、增资、减资金额作为计算标准，适用《股票上市规则》的相关规定。</w:t>
      </w:r>
      <w:bookmarkEnd w:id="0"/>
    </w:p>
    <w:p w:rsidR="00BC76D4" w:rsidRPr="00807C45" w:rsidRDefault="00BC76D4"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十八</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上市公司关联人单方面向上市公司控制</w:t>
      </w:r>
      <w:r w:rsidR="00B2155A" w:rsidRPr="00807C45">
        <w:rPr>
          <w:rFonts w:ascii="仿宋_GB2312" w:eastAsia="仿宋_GB2312" w:hAnsiTheme="minorEastAsia" w:cs="Times New Roman" w:hint="eastAsia"/>
          <w:bCs/>
          <w:color w:val="000000" w:themeColor="text1"/>
          <w:kern w:val="0"/>
          <w:sz w:val="30"/>
          <w:szCs w:val="30"/>
        </w:rPr>
        <w:t>或</w:t>
      </w:r>
      <w:r w:rsidR="00E3221E">
        <w:rPr>
          <w:rFonts w:ascii="仿宋_GB2312" w:eastAsia="仿宋_GB2312" w:hAnsiTheme="minorEastAsia" w:cs="Times New Roman" w:hint="eastAsia"/>
          <w:bCs/>
          <w:color w:val="000000" w:themeColor="text1"/>
          <w:kern w:val="0"/>
          <w:sz w:val="30"/>
          <w:szCs w:val="30"/>
        </w:rPr>
        <w:t>者</w:t>
      </w:r>
      <w:r w:rsidR="00B2155A" w:rsidRPr="00807C45">
        <w:rPr>
          <w:rFonts w:ascii="仿宋_GB2312" w:eastAsia="仿宋_GB2312" w:hAnsiTheme="minorEastAsia" w:cs="Times New Roman" w:hint="eastAsia"/>
          <w:bCs/>
          <w:color w:val="000000" w:themeColor="text1"/>
          <w:kern w:val="0"/>
          <w:sz w:val="30"/>
          <w:szCs w:val="30"/>
        </w:rPr>
        <w:t>参股</w:t>
      </w:r>
      <w:r w:rsidRPr="00807C45">
        <w:rPr>
          <w:rFonts w:ascii="仿宋_GB2312" w:eastAsia="仿宋_GB2312" w:hAnsiTheme="minorEastAsia" w:cs="Times New Roman" w:hint="eastAsia"/>
          <w:bCs/>
          <w:color w:val="000000" w:themeColor="text1"/>
          <w:kern w:val="0"/>
          <w:sz w:val="30"/>
          <w:szCs w:val="30"/>
        </w:rPr>
        <w:t>的企业增资或者减资，涉及有关放弃权利情形的，应当适用放弃权利的相关规定。</w:t>
      </w:r>
      <w:r w:rsidR="00AC5BC7" w:rsidRPr="00807C45">
        <w:rPr>
          <w:rFonts w:ascii="仿宋_GB2312" w:eastAsia="仿宋_GB2312" w:hAnsiTheme="minorEastAsia" w:cs="Times New Roman" w:hint="eastAsia"/>
          <w:bCs/>
          <w:color w:val="000000" w:themeColor="text1"/>
          <w:kern w:val="0"/>
          <w:sz w:val="30"/>
          <w:szCs w:val="30"/>
        </w:rPr>
        <w:t>不</w:t>
      </w:r>
      <w:r w:rsidRPr="00807C45">
        <w:rPr>
          <w:rFonts w:ascii="仿宋_GB2312" w:eastAsia="仿宋_GB2312" w:hAnsiTheme="minorEastAsia" w:cs="Times New Roman" w:hint="eastAsia"/>
          <w:bCs/>
          <w:color w:val="000000" w:themeColor="text1"/>
          <w:kern w:val="0"/>
          <w:sz w:val="30"/>
          <w:szCs w:val="30"/>
        </w:rPr>
        <w:t>涉及放弃权利情形，但可能对上市公司的财务状况、经营成果构成重大影响或者导致上市公司与该主体的关联关系发生变化的，上市公司应当及时披露。</w:t>
      </w:r>
    </w:p>
    <w:p w:rsidR="00BD1CDD" w:rsidRPr="00807C45" w:rsidRDefault="00125831"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37F8D">
        <w:rPr>
          <w:rFonts w:ascii="仿宋_GB2312" w:eastAsia="仿宋_GB2312" w:hAnsiTheme="minorEastAsia" w:cs="Times New Roman" w:hint="eastAsia"/>
          <w:b/>
          <w:bCs/>
          <w:color w:val="000000" w:themeColor="text1"/>
          <w:kern w:val="0"/>
          <w:sz w:val="30"/>
          <w:szCs w:val="30"/>
        </w:rPr>
        <w:t>第十九条</w:t>
      </w:r>
      <w:r w:rsidRPr="00837F8D">
        <w:rPr>
          <w:rFonts w:ascii="仿宋_GB2312" w:eastAsia="仿宋_GB2312" w:hAnsiTheme="minorEastAsia" w:cs="Times New Roman"/>
          <w:b/>
          <w:bCs/>
          <w:color w:val="000000" w:themeColor="text1"/>
          <w:kern w:val="0"/>
          <w:sz w:val="30"/>
          <w:szCs w:val="30"/>
        </w:rPr>
        <w:t xml:space="preserve"> </w:t>
      </w:r>
      <w:r w:rsidRPr="00837F8D">
        <w:rPr>
          <w:rFonts w:ascii="仿宋_GB2312" w:eastAsia="仿宋_GB2312" w:hAnsiTheme="minorEastAsia" w:cs="Times New Roman" w:hint="eastAsia"/>
          <w:bCs/>
          <w:color w:val="000000" w:themeColor="text1"/>
          <w:kern w:val="0"/>
          <w:sz w:val="30"/>
          <w:szCs w:val="30"/>
        </w:rPr>
        <w:t>上市公司及其关联人向上市公司控制的关联共同投资企业以同等对价同比例现金增资，达到应当提交股东大会审议标准的，可免于按照《股票上市规则》的相关规定进行审计或者评估。</w:t>
      </w:r>
    </w:p>
    <w:p w:rsidR="00ED4DAD" w:rsidRPr="00807C45" w:rsidRDefault="00ED4DAD" w:rsidP="000907B2">
      <w:pPr>
        <w:adjustRightInd w:val="0"/>
        <w:snapToGrid w:val="0"/>
        <w:spacing w:line="560" w:lineRule="exact"/>
        <w:jc w:val="center"/>
        <w:rPr>
          <w:rFonts w:ascii="仿宋_GB2312" w:eastAsia="仿宋_GB2312" w:hAnsiTheme="minorEastAsia" w:cs="Times New Roman"/>
          <w:b/>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BD1CDD" w:rsidRPr="00807C45">
        <w:rPr>
          <w:rFonts w:ascii="仿宋_GB2312" w:eastAsia="仿宋_GB2312" w:hAnsiTheme="minorEastAsia" w:cs="Times New Roman" w:hint="eastAsia"/>
          <w:b/>
          <w:bCs/>
          <w:color w:val="000000" w:themeColor="text1"/>
          <w:kern w:val="0"/>
          <w:sz w:val="30"/>
          <w:szCs w:val="30"/>
        </w:rPr>
        <w:t>三</w:t>
      </w:r>
      <w:r w:rsidRPr="00807C45">
        <w:rPr>
          <w:rFonts w:ascii="仿宋_GB2312" w:eastAsia="仿宋_GB2312" w:hAnsiTheme="minorEastAsia" w:cs="Times New Roman" w:hint="eastAsia"/>
          <w:b/>
          <w:bCs/>
          <w:color w:val="000000" w:themeColor="text1"/>
          <w:kern w:val="0"/>
          <w:sz w:val="30"/>
          <w:szCs w:val="30"/>
        </w:rPr>
        <w:t>节　日常关联交易</w:t>
      </w:r>
    </w:p>
    <w:p w:rsidR="00ED4DAD" w:rsidRPr="00807C45" w:rsidRDefault="00ED4DAD"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二十</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上市公司根据《股票上市规则》的相关规定对日常关联交易进行预计应当区分交易对方、交易类型等分别进行预计。</w:t>
      </w:r>
    </w:p>
    <w:p w:rsidR="00955470" w:rsidRPr="00807C45" w:rsidRDefault="00ED4DAD"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关联人数量众多，上市公司难以披露全部关联人信息的，在充分说明原因的情况下可</w:t>
      </w:r>
      <w:r w:rsidR="008243CD">
        <w:rPr>
          <w:rFonts w:ascii="仿宋_GB2312" w:eastAsia="仿宋_GB2312" w:hAnsiTheme="minorEastAsia" w:cs="Times New Roman" w:hint="eastAsia"/>
          <w:bCs/>
          <w:color w:val="000000" w:themeColor="text1"/>
          <w:kern w:val="0"/>
          <w:sz w:val="30"/>
          <w:szCs w:val="30"/>
        </w:rPr>
        <w:t>以</w:t>
      </w:r>
      <w:r w:rsidRPr="00807C45">
        <w:rPr>
          <w:rFonts w:ascii="仿宋_GB2312" w:eastAsia="仿宋_GB2312" w:hAnsiTheme="minorEastAsia" w:cs="Times New Roman" w:hint="eastAsia"/>
          <w:bCs/>
          <w:color w:val="000000" w:themeColor="text1"/>
          <w:kern w:val="0"/>
          <w:sz w:val="30"/>
          <w:szCs w:val="30"/>
        </w:rPr>
        <w:t>简化披露，其中预计与单一法人主体发生交易金额达到《股票上市规则》规定披露标准的，应当单独列示关联人信息及预计交易金额，其他法人主体可以以同一控制为口径合并列示上述信息。</w:t>
      </w:r>
    </w:p>
    <w:p w:rsidR="00ED4DAD" w:rsidRPr="00807C45" w:rsidRDefault="00ED4DAD"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二十一</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对日常关联交易进行预计，在适用关于实际执行超出预计金额的规定时，以同一控制下的各个关联人与上市公司实际发生的各类关联交易合计金额与对应的预计总金额进行比较。非同一控制下的不同关联人与上市公司的关联交易金额不合并计算。</w:t>
      </w:r>
    </w:p>
    <w:p w:rsidR="00ED4DAD" w:rsidRPr="00C92DFE" w:rsidRDefault="00ED4DAD" w:rsidP="00017C12">
      <w:pPr>
        <w:adjustRightInd w:val="0"/>
        <w:snapToGrid w:val="0"/>
        <w:spacing w:line="560" w:lineRule="exact"/>
        <w:ind w:firstLineChars="200" w:firstLine="602"/>
        <w:rPr>
          <w:rFonts w:eastAsia="仿宋_GB2312"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二十二</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上市公司委托关联人销售公司生产或者经营的各种产品、商品，或者受关联人委托代为销售其生产或者经营的各种产品、商品的，除采取买断式委托方式的情形外，可以按照合同期内应</w:t>
      </w:r>
      <w:r w:rsidR="00C92DFE">
        <w:rPr>
          <w:rFonts w:ascii="仿宋_GB2312" w:eastAsia="仿宋_GB2312" w:hAnsiTheme="minorEastAsia" w:cs="Times New Roman" w:hint="eastAsia"/>
          <w:bCs/>
          <w:color w:val="000000" w:themeColor="text1"/>
          <w:kern w:val="0"/>
          <w:sz w:val="30"/>
          <w:szCs w:val="30"/>
        </w:rPr>
        <w:t>当</w:t>
      </w:r>
      <w:r w:rsidRPr="00807C45">
        <w:rPr>
          <w:rFonts w:ascii="仿宋_GB2312" w:eastAsia="仿宋_GB2312" w:hAnsiTheme="minorEastAsia" w:cs="Times New Roman" w:hint="eastAsia"/>
          <w:bCs/>
          <w:color w:val="000000" w:themeColor="text1"/>
          <w:kern w:val="0"/>
          <w:sz w:val="30"/>
          <w:szCs w:val="30"/>
        </w:rPr>
        <w:t>支付或者收取的委托代理费为标准适用《股票上市规则》的相关规定。</w:t>
      </w:r>
    </w:p>
    <w:p w:rsidR="00ED4DAD" w:rsidRPr="00807C45" w:rsidRDefault="00ED4DAD" w:rsidP="000907B2">
      <w:pPr>
        <w:adjustRightInd w:val="0"/>
        <w:snapToGrid w:val="0"/>
        <w:spacing w:line="560" w:lineRule="exact"/>
        <w:jc w:val="center"/>
        <w:rPr>
          <w:rFonts w:ascii="仿宋_GB2312" w:eastAsia="仿宋_GB2312" w:hAnsiTheme="minorEastAsia" w:cs="Times New Roman"/>
          <w:b/>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BD1CDD" w:rsidRPr="00807C45">
        <w:rPr>
          <w:rFonts w:ascii="仿宋_GB2312" w:eastAsia="仿宋_GB2312" w:hAnsiTheme="minorEastAsia" w:cs="Times New Roman" w:hint="eastAsia"/>
          <w:b/>
          <w:bCs/>
          <w:color w:val="000000" w:themeColor="text1"/>
          <w:kern w:val="0"/>
          <w:sz w:val="30"/>
          <w:szCs w:val="30"/>
        </w:rPr>
        <w:t>四</w:t>
      </w:r>
      <w:r w:rsidRPr="00807C45">
        <w:rPr>
          <w:rFonts w:ascii="仿宋_GB2312" w:eastAsia="仿宋_GB2312" w:hAnsiTheme="minorEastAsia" w:cs="Times New Roman" w:hint="eastAsia"/>
          <w:b/>
          <w:bCs/>
          <w:color w:val="000000" w:themeColor="text1"/>
          <w:kern w:val="0"/>
          <w:sz w:val="30"/>
          <w:szCs w:val="30"/>
        </w:rPr>
        <w:t>节 关联购买和出售资产</w:t>
      </w:r>
    </w:p>
    <w:p w:rsidR="0030290B" w:rsidRPr="00807C45" w:rsidRDefault="0030290B"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F03737" w:rsidRPr="00807C45">
        <w:rPr>
          <w:rFonts w:ascii="仿宋_GB2312" w:eastAsia="仿宋_GB2312" w:hAnsiTheme="minorEastAsia" w:cs="Times New Roman" w:hint="eastAsia"/>
          <w:b/>
          <w:bCs/>
          <w:color w:val="000000" w:themeColor="text1"/>
          <w:kern w:val="0"/>
          <w:sz w:val="30"/>
          <w:szCs w:val="30"/>
        </w:rPr>
        <w:t>二十</w:t>
      </w:r>
      <w:r w:rsidR="000B6463" w:rsidRPr="00807C45">
        <w:rPr>
          <w:rFonts w:ascii="仿宋_GB2312" w:eastAsia="仿宋_GB2312" w:hAnsiTheme="minorEastAsia" w:cs="Times New Roman" w:hint="eastAsia"/>
          <w:b/>
          <w:bCs/>
          <w:color w:val="000000" w:themeColor="text1"/>
          <w:kern w:val="0"/>
          <w:sz w:val="30"/>
          <w:szCs w:val="30"/>
        </w:rPr>
        <w:t>三</w:t>
      </w:r>
      <w:r w:rsidRPr="00807C45">
        <w:rPr>
          <w:rFonts w:ascii="仿宋_GB2312" w:eastAsia="仿宋_GB2312" w:hAnsiTheme="minorEastAsia" w:cs="Times New Roman" w:hint="eastAsia"/>
          <w:b/>
          <w:bCs/>
          <w:color w:val="000000" w:themeColor="text1"/>
          <w:kern w:val="0"/>
          <w:sz w:val="30"/>
          <w:szCs w:val="30"/>
        </w:rPr>
        <w:t>条</w:t>
      </w:r>
      <w:r w:rsidR="008243CD">
        <w:rPr>
          <w:rFonts w:ascii="仿宋_GB2312" w:eastAsia="仿宋_GB2312" w:hAnsiTheme="minorEastAsia" w:cs="Times New Roman" w:hint="eastAsia"/>
          <w:b/>
          <w:bCs/>
          <w:color w:val="000000" w:themeColor="text1"/>
          <w:kern w:val="0"/>
          <w:sz w:val="30"/>
          <w:szCs w:val="30"/>
        </w:rPr>
        <w:t xml:space="preserve"> </w:t>
      </w:r>
      <w:r w:rsidR="008243CD" w:rsidRPr="00807C45">
        <w:rPr>
          <w:rFonts w:ascii="仿宋_GB2312" w:eastAsia="仿宋_GB2312" w:hAnsiTheme="minorEastAsia" w:cs="Times New Roman" w:hint="eastAsia"/>
          <w:bCs/>
          <w:color w:val="000000" w:themeColor="text1"/>
          <w:kern w:val="0"/>
          <w:sz w:val="30"/>
          <w:szCs w:val="30"/>
        </w:rPr>
        <w:t>上市公司向关联人购买</w:t>
      </w:r>
      <w:r w:rsidR="008243CD">
        <w:rPr>
          <w:rFonts w:ascii="仿宋_GB2312" w:eastAsia="仿宋_GB2312" w:hAnsiTheme="minorEastAsia" w:cs="Times New Roman" w:hint="eastAsia"/>
          <w:bCs/>
          <w:color w:val="000000" w:themeColor="text1"/>
          <w:kern w:val="0"/>
          <w:sz w:val="30"/>
          <w:szCs w:val="30"/>
        </w:rPr>
        <w:t>或者出售</w:t>
      </w:r>
      <w:r w:rsidR="008243CD" w:rsidRPr="00807C45">
        <w:rPr>
          <w:rFonts w:ascii="仿宋_GB2312" w:eastAsia="仿宋_GB2312" w:hAnsiTheme="minorEastAsia" w:cs="Times New Roman" w:hint="eastAsia"/>
          <w:bCs/>
          <w:color w:val="000000" w:themeColor="text1"/>
          <w:kern w:val="0"/>
          <w:sz w:val="30"/>
          <w:szCs w:val="30"/>
        </w:rPr>
        <w:t>资产，</w:t>
      </w:r>
      <w:r w:rsidR="00C86D78" w:rsidRPr="00C86D78">
        <w:rPr>
          <w:rFonts w:ascii="仿宋_GB2312" w:eastAsia="仿宋_GB2312" w:hAnsiTheme="minorEastAsia" w:cs="Times New Roman" w:hint="eastAsia"/>
          <w:bCs/>
          <w:color w:val="000000" w:themeColor="text1"/>
          <w:kern w:val="0"/>
          <w:sz w:val="30"/>
          <w:szCs w:val="30"/>
        </w:rPr>
        <w:t>达到《股票上市规则》规定披露标准</w:t>
      </w:r>
      <w:r w:rsidR="00C86D78">
        <w:rPr>
          <w:rFonts w:ascii="仿宋_GB2312" w:eastAsia="仿宋_GB2312" w:hAnsiTheme="minorEastAsia" w:cs="Times New Roman" w:hint="eastAsia"/>
          <w:bCs/>
          <w:color w:val="000000" w:themeColor="text1"/>
          <w:kern w:val="0"/>
          <w:sz w:val="30"/>
          <w:szCs w:val="30"/>
        </w:rPr>
        <w:t>，</w:t>
      </w:r>
      <w:r w:rsidR="008243CD">
        <w:rPr>
          <w:rFonts w:ascii="仿宋_GB2312" w:eastAsia="仿宋_GB2312" w:hAnsiTheme="minorEastAsia" w:cs="Times New Roman" w:hint="eastAsia"/>
          <w:bCs/>
          <w:color w:val="000000" w:themeColor="text1"/>
          <w:kern w:val="0"/>
          <w:sz w:val="30"/>
          <w:szCs w:val="30"/>
        </w:rPr>
        <w:t>且</w:t>
      </w:r>
      <w:r w:rsidR="008243CD" w:rsidRPr="00807C45">
        <w:rPr>
          <w:rFonts w:ascii="仿宋_GB2312" w:eastAsia="仿宋_GB2312" w:hAnsiTheme="minorEastAsia" w:cs="Times New Roman" w:hint="eastAsia"/>
          <w:bCs/>
          <w:color w:val="000000" w:themeColor="text1"/>
          <w:kern w:val="0"/>
          <w:sz w:val="30"/>
          <w:szCs w:val="30"/>
        </w:rPr>
        <w:t>关联交易标的为公司股权的，</w:t>
      </w:r>
      <w:r w:rsidRPr="00807C45">
        <w:rPr>
          <w:rFonts w:ascii="仿宋_GB2312" w:eastAsia="仿宋_GB2312" w:hAnsiTheme="minorEastAsia" w:cs="Times New Roman" w:hint="eastAsia"/>
          <w:bCs/>
          <w:color w:val="000000" w:themeColor="text1"/>
          <w:kern w:val="0"/>
          <w:sz w:val="30"/>
          <w:szCs w:val="30"/>
        </w:rPr>
        <w:t>上市公司应当披露该</w:t>
      </w:r>
      <w:r w:rsidR="00A96ADC">
        <w:rPr>
          <w:rFonts w:ascii="仿宋_GB2312" w:eastAsia="仿宋_GB2312" w:hAnsiTheme="minorEastAsia" w:cs="Times New Roman" w:hint="eastAsia"/>
          <w:bCs/>
          <w:color w:val="000000" w:themeColor="text1"/>
          <w:kern w:val="0"/>
          <w:sz w:val="30"/>
          <w:szCs w:val="30"/>
        </w:rPr>
        <w:t>标的</w:t>
      </w:r>
      <w:r w:rsidRPr="00807C45">
        <w:rPr>
          <w:rFonts w:ascii="仿宋_GB2312" w:eastAsia="仿宋_GB2312" w:hAnsiTheme="minorEastAsia" w:cs="Times New Roman" w:hint="eastAsia"/>
          <w:bCs/>
          <w:color w:val="000000" w:themeColor="text1"/>
          <w:kern w:val="0"/>
          <w:sz w:val="30"/>
          <w:szCs w:val="30"/>
        </w:rPr>
        <w:t>公司的基本情况、最近一年又一期的主要财务指标。</w:t>
      </w:r>
    </w:p>
    <w:p w:rsidR="0030290B" w:rsidRPr="00807C45" w:rsidRDefault="00A96ADC"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Pr>
          <w:rFonts w:ascii="仿宋_GB2312" w:eastAsia="仿宋_GB2312" w:hAnsiTheme="minorEastAsia" w:cs="Times New Roman" w:hint="eastAsia"/>
          <w:bCs/>
          <w:color w:val="000000" w:themeColor="text1"/>
          <w:kern w:val="0"/>
          <w:sz w:val="30"/>
          <w:szCs w:val="30"/>
        </w:rPr>
        <w:t>标的</w:t>
      </w:r>
      <w:r w:rsidR="0030290B" w:rsidRPr="00807C45">
        <w:rPr>
          <w:rFonts w:ascii="仿宋_GB2312" w:eastAsia="仿宋_GB2312" w:hAnsiTheme="minorEastAsia" w:cs="Times New Roman" w:hint="eastAsia"/>
          <w:bCs/>
          <w:color w:val="000000" w:themeColor="text1"/>
          <w:kern w:val="0"/>
          <w:sz w:val="30"/>
          <w:szCs w:val="30"/>
        </w:rPr>
        <w:t>公司最近</w:t>
      </w:r>
      <w:r w:rsidR="0030290B" w:rsidRPr="00807C45">
        <w:rPr>
          <w:rFonts w:ascii="仿宋_GB2312" w:eastAsia="仿宋_GB2312" w:hAnsiTheme="minorEastAsia" w:cs="Times New Roman"/>
          <w:bCs/>
          <w:color w:val="000000" w:themeColor="text1"/>
          <w:kern w:val="0"/>
          <w:sz w:val="30"/>
          <w:szCs w:val="30"/>
        </w:rPr>
        <w:t>12个月内曾进行资产评估、增资、减资或</w:t>
      </w:r>
      <w:r w:rsidR="00E3221E">
        <w:rPr>
          <w:rFonts w:ascii="仿宋_GB2312" w:eastAsia="仿宋_GB2312" w:hAnsiTheme="minorEastAsia" w:cs="Times New Roman"/>
          <w:bCs/>
          <w:color w:val="000000" w:themeColor="text1"/>
          <w:kern w:val="0"/>
          <w:sz w:val="30"/>
          <w:szCs w:val="30"/>
        </w:rPr>
        <w:t>者</w:t>
      </w:r>
      <w:r w:rsidR="0030290B" w:rsidRPr="00807C45">
        <w:rPr>
          <w:rFonts w:ascii="仿宋_GB2312" w:eastAsia="仿宋_GB2312" w:hAnsiTheme="minorEastAsia" w:cs="Times New Roman"/>
          <w:bCs/>
          <w:color w:val="000000" w:themeColor="text1"/>
          <w:kern w:val="0"/>
          <w:sz w:val="30"/>
          <w:szCs w:val="30"/>
        </w:rPr>
        <w:t>改制的，应当披露相关评估、增资、减资或</w:t>
      </w:r>
      <w:r w:rsidR="00E3221E">
        <w:rPr>
          <w:rFonts w:ascii="仿宋_GB2312" w:eastAsia="仿宋_GB2312" w:hAnsiTheme="minorEastAsia" w:cs="Times New Roman"/>
          <w:bCs/>
          <w:color w:val="000000" w:themeColor="text1"/>
          <w:kern w:val="0"/>
          <w:sz w:val="30"/>
          <w:szCs w:val="30"/>
        </w:rPr>
        <w:t>者</w:t>
      </w:r>
      <w:r w:rsidR="0030290B" w:rsidRPr="00807C45">
        <w:rPr>
          <w:rFonts w:ascii="仿宋_GB2312" w:eastAsia="仿宋_GB2312" w:hAnsiTheme="minorEastAsia" w:cs="Times New Roman"/>
          <w:bCs/>
          <w:color w:val="000000" w:themeColor="text1"/>
          <w:kern w:val="0"/>
          <w:sz w:val="30"/>
          <w:szCs w:val="30"/>
        </w:rPr>
        <w:t>改制的基本情况。</w:t>
      </w:r>
    </w:p>
    <w:p w:rsidR="00F03737" w:rsidRPr="00807C45" w:rsidRDefault="00ED4DAD"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第二十</w:t>
      </w:r>
      <w:r w:rsidR="000B6463" w:rsidRPr="00807C45">
        <w:rPr>
          <w:rFonts w:ascii="仿宋_GB2312" w:eastAsia="仿宋_GB2312" w:hAnsiTheme="minorEastAsia" w:cs="Times New Roman" w:hint="eastAsia"/>
          <w:b/>
          <w:bCs/>
          <w:color w:val="000000" w:themeColor="text1"/>
          <w:kern w:val="0"/>
          <w:sz w:val="30"/>
          <w:szCs w:val="30"/>
        </w:rPr>
        <w:t>四</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上市公司向关联人购买资产，按照规定须提交股东大会审议且成交价格相比交易标的账面值溢价超过100</w:t>
      </w:r>
      <w:r w:rsidR="00C70143">
        <w:rPr>
          <w:rFonts w:ascii="仿宋_GB2312" w:eastAsia="仿宋_GB2312" w:hAnsiTheme="minorEastAsia" w:cs="Times New Roman" w:hint="eastAsia"/>
          <w:bCs/>
          <w:color w:val="000000" w:themeColor="text1"/>
          <w:kern w:val="0"/>
          <w:sz w:val="30"/>
          <w:szCs w:val="30"/>
        </w:rPr>
        <w:t>%</w:t>
      </w:r>
      <w:r w:rsidRPr="00807C45">
        <w:rPr>
          <w:rFonts w:ascii="仿宋_GB2312" w:eastAsia="仿宋_GB2312" w:hAnsiTheme="minorEastAsia" w:cs="Times New Roman" w:hint="eastAsia"/>
          <w:bCs/>
          <w:color w:val="000000" w:themeColor="text1"/>
          <w:kern w:val="0"/>
          <w:sz w:val="30"/>
          <w:szCs w:val="30"/>
        </w:rPr>
        <w:t>的，如交易对方未提供在一定期限内交易标的盈利担保</w:t>
      </w:r>
      <w:r w:rsidR="00492764">
        <w:rPr>
          <w:rFonts w:ascii="仿宋_GB2312" w:eastAsia="仿宋_GB2312" w:hAnsiTheme="minorEastAsia" w:cs="Times New Roman" w:hint="eastAsia"/>
          <w:bCs/>
          <w:color w:val="000000" w:themeColor="text1"/>
          <w:kern w:val="0"/>
          <w:sz w:val="30"/>
          <w:szCs w:val="30"/>
        </w:rPr>
        <w:t>、</w:t>
      </w:r>
      <w:r w:rsidRPr="00807C45">
        <w:rPr>
          <w:rFonts w:ascii="仿宋_GB2312" w:eastAsia="仿宋_GB2312" w:hAnsiTheme="minorEastAsia" w:cs="Times New Roman" w:hint="eastAsia"/>
          <w:bCs/>
          <w:color w:val="000000" w:themeColor="text1"/>
          <w:kern w:val="0"/>
          <w:sz w:val="30"/>
          <w:szCs w:val="30"/>
        </w:rPr>
        <w:t>补偿承诺或者交易标的回购承诺，上市公司应当说明具体原因，是否采取相关保障措施，是否有利于保护上市公司利益和中小股东合法权益。</w:t>
      </w:r>
    </w:p>
    <w:p w:rsidR="00955470" w:rsidRPr="00807C45" w:rsidRDefault="00ED4DAD"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第二十</w:t>
      </w:r>
      <w:r w:rsidR="000B6463" w:rsidRPr="00807C45">
        <w:rPr>
          <w:rFonts w:ascii="仿宋_GB2312" w:eastAsia="仿宋_GB2312" w:hAnsiTheme="minorEastAsia" w:cs="Times New Roman" w:hint="eastAsia"/>
          <w:b/>
          <w:bCs/>
          <w:color w:val="000000" w:themeColor="text1"/>
          <w:kern w:val="0"/>
          <w:sz w:val="30"/>
          <w:szCs w:val="30"/>
        </w:rPr>
        <w:t>五</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上市公司因购买或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出售资产可能导致交易完成后上市公司控股股东、实际控制人及其他关联人对上市公司形成非经营性资金占用的，应当在公告中明确合理的解决方案，并在相关交易实施完成前解决。</w:t>
      </w:r>
    </w:p>
    <w:p w:rsidR="000B6463" w:rsidRPr="00807C45" w:rsidRDefault="000B6463"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p>
    <w:p w:rsidR="00955470" w:rsidRPr="00053B03" w:rsidRDefault="00ED4DAD" w:rsidP="000907B2">
      <w:pPr>
        <w:spacing w:line="560" w:lineRule="exact"/>
        <w:jc w:val="center"/>
        <w:rPr>
          <w:rFonts w:ascii="黑体" w:eastAsia="黑体" w:hAnsi="仿宋" w:cs="Arial"/>
          <w:b/>
          <w:color w:val="000000"/>
          <w:sz w:val="30"/>
          <w:szCs w:val="30"/>
        </w:rPr>
      </w:pPr>
      <w:r w:rsidRPr="00053B03">
        <w:rPr>
          <w:rFonts w:ascii="黑体" w:eastAsia="黑体" w:hAnsi="仿宋" w:cs="Arial" w:hint="eastAsia"/>
          <w:b/>
          <w:color w:val="000000"/>
          <w:sz w:val="30"/>
          <w:szCs w:val="30"/>
        </w:rPr>
        <w:t xml:space="preserve">第三章 </w:t>
      </w:r>
      <w:r w:rsidR="00AF7AE0" w:rsidRPr="00053B03">
        <w:rPr>
          <w:rFonts w:ascii="黑体" w:eastAsia="黑体" w:hAnsi="仿宋" w:cs="Arial" w:hint="eastAsia"/>
          <w:b/>
          <w:color w:val="000000"/>
          <w:sz w:val="30"/>
          <w:szCs w:val="30"/>
        </w:rPr>
        <w:t>重大</w:t>
      </w:r>
      <w:r w:rsidRPr="00053B03">
        <w:rPr>
          <w:rFonts w:ascii="黑体" w:eastAsia="黑体" w:hAnsi="仿宋" w:cs="Arial" w:hint="eastAsia"/>
          <w:b/>
          <w:color w:val="000000"/>
          <w:sz w:val="30"/>
          <w:szCs w:val="30"/>
        </w:rPr>
        <w:t>交易的审议和披露</w:t>
      </w:r>
    </w:p>
    <w:p w:rsidR="00710D86" w:rsidRPr="00807C45" w:rsidRDefault="00710D86" w:rsidP="000907B2">
      <w:pPr>
        <w:adjustRightInd w:val="0"/>
        <w:snapToGrid w:val="0"/>
        <w:spacing w:line="560" w:lineRule="exact"/>
        <w:jc w:val="center"/>
        <w:rPr>
          <w:rFonts w:ascii="仿宋_GB2312" w:eastAsia="仿宋_GB2312" w:hAnsiTheme="minorEastAsia" w:cs="Times New Roman"/>
          <w:b/>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 xml:space="preserve">第一节 </w:t>
      </w:r>
      <w:r w:rsidR="00230149">
        <w:rPr>
          <w:rFonts w:ascii="仿宋_GB2312" w:eastAsia="仿宋_GB2312" w:hAnsiTheme="minorEastAsia" w:cs="Times New Roman" w:hint="eastAsia"/>
          <w:b/>
          <w:bCs/>
          <w:color w:val="000000" w:themeColor="text1"/>
          <w:kern w:val="0"/>
          <w:sz w:val="30"/>
          <w:szCs w:val="30"/>
        </w:rPr>
        <w:t>证券投资</w:t>
      </w:r>
      <w:r w:rsidR="00A96ADC">
        <w:rPr>
          <w:rFonts w:ascii="仿宋_GB2312" w:eastAsia="仿宋_GB2312" w:hAnsiTheme="minorEastAsia" w:cs="Times New Roman" w:hint="eastAsia"/>
          <w:b/>
          <w:bCs/>
          <w:color w:val="000000" w:themeColor="text1"/>
          <w:kern w:val="0"/>
          <w:sz w:val="30"/>
          <w:szCs w:val="30"/>
        </w:rPr>
        <w:t>与</w:t>
      </w:r>
      <w:r w:rsidRPr="00807C45">
        <w:rPr>
          <w:rFonts w:ascii="仿宋_GB2312" w:eastAsia="仿宋_GB2312" w:hAnsiTheme="minorEastAsia" w:cs="Times New Roman" w:hint="eastAsia"/>
          <w:b/>
          <w:bCs/>
          <w:color w:val="000000" w:themeColor="text1"/>
          <w:kern w:val="0"/>
          <w:sz w:val="30"/>
          <w:szCs w:val="30"/>
        </w:rPr>
        <w:t>衍生品交易</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第二十</w:t>
      </w:r>
      <w:r w:rsidR="000B6463" w:rsidRPr="00807C45">
        <w:rPr>
          <w:rFonts w:ascii="仿宋_GB2312" w:eastAsia="仿宋_GB2312" w:hAnsiTheme="minorEastAsia" w:cs="Times New Roman" w:hint="eastAsia"/>
          <w:b/>
          <w:bCs/>
          <w:color w:val="000000" w:themeColor="text1"/>
          <w:kern w:val="0"/>
          <w:sz w:val="30"/>
          <w:szCs w:val="30"/>
        </w:rPr>
        <w:t>六</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上市公司应当合理安排、使用资金，致力发展公司主营业务，不得使用募集资金从事证券投资与衍生品交易。</w:t>
      </w:r>
    </w:p>
    <w:p w:rsidR="00ED4DAD"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公司从事套期保值业务的期货品种应当仅限于与公司生产经营相关的产品或者所需的原材料。本所不鼓励公司从事以投机为目的的衍生品交易。</w:t>
      </w:r>
    </w:p>
    <w:p w:rsidR="00A8406D" w:rsidRDefault="00684EE7" w:rsidP="000907B2">
      <w:pPr>
        <w:adjustRightInd w:val="0"/>
        <w:snapToGrid w:val="0"/>
        <w:spacing w:line="560" w:lineRule="exact"/>
        <w:ind w:firstLine="600"/>
        <w:rPr>
          <w:rFonts w:ascii="仿宋_GB2312" w:eastAsia="仿宋_GB2312" w:hAnsiTheme="minorEastAsia" w:cs="Times New Roman"/>
          <w:bCs/>
          <w:color w:val="000000" w:themeColor="text1"/>
          <w:kern w:val="0"/>
          <w:sz w:val="30"/>
          <w:szCs w:val="30"/>
        </w:rPr>
      </w:pPr>
      <w:r>
        <w:rPr>
          <w:rFonts w:ascii="仿宋_GB2312" w:eastAsia="仿宋_GB2312" w:hAnsiTheme="minorEastAsia" w:cs="Times New Roman" w:hint="eastAsia"/>
          <w:bCs/>
          <w:color w:val="000000" w:themeColor="text1"/>
          <w:kern w:val="0"/>
          <w:sz w:val="30"/>
          <w:szCs w:val="30"/>
        </w:rPr>
        <w:t>以</w:t>
      </w:r>
      <w:r w:rsidR="00C92DFE">
        <w:rPr>
          <w:rFonts w:ascii="仿宋_GB2312" w:eastAsia="仿宋_GB2312" w:hAnsiTheme="minorEastAsia" w:cs="Times New Roman" w:hint="eastAsia"/>
          <w:bCs/>
          <w:color w:val="000000" w:themeColor="text1"/>
          <w:kern w:val="0"/>
          <w:sz w:val="30"/>
          <w:szCs w:val="30"/>
        </w:rPr>
        <w:t>证券投资与</w:t>
      </w:r>
      <w:r>
        <w:rPr>
          <w:rFonts w:ascii="仿宋_GB2312" w:eastAsia="仿宋_GB2312" w:hAnsiTheme="minorEastAsia" w:cs="Times New Roman" w:hint="eastAsia"/>
          <w:bCs/>
          <w:color w:val="000000" w:themeColor="text1"/>
          <w:kern w:val="0"/>
          <w:sz w:val="30"/>
          <w:szCs w:val="30"/>
        </w:rPr>
        <w:t>衍生品</w:t>
      </w:r>
      <w:r w:rsidR="00222CA2">
        <w:rPr>
          <w:rFonts w:ascii="仿宋_GB2312" w:eastAsia="仿宋_GB2312" w:hAnsiTheme="minorEastAsia" w:cs="Times New Roman" w:hint="eastAsia"/>
          <w:bCs/>
          <w:color w:val="000000" w:themeColor="text1"/>
          <w:kern w:val="0"/>
          <w:sz w:val="30"/>
          <w:szCs w:val="30"/>
        </w:rPr>
        <w:t>交易为其主营业务的</w:t>
      </w:r>
      <w:r w:rsidR="00EE4814">
        <w:rPr>
          <w:rFonts w:ascii="仿宋_GB2312" w:eastAsia="仿宋_GB2312" w:hAnsiTheme="minorEastAsia" w:cs="Times New Roman" w:hint="eastAsia"/>
          <w:bCs/>
          <w:color w:val="000000" w:themeColor="text1"/>
          <w:kern w:val="0"/>
          <w:sz w:val="30"/>
          <w:szCs w:val="30"/>
        </w:rPr>
        <w:t>持有金融牌照的</w:t>
      </w:r>
      <w:r w:rsidR="00EE4814" w:rsidRPr="00E0735B">
        <w:rPr>
          <w:rFonts w:ascii="仿宋_GB2312" w:eastAsia="仿宋_GB2312" w:hAnsiTheme="minorEastAsia" w:cs="Times New Roman" w:hint="eastAsia"/>
          <w:bCs/>
          <w:color w:val="000000" w:themeColor="text1"/>
          <w:kern w:val="0"/>
          <w:sz w:val="30"/>
          <w:szCs w:val="30"/>
        </w:rPr>
        <w:t>上市公司及其控股子公司</w:t>
      </w:r>
      <w:r w:rsidR="00222CA2">
        <w:rPr>
          <w:rFonts w:ascii="仿宋_GB2312" w:eastAsia="仿宋_GB2312" w:hAnsiTheme="minorEastAsia" w:cs="Times New Roman" w:hint="eastAsia"/>
          <w:bCs/>
          <w:color w:val="000000" w:themeColor="text1"/>
          <w:kern w:val="0"/>
          <w:sz w:val="30"/>
          <w:szCs w:val="30"/>
        </w:rPr>
        <w:t>，其业务行为不适用本节规定。</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第二十</w:t>
      </w:r>
      <w:r w:rsidR="000B6463" w:rsidRPr="00807C45">
        <w:rPr>
          <w:rFonts w:ascii="仿宋_GB2312" w:eastAsia="仿宋_GB2312" w:hAnsiTheme="minorEastAsia" w:cs="Times New Roman" w:hint="eastAsia"/>
          <w:b/>
          <w:bCs/>
          <w:color w:val="000000" w:themeColor="text1"/>
          <w:kern w:val="0"/>
          <w:sz w:val="30"/>
          <w:szCs w:val="30"/>
        </w:rPr>
        <w:t>七</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上市公司从事</w:t>
      </w:r>
      <w:r w:rsidR="00CA60C7">
        <w:rPr>
          <w:rFonts w:ascii="仿宋_GB2312" w:eastAsia="仿宋_GB2312" w:hAnsiTheme="minorEastAsia" w:cs="Times New Roman" w:hint="eastAsia"/>
          <w:bCs/>
          <w:color w:val="000000" w:themeColor="text1"/>
          <w:kern w:val="0"/>
          <w:sz w:val="30"/>
          <w:szCs w:val="30"/>
        </w:rPr>
        <w:t>证券投资与</w:t>
      </w:r>
      <w:r w:rsidRPr="00807C45">
        <w:rPr>
          <w:rFonts w:ascii="仿宋_GB2312" w:eastAsia="仿宋_GB2312" w:hAnsiTheme="minorEastAsia" w:cs="Times New Roman" w:hint="eastAsia"/>
          <w:bCs/>
          <w:color w:val="000000" w:themeColor="text1"/>
          <w:kern w:val="0"/>
          <w:sz w:val="30"/>
          <w:szCs w:val="30"/>
        </w:rPr>
        <w:t>衍生品交易，应当遵循合法、审慎、安全、有效的原则，建立健全内控制度，控制投资风险</w:t>
      </w:r>
      <w:r w:rsidR="00522D0F" w:rsidRPr="00807C45">
        <w:rPr>
          <w:rFonts w:ascii="仿宋_GB2312" w:eastAsia="仿宋_GB2312" w:hAnsiTheme="minorEastAsia" w:cs="Times New Roman" w:hint="eastAsia"/>
          <w:bCs/>
          <w:color w:val="000000" w:themeColor="text1"/>
          <w:kern w:val="0"/>
          <w:sz w:val="30"/>
          <w:szCs w:val="30"/>
        </w:rPr>
        <w:t>。</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公司应当分析投资的可行性与必要性，制定严格的决策程序、报告制度和监控措施，明确授权范围、操作要点与信息披露等具体要求，并根据公司的风险承受能力确定投资规模及期限。</w:t>
      </w:r>
    </w:p>
    <w:p w:rsidR="0015329D"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公司董事会应当持续跟踪</w:t>
      </w:r>
      <w:r w:rsidR="00CA60C7" w:rsidRPr="00CA60C7">
        <w:rPr>
          <w:rFonts w:ascii="仿宋_GB2312" w:eastAsia="仿宋_GB2312" w:hAnsiTheme="minorEastAsia" w:cs="Times New Roman" w:hint="eastAsia"/>
          <w:bCs/>
          <w:color w:val="000000" w:themeColor="text1"/>
          <w:kern w:val="0"/>
          <w:sz w:val="30"/>
          <w:szCs w:val="30"/>
        </w:rPr>
        <w:t>证券投资与</w:t>
      </w:r>
      <w:r w:rsidRPr="00807C45">
        <w:rPr>
          <w:rFonts w:ascii="仿宋_GB2312" w:eastAsia="仿宋_GB2312" w:hAnsiTheme="minorEastAsia" w:cs="Times New Roman" w:hint="eastAsia"/>
          <w:bCs/>
          <w:color w:val="000000" w:themeColor="text1"/>
          <w:kern w:val="0"/>
          <w:sz w:val="30"/>
          <w:szCs w:val="30"/>
        </w:rPr>
        <w:t>衍生品交易的执行进展和投资安全状况，如出现投资发生较大损失等异常情况的，应当立即采取措施并按规定履行披露义务。</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第二十</w:t>
      </w:r>
      <w:r w:rsidR="00A24996">
        <w:rPr>
          <w:rFonts w:ascii="仿宋_GB2312" w:eastAsia="仿宋_GB2312" w:hAnsiTheme="minorEastAsia" w:cs="Times New Roman" w:hint="eastAsia"/>
          <w:b/>
          <w:bCs/>
          <w:color w:val="000000" w:themeColor="text1"/>
          <w:kern w:val="0"/>
          <w:sz w:val="30"/>
          <w:szCs w:val="30"/>
        </w:rPr>
        <w:t>八</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上市公司从事衍生品交易的，应当合理配备投资决策、业务操作、风险控制等专业人员，指定董事会相关委员会审查衍生品交易的必要性</w:t>
      </w:r>
      <w:r w:rsidR="00244025" w:rsidRPr="00807C45">
        <w:rPr>
          <w:rFonts w:ascii="仿宋_GB2312" w:eastAsia="仿宋_GB2312" w:hAnsiTheme="minorEastAsia" w:cs="Times New Roman" w:hint="eastAsia"/>
          <w:bCs/>
          <w:color w:val="000000" w:themeColor="text1"/>
          <w:kern w:val="0"/>
          <w:sz w:val="30"/>
          <w:szCs w:val="30"/>
        </w:rPr>
        <w:t>、可行性</w:t>
      </w:r>
      <w:r w:rsidRPr="00807C45">
        <w:rPr>
          <w:rFonts w:ascii="仿宋_GB2312" w:eastAsia="仿宋_GB2312" w:hAnsiTheme="minorEastAsia" w:cs="Times New Roman" w:hint="eastAsia"/>
          <w:bCs/>
          <w:color w:val="000000" w:themeColor="text1"/>
          <w:kern w:val="0"/>
          <w:sz w:val="30"/>
          <w:szCs w:val="30"/>
        </w:rPr>
        <w:t>及风险控制情况。必要时可以聘请专业机构就衍生品交易出具可行性分析报告。</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公司从事衍生品交易的，原则上应当控制现货与衍生品在种类、规模及时间上相匹配，并制定切实可行的应急处理预案，以及时应对交易过程中可能发生的重大突发事件。</w:t>
      </w:r>
    </w:p>
    <w:p w:rsidR="00A24996" w:rsidRDefault="00A2499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A8406D">
        <w:rPr>
          <w:rFonts w:ascii="仿宋_GB2312" w:eastAsia="仿宋_GB2312" w:hAnsiTheme="minorEastAsia" w:cs="Times New Roman" w:hint="eastAsia"/>
          <w:b/>
          <w:bCs/>
          <w:color w:val="000000" w:themeColor="text1"/>
          <w:kern w:val="0"/>
          <w:sz w:val="30"/>
          <w:szCs w:val="30"/>
        </w:rPr>
        <w:t>第</w:t>
      </w:r>
      <w:r>
        <w:rPr>
          <w:rFonts w:ascii="仿宋_GB2312" w:eastAsia="仿宋_GB2312" w:hAnsiTheme="minorEastAsia" w:cs="Times New Roman" w:hint="eastAsia"/>
          <w:b/>
          <w:bCs/>
          <w:color w:val="000000" w:themeColor="text1"/>
          <w:kern w:val="0"/>
          <w:sz w:val="30"/>
          <w:szCs w:val="30"/>
        </w:rPr>
        <w:t>二十九</w:t>
      </w:r>
      <w:r w:rsidRPr="00A8406D">
        <w:rPr>
          <w:rFonts w:ascii="仿宋_GB2312" w:eastAsia="仿宋_GB2312" w:hAnsiTheme="minorEastAsia" w:cs="Times New Roman" w:hint="eastAsia"/>
          <w:b/>
          <w:bCs/>
          <w:color w:val="000000" w:themeColor="text1"/>
          <w:kern w:val="0"/>
          <w:sz w:val="30"/>
          <w:szCs w:val="30"/>
        </w:rPr>
        <w:t>条</w:t>
      </w:r>
      <w:r>
        <w:rPr>
          <w:rFonts w:ascii="仿宋_GB2312" w:eastAsia="仿宋_GB2312" w:hAnsiTheme="minorEastAsia" w:cs="Times New Roman" w:hint="eastAsia"/>
          <w:b/>
          <w:bCs/>
          <w:color w:val="000000" w:themeColor="text1"/>
          <w:kern w:val="0"/>
          <w:sz w:val="30"/>
          <w:szCs w:val="30"/>
        </w:rPr>
        <w:t xml:space="preserve"> </w:t>
      </w:r>
      <w:r w:rsidRPr="00A24996">
        <w:rPr>
          <w:rFonts w:ascii="仿宋_GB2312" w:eastAsia="仿宋_GB2312" w:hAnsiTheme="minorEastAsia" w:cs="Times New Roman" w:hint="eastAsia"/>
          <w:bCs/>
          <w:color w:val="000000" w:themeColor="text1"/>
          <w:kern w:val="0"/>
          <w:sz w:val="30"/>
          <w:szCs w:val="30"/>
        </w:rPr>
        <w:t>上市</w:t>
      </w:r>
      <w:r>
        <w:rPr>
          <w:rFonts w:ascii="仿宋_GB2312" w:eastAsia="仿宋_GB2312" w:hAnsiTheme="minorEastAsia" w:cs="Times New Roman" w:hint="eastAsia"/>
          <w:bCs/>
          <w:color w:val="000000" w:themeColor="text1"/>
          <w:kern w:val="0"/>
          <w:sz w:val="30"/>
          <w:szCs w:val="30"/>
        </w:rPr>
        <w:t>公司因交易频次和时效要求等原因难以对每次股票</w:t>
      </w:r>
      <w:r w:rsidRPr="00807C45">
        <w:rPr>
          <w:rFonts w:ascii="仿宋_GB2312" w:eastAsia="仿宋_GB2312" w:hAnsiTheme="minorEastAsia" w:cs="Times New Roman" w:hint="eastAsia"/>
          <w:bCs/>
          <w:color w:val="000000" w:themeColor="text1"/>
          <w:kern w:val="0"/>
          <w:sz w:val="30"/>
          <w:szCs w:val="30"/>
        </w:rPr>
        <w:t>交易履行审议程序和披露义务的，可以对未来</w:t>
      </w:r>
      <w:r>
        <w:rPr>
          <w:rFonts w:ascii="仿宋_GB2312" w:eastAsia="仿宋_GB2312" w:hAnsiTheme="minorEastAsia" w:cs="Times New Roman" w:hint="eastAsia"/>
          <w:bCs/>
          <w:color w:val="000000" w:themeColor="text1"/>
          <w:kern w:val="0"/>
          <w:sz w:val="30"/>
          <w:szCs w:val="30"/>
        </w:rPr>
        <w:t>12</w:t>
      </w:r>
      <w:r w:rsidRPr="00807C45">
        <w:rPr>
          <w:rFonts w:ascii="仿宋_GB2312" w:eastAsia="仿宋_GB2312" w:hAnsiTheme="minorEastAsia" w:cs="Times New Roman" w:hint="eastAsia"/>
          <w:bCs/>
          <w:color w:val="000000" w:themeColor="text1"/>
          <w:kern w:val="0"/>
          <w:sz w:val="30"/>
          <w:szCs w:val="30"/>
        </w:rPr>
        <w:t>个月内</w:t>
      </w:r>
      <w:r>
        <w:rPr>
          <w:rFonts w:ascii="仿宋_GB2312" w:eastAsia="仿宋_GB2312" w:hAnsiTheme="minorEastAsia" w:cs="Times New Roman" w:hint="eastAsia"/>
          <w:bCs/>
          <w:color w:val="000000" w:themeColor="text1"/>
          <w:kern w:val="0"/>
          <w:sz w:val="30"/>
          <w:szCs w:val="30"/>
        </w:rPr>
        <w:t>股票</w:t>
      </w:r>
      <w:r w:rsidRPr="00807C45">
        <w:rPr>
          <w:rFonts w:ascii="仿宋_GB2312" w:eastAsia="仿宋_GB2312" w:hAnsiTheme="minorEastAsia" w:cs="Times New Roman" w:hint="eastAsia"/>
          <w:bCs/>
          <w:color w:val="000000" w:themeColor="text1"/>
          <w:kern w:val="0"/>
          <w:sz w:val="30"/>
          <w:szCs w:val="30"/>
        </w:rPr>
        <w:t>交易的范围、额度及期限等进行合理预计，额度金额超出董事会权限范围的，还应当提交股东大会审议。</w:t>
      </w:r>
    </w:p>
    <w:p w:rsidR="00A24996" w:rsidRDefault="00A2499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AD5EEA">
        <w:rPr>
          <w:rFonts w:ascii="仿宋_GB2312" w:eastAsia="仿宋_GB2312" w:hAnsiTheme="minorEastAsia" w:cs="Times New Roman" w:hint="eastAsia"/>
          <w:bCs/>
          <w:color w:val="000000" w:themeColor="text1"/>
          <w:kern w:val="0"/>
          <w:sz w:val="30"/>
          <w:szCs w:val="30"/>
        </w:rPr>
        <w:t>相关额度的使用期限不应超过12个月，期限内任一时点的交易金额（含前述投资的收益进行再投资的相关金额）不应超过</w:t>
      </w:r>
      <w:r>
        <w:rPr>
          <w:rFonts w:ascii="仿宋_GB2312" w:eastAsia="仿宋_GB2312" w:hAnsiTheme="minorEastAsia" w:cs="Times New Roman" w:hint="eastAsia"/>
          <w:bCs/>
          <w:color w:val="000000" w:themeColor="text1"/>
          <w:kern w:val="0"/>
          <w:sz w:val="30"/>
          <w:szCs w:val="30"/>
        </w:rPr>
        <w:t>股票交易</w:t>
      </w:r>
      <w:r w:rsidRPr="00AD5EEA">
        <w:rPr>
          <w:rFonts w:ascii="仿宋_GB2312" w:eastAsia="仿宋_GB2312" w:hAnsiTheme="minorEastAsia" w:cs="Times New Roman" w:hint="eastAsia"/>
          <w:bCs/>
          <w:color w:val="000000" w:themeColor="text1"/>
          <w:kern w:val="0"/>
          <w:sz w:val="30"/>
          <w:szCs w:val="30"/>
        </w:rPr>
        <w:t>额度。</w:t>
      </w:r>
    </w:p>
    <w:p w:rsidR="00CA60C7" w:rsidRPr="00807C45" w:rsidRDefault="00CA60C7"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A24996">
        <w:rPr>
          <w:rFonts w:ascii="仿宋_GB2312" w:eastAsia="仿宋_GB2312" w:hAnsiTheme="minorEastAsia" w:cs="Times New Roman" w:hint="eastAsia"/>
          <w:b/>
          <w:bCs/>
          <w:color w:val="000000" w:themeColor="text1"/>
          <w:kern w:val="0"/>
          <w:sz w:val="30"/>
          <w:szCs w:val="30"/>
        </w:rPr>
        <w:t>三十</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 xml:space="preserve">上市公司从事衍生品交易，应当提交董事会审议并及时履行信息披露义务，独立董事应当发表专项意见。 </w:t>
      </w:r>
    </w:p>
    <w:p w:rsidR="00CA60C7" w:rsidRDefault="00CA60C7"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公司因交易频次和时效要求等原因难以对每次衍生品交易履行审议程序和披露义务的，可以对</w:t>
      </w:r>
      <w:bookmarkStart w:id="1" w:name="_GoBack"/>
      <w:bookmarkEnd w:id="1"/>
      <w:r w:rsidRPr="00807C45">
        <w:rPr>
          <w:rFonts w:ascii="仿宋_GB2312" w:eastAsia="仿宋_GB2312" w:hAnsiTheme="minorEastAsia" w:cs="Times New Roman" w:hint="eastAsia"/>
          <w:bCs/>
          <w:color w:val="000000" w:themeColor="text1"/>
          <w:kern w:val="0"/>
          <w:sz w:val="30"/>
          <w:szCs w:val="30"/>
        </w:rPr>
        <w:t>未来</w:t>
      </w:r>
      <w:r>
        <w:rPr>
          <w:rFonts w:ascii="仿宋_GB2312" w:eastAsia="仿宋_GB2312" w:hAnsiTheme="minorEastAsia" w:cs="Times New Roman" w:hint="eastAsia"/>
          <w:bCs/>
          <w:color w:val="000000" w:themeColor="text1"/>
          <w:kern w:val="0"/>
          <w:sz w:val="30"/>
          <w:szCs w:val="30"/>
        </w:rPr>
        <w:t>12</w:t>
      </w:r>
      <w:r w:rsidRPr="00807C45">
        <w:rPr>
          <w:rFonts w:ascii="仿宋_GB2312" w:eastAsia="仿宋_GB2312" w:hAnsiTheme="minorEastAsia" w:cs="Times New Roman" w:hint="eastAsia"/>
          <w:bCs/>
          <w:color w:val="000000" w:themeColor="text1"/>
          <w:kern w:val="0"/>
          <w:sz w:val="30"/>
          <w:szCs w:val="30"/>
        </w:rPr>
        <w:t>个月内衍生品交易的范围、额度及期限等进行合理预计，额度金额超出董事会权限范围的，还应当提交股东大会审议。</w:t>
      </w:r>
    </w:p>
    <w:p w:rsidR="00CA60C7" w:rsidRDefault="00CA60C7" w:rsidP="000907B2">
      <w:pPr>
        <w:snapToGrid w:val="0"/>
        <w:spacing w:line="560" w:lineRule="exact"/>
        <w:ind w:firstLine="600"/>
        <w:rPr>
          <w:rFonts w:ascii="仿宋_GB2312" w:eastAsia="仿宋_GB2312" w:hAnsiTheme="minorEastAsia" w:cs="Times New Roman"/>
          <w:bCs/>
          <w:color w:val="000000" w:themeColor="text1"/>
          <w:kern w:val="0"/>
          <w:sz w:val="30"/>
          <w:szCs w:val="30"/>
        </w:rPr>
      </w:pPr>
      <w:r w:rsidRPr="00E0735B">
        <w:rPr>
          <w:rFonts w:ascii="仿宋_GB2312" w:eastAsia="仿宋_GB2312" w:hAnsiTheme="minorEastAsia" w:cs="Times New Roman" w:hint="eastAsia"/>
          <w:bCs/>
          <w:color w:val="000000" w:themeColor="text1"/>
          <w:kern w:val="0"/>
          <w:sz w:val="30"/>
          <w:szCs w:val="30"/>
        </w:rPr>
        <w:t>相关额度的使用期限不应超过</w:t>
      </w:r>
      <w:r w:rsidRPr="00E0735B">
        <w:rPr>
          <w:rFonts w:ascii="仿宋_GB2312" w:eastAsia="仿宋_GB2312" w:hAnsiTheme="minorEastAsia" w:cs="Times New Roman"/>
          <w:bCs/>
          <w:color w:val="000000" w:themeColor="text1"/>
          <w:kern w:val="0"/>
          <w:sz w:val="30"/>
          <w:szCs w:val="30"/>
        </w:rPr>
        <w:t>12个月，期限内任一时点的交易金额（含前述投资的收益进行再投资的相关金额）不应超过</w:t>
      </w:r>
      <w:r w:rsidR="00E92ECD">
        <w:rPr>
          <w:rFonts w:ascii="仿宋_GB2312" w:eastAsia="仿宋_GB2312" w:hAnsiTheme="minorEastAsia" w:cs="Times New Roman" w:hint="eastAsia"/>
          <w:bCs/>
          <w:color w:val="000000" w:themeColor="text1"/>
          <w:kern w:val="0"/>
          <w:sz w:val="30"/>
          <w:szCs w:val="30"/>
        </w:rPr>
        <w:t>衍生品</w:t>
      </w:r>
      <w:r w:rsidRPr="00E0735B">
        <w:rPr>
          <w:rFonts w:ascii="仿宋_GB2312" w:eastAsia="仿宋_GB2312" w:hAnsiTheme="minorEastAsia" w:cs="Times New Roman"/>
          <w:bCs/>
          <w:color w:val="000000" w:themeColor="text1"/>
          <w:kern w:val="0"/>
          <w:sz w:val="30"/>
          <w:szCs w:val="30"/>
        </w:rPr>
        <w:t>投资额度。</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三十</w:t>
      </w:r>
      <w:r w:rsidR="00BF6984">
        <w:rPr>
          <w:rFonts w:ascii="仿宋_GB2312" w:eastAsia="仿宋_GB2312" w:hAnsiTheme="minorEastAsia" w:cs="Times New Roman" w:hint="eastAsia"/>
          <w:b/>
          <w:bCs/>
          <w:color w:val="000000" w:themeColor="text1"/>
          <w:kern w:val="0"/>
          <w:sz w:val="30"/>
          <w:szCs w:val="30"/>
        </w:rPr>
        <w:t>一</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上市公司应当针对各类衍生品或者不同交易对手设定适当的止损限额，明确止损处理业务流程，并严格执行止损规定。</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w:t>
      </w:r>
      <w:r w:rsidR="00EE4814" w:rsidRPr="00EE4814">
        <w:rPr>
          <w:rFonts w:ascii="仿宋_GB2312" w:eastAsia="仿宋_GB2312" w:hAnsiTheme="minorEastAsia" w:cs="Times New Roman" w:hint="eastAsia"/>
          <w:bCs/>
          <w:color w:val="000000" w:themeColor="text1"/>
          <w:kern w:val="0"/>
          <w:sz w:val="30"/>
          <w:szCs w:val="30"/>
        </w:rPr>
        <w:t>相关部门</w:t>
      </w:r>
      <w:r w:rsidRPr="00807C45">
        <w:rPr>
          <w:rFonts w:ascii="仿宋_GB2312" w:eastAsia="仿宋_GB2312" w:hAnsiTheme="minorEastAsia" w:cs="Times New Roman" w:hint="eastAsia"/>
          <w:bCs/>
          <w:color w:val="000000" w:themeColor="text1"/>
          <w:kern w:val="0"/>
          <w:sz w:val="30"/>
          <w:szCs w:val="30"/>
        </w:rPr>
        <w:t>应当跟踪衍生品公开市场价格或者公允价值的变化，及时评估已交易衍生品的风险敞口变化情况，并向管理层和董事会提交包括衍生品交易授权执行情况、衍生品交易头寸情况、风险评估结果、本期衍生品交易盈亏状况、止损限额执行情况等内容的风险分析报告。</w:t>
      </w:r>
    </w:p>
    <w:p w:rsidR="00955470"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三十</w:t>
      </w:r>
      <w:r w:rsidR="00BF6984">
        <w:rPr>
          <w:rFonts w:ascii="仿宋_GB2312" w:eastAsia="仿宋_GB2312" w:hAnsiTheme="minorEastAsia" w:cs="Times New Roman" w:hint="eastAsia"/>
          <w:b/>
          <w:bCs/>
          <w:color w:val="000000" w:themeColor="text1"/>
          <w:kern w:val="0"/>
          <w:sz w:val="30"/>
          <w:szCs w:val="30"/>
        </w:rPr>
        <w:t>二</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已交易衍生品的公允价值减值与用于风险对冲的资产（如有）价值变动加总，导致合计亏损或者浮动亏损金额每达到公司最近一年经审计的归属于上市公司股东净利润的10%且绝对金额超过1000万人民币的，公司应当及时披露。</w:t>
      </w:r>
    </w:p>
    <w:p w:rsidR="00710D86" w:rsidRPr="00807C45" w:rsidRDefault="00710D86" w:rsidP="000907B2">
      <w:pPr>
        <w:adjustRightInd w:val="0"/>
        <w:snapToGrid w:val="0"/>
        <w:spacing w:line="560" w:lineRule="exact"/>
        <w:jc w:val="center"/>
        <w:rPr>
          <w:rFonts w:ascii="仿宋_GB2312" w:eastAsia="仿宋_GB2312" w:hAnsiTheme="minorEastAsia" w:cs="Times New Roman"/>
          <w:b/>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第二节</w:t>
      </w:r>
      <w:r w:rsidRPr="00807C45">
        <w:rPr>
          <w:rFonts w:ascii="仿宋_GB2312" w:eastAsia="仿宋_GB2312" w:hAnsiTheme="minorEastAsia" w:cs="Times New Roman"/>
          <w:b/>
          <w:bCs/>
          <w:color w:val="000000" w:themeColor="text1"/>
          <w:kern w:val="0"/>
          <w:sz w:val="30"/>
          <w:szCs w:val="30"/>
        </w:rPr>
        <w:t xml:space="preserve"> </w:t>
      </w:r>
      <w:r w:rsidRPr="00807C45">
        <w:rPr>
          <w:rFonts w:ascii="仿宋_GB2312" w:eastAsia="仿宋_GB2312" w:hAnsiTheme="minorEastAsia" w:cs="Times New Roman" w:hint="eastAsia"/>
          <w:b/>
          <w:bCs/>
          <w:color w:val="000000" w:themeColor="text1"/>
          <w:kern w:val="0"/>
          <w:sz w:val="30"/>
          <w:szCs w:val="30"/>
        </w:rPr>
        <w:t>委托理财</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三十</w:t>
      </w:r>
      <w:r w:rsidR="00BF6984">
        <w:rPr>
          <w:rFonts w:ascii="仿宋_GB2312" w:eastAsia="仿宋_GB2312" w:hAnsiTheme="minorEastAsia" w:cs="Times New Roman" w:hint="eastAsia"/>
          <w:b/>
          <w:bCs/>
          <w:color w:val="000000" w:themeColor="text1"/>
          <w:kern w:val="0"/>
          <w:sz w:val="30"/>
          <w:szCs w:val="30"/>
        </w:rPr>
        <w:t>三</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上市公司进行委托理财的，应当建立健全委托理财专项制度，明确决策程序、报告制度、内部控制及风险监控管理措施等。</w:t>
      </w:r>
    </w:p>
    <w:p w:rsidR="00710D86"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公司应当选择资信状况及财务状况良好、无不良诚信记录</w:t>
      </w:r>
      <w:r w:rsidR="005665BB">
        <w:rPr>
          <w:rFonts w:ascii="仿宋_GB2312" w:eastAsia="仿宋_GB2312" w:hAnsiTheme="minorEastAsia" w:cs="Times New Roman" w:hint="eastAsia"/>
          <w:bCs/>
          <w:color w:val="000000" w:themeColor="text1"/>
          <w:kern w:val="0"/>
          <w:sz w:val="30"/>
          <w:szCs w:val="30"/>
        </w:rPr>
        <w:t>以</w:t>
      </w:r>
      <w:r w:rsidRPr="00807C45">
        <w:rPr>
          <w:rFonts w:ascii="仿宋_GB2312" w:eastAsia="仿宋_GB2312" w:hAnsiTheme="minorEastAsia" w:cs="Times New Roman" w:hint="eastAsia"/>
          <w:bCs/>
          <w:color w:val="000000" w:themeColor="text1"/>
          <w:kern w:val="0"/>
          <w:sz w:val="30"/>
          <w:szCs w:val="30"/>
        </w:rPr>
        <w:t>及盈利能力强的合格专业理财机构作为受托方，并与受托方签订书面合同，明确委托理财的金额、期限、投资品种、双方的权利义务及法律责任</w:t>
      </w:r>
      <w:r w:rsidR="00AB6402" w:rsidRPr="00807C45">
        <w:rPr>
          <w:rFonts w:ascii="仿宋_GB2312" w:eastAsia="仿宋_GB2312" w:hAnsiTheme="minorEastAsia" w:cs="Times New Roman" w:hint="eastAsia"/>
          <w:bCs/>
          <w:color w:val="000000" w:themeColor="text1"/>
          <w:kern w:val="0"/>
          <w:sz w:val="30"/>
          <w:szCs w:val="30"/>
        </w:rPr>
        <w:t>等。</w:t>
      </w:r>
    </w:p>
    <w:p w:rsidR="00A8406D" w:rsidRDefault="00E0735B" w:rsidP="000907B2">
      <w:pPr>
        <w:widowControl/>
        <w:adjustRightInd w:val="0"/>
        <w:spacing w:line="560" w:lineRule="exact"/>
        <w:ind w:firstLineChars="200" w:firstLine="600"/>
        <w:contextualSpacing/>
        <w:rPr>
          <w:rFonts w:ascii="仿宋_GB2312" w:eastAsia="仿宋_GB2312" w:hAnsiTheme="minorEastAsia" w:cs="Times New Roman"/>
          <w:bCs/>
          <w:color w:val="000000" w:themeColor="text1"/>
          <w:kern w:val="0"/>
          <w:sz w:val="30"/>
          <w:szCs w:val="30"/>
        </w:rPr>
      </w:pPr>
      <w:r w:rsidRPr="00E0735B">
        <w:rPr>
          <w:rFonts w:ascii="仿宋_GB2312" w:eastAsia="仿宋_GB2312" w:hAnsiTheme="minorEastAsia" w:cs="Times New Roman" w:hint="eastAsia"/>
          <w:bCs/>
          <w:color w:val="000000" w:themeColor="text1"/>
          <w:kern w:val="0"/>
          <w:sz w:val="30"/>
          <w:szCs w:val="30"/>
        </w:rPr>
        <w:t>以资金管理、投资理财等投融资活动为主营业务的</w:t>
      </w:r>
      <w:r w:rsidR="00B2165A">
        <w:rPr>
          <w:rFonts w:ascii="仿宋_GB2312" w:eastAsia="仿宋_GB2312" w:hAnsiTheme="minorEastAsia" w:cs="Times New Roman" w:hint="eastAsia"/>
          <w:bCs/>
          <w:color w:val="000000" w:themeColor="text1"/>
          <w:kern w:val="0"/>
          <w:sz w:val="30"/>
          <w:szCs w:val="30"/>
        </w:rPr>
        <w:t>持有金融牌照的</w:t>
      </w:r>
      <w:r w:rsidR="00B2165A" w:rsidRPr="00E0735B">
        <w:rPr>
          <w:rFonts w:ascii="仿宋_GB2312" w:eastAsia="仿宋_GB2312" w:hAnsiTheme="minorEastAsia" w:cs="Times New Roman" w:hint="eastAsia"/>
          <w:bCs/>
          <w:color w:val="000000" w:themeColor="text1"/>
          <w:kern w:val="0"/>
          <w:sz w:val="30"/>
          <w:szCs w:val="30"/>
        </w:rPr>
        <w:t>上市公司及其控股子公司</w:t>
      </w:r>
      <w:r w:rsidRPr="00E0735B">
        <w:rPr>
          <w:rFonts w:ascii="仿宋_GB2312" w:eastAsia="仿宋_GB2312" w:hAnsiTheme="minorEastAsia" w:cs="Times New Roman" w:hint="eastAsia"/>
          <w:bCs/>
          <w:color w:val="000000" w:themeColor="text1"/>
          <w:kern w:val="0"/>
          <w:sz w:val="30"/>
          <w:szCs w:val="30"/>
        </w:rPr>
        <w:t>，其业务行为不适用本节规定。</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F03737" w:rsidRPr="00807C45">
        <w:rPr>
          <w:rFonts w:ascii="仿宋_GB2312" w:eastAsia="仿宋_GB2312" w:hAnsiTheme="minorEastAsia" w:cs="Times New Roman" w:hint="eastAsia"/>
          <w:b/>
          <w:bCs/>
          <w:color w:val="000000" w:themeColor="text1"/>
          <w:kern w:val="0"/>
          <w:sz w:val="30"/>
          <w:szCs w:val="30"/>
        </w:rPr>
        <w:t>三十</w:t>
      </w:r>
      <w:r w:rsidR="00BF6984">
        <w:rPr>
          <w:rFonts w:ascii="仿宋_GB2312" w:eastAsia="仿宋_GB2312" w:hAnsiTheme="minorEastAsia" w:cs="Times New Roman" w:hint="eastAsia"/>
          <w:b/>
          <w:bCs/>
          <w:color w:val="000000" w:themeColor="text1"/>
          <w:kern w:val="0"/>
          <w:sz w:val="30"/>
          <w:szCs w:val="30"/>
        </w:rPr>
        <w:t>四</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上市公司不得通过委托理财等投资的名义规避</w:t>
      </w:r>
      <w:r w:rsidR="001E2380" w:rsidRPr="00807C45">
        <w:rPr>
          <w:rFonts w:ascii="仿宋_GB2312" w:eastAsia="仿宋_GB2312" w:hAnsiTheme="minorEastAsia" w:cs="Times New Roman" w:hint="eastAsia"/>
          <w:bCs/>
          <w:color w:val="000000" w:themeColor="text1"/>
          <w:kern w:val="0"/>
          <w:sz w:val="30"/>
          <w:szCs w:val="30"/>
        </w:rPr>
        <w:t>购买资产或者对外投资</w:t>
      </w:r>
      <w:r w:rsidRPr="00807C45">
        <w:rPr>
          <w:rFonts w:ascii="仿宋_GB2312" w:eastAsia="仿宋_GB2312" w:hAnsiTheme="minorEastAsia" w:cs="Times New Roman" w:hint="eastAsia"/>
          <w:bCs/>
          <w:color w:val="000000" w:themeColor="text1"/>
          <w:kern w:val="0"/>
          <w:sz w:val="30"/>
          <w:szCs w:val="30"/>
        </w:rPr>
        <w:t>应当履行的审议程序和信息披露义务，或者变相为他人提供财务资助。</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公司可</w:t>
      </w:r>
      <w:r w:rsidR="00C97CDB">
        <w:rPr>
          <w:rFonts w:ascii="仿宋_GB2312" w:eastAsia="仿宋_GB2312" w:hAnsiTheme="minorEastAsia" w:cs="Times New Roman" w:hint="eastAsia"/>
          <w:bCs/>
          <w:color w:val="000000" w:themeColor="text1"/>
          <w:kern w:val="0"/>
          <w:sz w:val="30"/>
          <w:szCs w:val="30"/>
        </w:rPr>
        <w:t>以</w:t>
      </w:r>
      <w:r w:rsidRPr="00807C45">
        <w:rPr>
          <w:rFonts w:ascii="仿宋_GB2312" w:eastAsia="仿宋_GB2312" w:hAnsiTheme="minorEastAsia" w:cs="Times New Roman" w:hint="eastAsia"/>
          <w:bCs/>
          <w:color w:val="000000" w:themeColor="text1"/>
          <w:kern w:val="0"/>
          <w:sz w:val="30"/>
          <w:szCs w:val="30"/>
        </w:rPr>
        <w:t>对理财产品资金投向实施控制或者重大影响的，应当充分披露资金最终投向、涉及的交易对手方或者标的资产的详细情况，并充分揭示投资风险以及公司的应对措施。</w:t>
      </w:r>
    </w:p>
    <w:p w:rsidR="00D132FC" w:rsidRPr="00807C45" w:rsidRDefault="00D132FC" w:rsidP="000907B2">
      <w:pPr>
        <w:snapToGrid w:val="0"/>
        <w:spacing w:line="560" w:lineRule="exact"/>
        <w:ind w:firstLine="540"/>
        <w:rPr>
          <w:rFonts w:ascii="仿宋_GB2312" w:eastAsia="仿宋_GB2312" w:hAnsi="宋体" w:cs="Times New Roman"/>
          <w:sz w:val="30"/>
          <w:szCs w:val="30"/>
        </w:rPr>
      </w:pPr>
      <w:r w:rsidRPr="004823B8">
        <w:rPr>
          <w:rFonts w:ascii="仿宋_GB2312" w:eastAsia="仿宋_GB2312" w:hAnsi="宋体" w:cs="Times New Roman" w:hint="eastAsia"/>
          <w:b/>
          <w:sz w:val="30"/>
          <w:szCs w:val="30"/>
        </w:rPr>
        <w:t>第三十</w:t>
      </w:r>
      <w:r w:rsidR="00BF6984">
        <w:rPr>
          <w:rFonts w:ascii="仿宋_GB2312" w:eastAsia="仿宋_GB2312" w:hAnsi="宋体" w:cs="Times New Roman" w:hint="eastAsia"/>
          <w:b/>
          <w:sz w:val="30"/>
          <w:szCs w:val="30"/>
        </w:rPr>
        <w:t>五</w:t>
      </w:r>
      <w:r w:rsidRPr="004823B8">
        <w:rPr>
          <w:rFonts w:ascii="仿宋_GB2312" w:eastAsia="仿宋_GB2312" w:hAnsi="宋体" w:cs="Times New Roman" w:hint="eastAsia"/>
          <w:b/>
          <w:sz w:val="30"/>
          <w:szCs w:val="30"/>
        </w:rPr>
        <w:t>条</w:t>
      </w:r>
      <w:r w:rsidRPr="00807C45">
        <w:rPr>
          <w:rFonts w:ascii="仿宋_GB2312" w:eastAsia="仿宋_GB2312" w:hAnsi="宋体" w:cs="Times New Roman" w:hint="eastAsia"/>
          <w:sz w:val="30"/>
          <w:szCs w:val="30"/>
        </w:rPr>
        <w:t xml:space="preserve"> 上市公司进行委托理财，因交易频次和时效要求等原因难以对每次投资交易履行审议程序和披露义务的，可以对投资范围、额度及期限等进行合理预计，以</w:t>
      </w:r>
      <w:r w:rsidR="005665BB">
        <w:rPr>
          <w:rFonts w:ascii="仿宋_GB2312" w:eastAsia="仿宋_GB2312" w:hAnsi="宋体" w:cs="Times New Roman" w:hint="eastAsia"/>
          <w:sz w:val="30"/>
          <w:szCs w:val="30"/>
        </w:rPr>
        <w:t>预计</w:t>
      </w:r>
      <w:r w:rsidR="00B2165A">
        <w:rPr>
          <w:rFonts w:ascii="仿宋_GB2312" w:eastAsia="仿宋_GB2312" w:hAnsi="宋体" w:cs="Times New Roman" w:hint="eastAsia"/>
          <w:sz w:val="30"/>
          <w:szCs w:val="30"/>
        </w:rPr>
        <w:t>的</w:t>
      </w:r>
      <w:r w:rsidR="005665BB">
        <w:rPr>
          <w:rFonts w:ascii="仿宋_GB2312" w:eastAsia="仿宋_GB2312" w:hAnsi="宋体" w:cs="Times New Roman" w:hint="eastAsia"/>
          <w:sz w:val="30"/>
          <w:szCs w:val="30"/>
        </w:rPr>
        <w:t>委托理财</w:t>
      </w:r>
      <w:r w:rsidRPr="00807C45">
        <w:rPr>
          <w:rFonts w:ascii="仿宋_GB2312" w:eastAsia="仿宋_GB2312" w:hAnsi="宋体" w:cs="Times New Roman" w:hint="eastAsia"/>
          <w:sz w:val="30"/>
          <w:szCs w:val="30"/>
        </w:rPr>
        <w:t>额度计算占净资产的比例，适用《</w:t>
      </w:r>
      <w:r w:rsidR="00F36F43" w:rsidRPr="00807C45">
        <w:rPr>
          <w:rFonts w:ascii="仿宋_GB2312" w:eastAsia="仿宋_GB2312" w:hAnsi="宋体" w:cs="Times New Roman" w:hint="eastAsia"/>
          <w:sz w:val="30"/>
          <w:szCs w:val="30"/>
        </w:rPr>
        <w:t>股票</w:t>
      </w:r>
      <w:r w:rsidRPr="00807C45">
        <w:rPr>
          <w:rFonts w:ascii="仿宋_GB2312" w:eastAsia="仿宋_GB2312" w:hAnsi="宋体" w:cs="Times New Roman" w:hint="eastAsia"/>
          <w:sz w:val="30"/>
          <w:szCs w:val="30"/>
        </w:rPr>
        <w:t>上市规则》的有关规定。</w:t>
      </w:r>
    </w:p>
    <w:p w:rsidR="00D132FC" w:rsidRPr="00807C45" w:rsidRDefault="00D132FC" w:rsidP="000907B2">
      <w:pPr>
        <w:snapToGrid w:val="0"/>
        <w:spacing w:line="560" w:lineRule="exact"/>
        <w:ind w:firstLine="540"/>
        <w:rPr>
          <w:rFonts w:ascii="仿宋_GB2312" w:eastAsia="仿宋_GB2312" w:hAnsi="宋体" w:cs="Times New Roman"/>
          <w:sz w:val="30"/>
          <w:szCs w:val="30"/>
        </w:rPr>
      </w:pPr>
      <w:r w:rsidRPr="00807C45">
        <w:rPr>
          <w:rFonts w:ascii="仿宋_GB2312" w:eastAsia="仿宋_GB2312" w:hAnsi="宋体" w:cs="Times New Roman" w:hint="eastAsia"/>
          <w:sz w:val="30"/>
          <w:szCs w:val="30"/>
        </w:rPr>
        <w:t>相关额度的使用期限不应超过12个月，期限内任一时点的交易金额（含前述</w:t>
      </w:r>
      <w:r w:rsidR="00B2165A">
        <w:rPr>
          <w:rFonts w:ascii="仿宋_GB2312" w:eastAsia="仿宋_GB2312" w:hAnsi="宋体" w:cs="Times New Roman" w:hint="eastAsia"/>
          <w:sz w:val="30"/>
          <w:szCs w:val="30"/>
        </w:rPr>
        <w:t>委托理财</w:t>
      </w:r>
      <w:r w:rsidRPr="00807C45">
        <w:rPr>
          <w:rFonts w:ascii="仿宋_GB2312" w:eastAsia="仿宋_GB2312" w:hAnsi="宋体" w:cs="Times New Roman" w:hint="eastAsia"/>
          <w:sz w:val="30"/>
          <w:szCs w:val="30"/>
        </w:rPr>
        <w:t>的收益进行</w:t>
      </w:r>
      <w:r w:rsidR="00B2165A">
        <w:rPr>
          <w:rFonts w:ascii="仿宋_GB2312" w:eastAsia="仿宋_GB2312" w:hAnsi="宋体" w:cs="Times New Roman" w:hint="eastAsia"/>
          <w:sz w:val="30"/>
          <w:szCs w:val="30"/>
        </w:rPr>
        <w:t>委托理财</w:t>
      </w:r>
      <w:r w:rsidRPr="00807C45">
        <w:rPr>
          <w:rFonts w:ascii="仿宋_GB2312" w:eastAsia="仿宋_GB2312" w:hAnsi="宋体" w:cs="Times New Roman" w:hint="eastAsia"/>
          <w:sz w:val="30"/>
          <w:szCs w:val="30"/>
        </w:rPr>
        <w:t>再投资的相关金额）不应超过</w:t>
      </w:r>
      <w:r w:rsidR="006D234F">
        <w:rPr>
          <w:rFonts w:ascii="仿宋_GB2312" w:eastAsia="仿宋_GB2312" w:hAnsi="宋体" w:cs="Times New Roman" w:hint="eastAsia"/>
          <w:sz w:val="30"/>
          <w:szCs w:val="30"/>
        </w:rPr>
        <w:t>委托理财</w:t>
      </w:r>
      <w:r w:rsidRPr="00807C45">
        <w:rPr>
          <w:rFonts w:ascii="仿宋_GB2312" w:eastAsia="仿宋_GB2312" w:hAnsi="宋体" w:cs="Times New Roman" w:hint="eastAsia"/>
          <w:sz w:val="30"/>
          <w:szCs w:val="30"/>
        </w:rPr>
        <w:t>额度。</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F03737" w:rsidRPr="00807C45">
        <w:rPr>
          <w:rFonts w:ascii="仿宋_GB2312" w:eastAsia="仿宋_GB2312" w:hAnsiTheme="minorEastAsia" w:cs="Times New Roman" w:hint="eastAsia"/>
          <w:b/>
          <w:bCs/>
          <w:color w:val="000000" w:themeColor="text1"/>
          <w:kern w:val="0"/>
          <w:sz w:val="30"/>
          <w:szCs w:val="30"/>
        </w:rPr>
        <w:t>三十</w:t>
      </w:r>
      <w:r w:rsidR="00BF6984">
        <w:rPr>
          <w:rFonts w:ascii="仿宋_GB2312" w:eastAsia="仿宋_GB2312" w:hAnsiTheme="minorEastAsia" w:cs="Times New Roman" w:hint="eastAsia"/>
          <w:b/>
          <w:bCs/>
          <w:color w:val="000000" w:themeColor="text1"/>
          <w:kern w:val="0"/>
          <w:sz w:val="30"/>
          <w:szCs w:val="30"/>
        </w:rPr>
        <w:t>六</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w:t>
      </w:r>
      <w:r w:rsidR="001E2380" w:rsidRPr="00807C45">
        <w:rPr>
          <w:rFonts w:ascii="仿宋_GB2312" w:eastAsia="仿宋_GB2312" w:hAnsiTheme="minorEastAsia" w:cs="Times New Roman" w:hint="eastAsia"/>
          <w:bCs/>
          <w:color w:val="000000" w:themeColor="text1"/>
          <w:kern w:val="0"/>
          <w:sz w:val="30"/>
          <w:szCs w:val="30"/>
        </w:rPr>
        <w:t>进行委托理财，</w:t>
      </w:r>
      <w:r w:rsidRPr="00807C45">
        <w:rPr>
          <w:rFonts w:ascii="仿宋_GB2312" w:eastAsia="仿宋_GB2312" w:hAnsiTheme="minorEastAsia" w:cs="Times New Roman" w:hint="eastAsia"/>
          <w:bCs/>
          <w:color w:val="000000" w:themeColor="text1"/>
          <w:kern w:val="0"/>
          <w:sz w:val="30"/>
          <w:szCs w:val="30"/>
        </w:rPr>
        <w:t>发生以下情形之一的，应当及时披露相关进展情况和拟采取的应对措施：</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（一）理财产品募集失败、未能完成备案登记、提前终止、到期不能收回；</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（二）理财产品协议或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相关担保合同主要条款变更；</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（三）受托方</w:t>
      </w:r>
      <w:r w:rsidR="00E3221E">
        <w:rPr>
          <w:rFonts w:ascii="仿宋_GB2312" w:eastAsia="仿宋_GB2312" w:hAnsiTheme="minorEastAsia" w:cs="Times New Roman" w:hint="eastAsia"/>
          <w:bCs/>
          <w:color w:val="000000" w:themeColor="text1"/>
          <w:kern w:val="0"/>
          <w:sz w:val="30"/>
          <w:szCs w:val="30"/>
        </w:rPr>
        <w:t>、</w:t>
      </w:r>
      <w:r w:rsidRPr="00807C45">
        <w:rPr>
          <w:rFonts w:ascii="仿宋_GB2312" w:eastAsia="仿宋_GB2312" w:hAnsiTheme="minorEastAsia" w:cs="Times New Roman" w:hint="eastAsia"/>
          <w:bCs/>
          <w:color w:val="000000" w:themeColor="text1"/>
          <w:kern w:val="0"/>
          <w:sz w:val="30"/>
          <w:szCs w:val="30"/>
        </w:rPr>
        <w:t>资金使用方经营或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财务状况出现重大风险事件；</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（四）其他可能会损害上市公司利益或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具有重要影响的情形。</w:t>
      </w:r>
    </w:p>
    <w:p w:rsidR="00710D86" w:rsidRPr="00807C45" w:rsidRDefault="00710D86" w:rsidP="000907B2">
      <w:pPr>
        <w:adjustRightInd w:val="0"/>
        <w:snapToGrid w:val="0"/>
        <w:spacing w:line="560" w:lineRule="exact"/>
        <w:jc w:val="center"/>
        <w:rPr>
          <w:rFonts w:ascii="仿宋_GB2312" w:eastAsia="仿宋_GB2312" w:hAnsiTheme="minorEastAsia" w:cs="Times New Roman"/>
          <w:b/>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第三节 与专业投资机构共同投资及合作</w:t>
      </w:r>
    </w:p>
    <w:p w:rsidR="00710D86" w:rsidRPr="00807C45" w:rsidRDefault="00710D86"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第三十</w:t>
      </w:r>
      <w:r w:rsidR="00BF6984">
        <w:rPr>
          <w:rFonts w:ascii="仿宋_GB2312" w:eastAsia="仿宋_GB2312" w:hAnsiTheme="minorEastAsia" w:cs="Times New Roman" w:hint="eastAsia"/>
          <w:b/>
          <w:bCs/>
          <w:color w:val="000000" w:themeColor="text1"/>
          <w:kern w:val="0"/>
          <w:sz w:val="30"/>
          <w:szCs w:val="30"/>
        </w:rPr>
        <w:t>七</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上市公司与专业投资机构共同设立并购基金或</w:t>
      </w:r>
      <w:r w:rsidR="00FA30A9">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产业基金等投资基金（以下简称投资基金，组织形式包括但不限于公司制、普通合伙、有限合伙等），认购专业投资机构发起设立的投资基金份额，与上述投资基金进行后续资产交易，以及上市公司与专业投资机构签订战略合作、市值管理、财务顾问、业务咨询等合作协议（以下简称合作协议），适用本节规定。</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上市公司控股股东、实际控制人、持股5</w:t>
      </w:r>
      <w:r w:rsidR="00C70143">
        <w:rPr>
          <w:rFonts w:ascii="仿宋_GB2312" w:eastAsia="仿宋_GB2312" w:hAnsiTheme="minorEastAsia" w:cs="Times New Roman" w:hint="eastAsia"/>
          <w:bCs/>
          <w:color w:val="000000" w:themeColor="text1"/>
          <w:kern w:val="0"/>
          <w:sz w:val="30"/>
          <w:szCs w:val="30"/>
        </w:rPr>
        <w:t>%</w:t>
      </w:r>
      <w:r w:rsidRPr="00807C45">
        <w:rPr>
          <w:rFonts w:ascii="仿宋_GB2312" w:eastAsia="仿宋_GB2312" w:hAnsiTheme="minorEastAsia" w:cs="Times New Roman" w:hint="eastAsia"/>
          <w:bCs/>
          <w:color w:val="000000" w:themeColor="text1"/>
          <w:kern w:val="0"/>
          <w:sz w:val="30"/>
          <w:szCs w:val="30"/>
        </w:rPr>
        <w:t>以上的股东、董事、监事、高级管理人员与专业投资机构进行合作，涉及向上市公司购买或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转让资产等相关安排的，参照本节规定执行。</w:t>
      </w:r>
    </w:p>
    <w:p w:rsidR="00710D86" w:rsidRPr="00807C45" w:rsidRDefault="00710D86"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上市公司</w:t>
      </w:r>
      <w:r w:rsidR="006D234F">
        <w:rPr>
          <w:rFonts w:ascii="仿宋_GB2312" w:eastAsia="仿宋_GB2312" w:hAnsiTheme="minorEastAsia" w:cs="Times New Roman" w:hint="eastAsia"/>
          <w:bCs/>
          <w:color w:val="000000" w:themeColor="text1"/>
          <w:kern w:val="0"/>
          <w:sz w:val="30"/>
          <w:szCs w:val="30"/>
        </w:rPr>
        <w:t>及其控股子公司</w:t>
      </w:r>
      <w:r w:rsidRPr="00807C45">
        <w:rPr>
          <w:rFonts w:ascii="仿宋_GB2312" w:eastAsia="仿宋_GB2312" w:hAnsiTheme="minorEastAsia" w:cs="Times New Roman" w:hint="eastAsia"/>
          <w:bCs/>
          <w:color w:val="000000" w:themeColor="text1"/>
          <w:kern w:val="0"/>
          <w:sz w:val="30"/>
          <w:szCs w:val="30"/>
        </w:rPr>
        <w:t>因实施证券发行、权益变动、股权激励等事项按照相关规定与</w:t>
      </w:r>
      <w:r w:rsidR="00E309BF">
        <w:rPr>
          <w:rFonts w:ascii="仿宋_GB2312" w:eastAsia="仿宋_GB2312" w:hAnsiTheme="minorEastAsia" w:cs="Times New Roman" w:hint="eastAsia"/>
          <w:bCs/>
          <w:color w:val="000000" w:themeColor="text1"/>
          <w:kern w:val="0"/>
          <w:sz w:val="30"/>
          <w:szCs w:val="30"/>
        </w:rPr>
        <w:t>中介</w:t>
      </w:r>
      <w:r w:rsidRPr="00807C45">
        <w:rPr>
          <w:rFonts w:ascii="仿宋_GB2312" w:eastAsia="仿宋_GB2312" w:hAnsiTheme="minorEastAsia" w:cs="Times New Roman" w:hint="eastAsia"/>
          <w:bCs/>
          <w:color w:val="000000" w:themeColor="text1"/>
          <w:kern w:val="0"/>
          <w:sz w:val="30"/>
          <w:szCs w:val="30"/>
        </w:rPr>
        <w:t>机构签订财务顾问、业务咨询等合作协议，或者以资金管理、投资理财、经纪业务等投融资活动为</w:t>
      </w:r>
      <w:r w:rsidR="006D234F">
        <w:rPr>
          <w:rFonts w:ascii="仿宋_GB2312" w:eastAsia="仿宋_GB2312" w:hAnsiTheme="minorEastAsia" w:cs="Times New Roman" w:hint="eastAsia"/>
          <w:bCs/>
          <w:color w:val="000000" w:themeColor="text1"/>
          <w:kern w:val="0"/>
          <w:sz w:val="30"/>
          <w:szCs w:val="30"/>
        </w:rPr>
        <w:t>主</w:t>
      </w:r>
      <w:r w:rsidRPr="00807C45">
        <w:rPr>
          <w:rFonts w:ascii="仿宋_GB2312" w:eastAsia="仿宋_GB2312" w:hAnsiTheme="minorEastAsia" w:cs="Times New Roman" w:hint="eastAsia"/>
          <w:bCs/>
          <w:color w:val="000000" w:themeColor="text1"/>
          <w:kern w:val="0"/>
          <w:sz w:val="30"/>
          <w:szCs w:val="30"/>
        </w:rPr>
        <w:t>营业务的</w:t>
      </w:r>
      <w:r w:rsidR="00CD1467">
        <w:rPr>
          <w:rFonts w:ascii="仿宋_GB2312" w:eastAsia="仿宋_GB2312" w:hAnsiTheme="minorEastAsia" w:cs="Times New Roman" w:hint="eastAsia"/>
          <w:bCs/>
          <w:color w:val="000000" w:themeColor="text1"/>
          <w:kern w:val="0"/>
          <w:sz w:val="30"/>
          <w:szCs w:val="30"/>
        </w:rPr>
        <w:t>持有金融牌照的</w:t>
      </w:r>
      <w:r w:rsidRPr="00807C45">
        <w:rPr>
          <w:rFonts w:ascii="仿宋_GB2312" w:eastAsia="仿宋_GB2312" w:hAnsiTheme="minorEastAsia" w:cs="Times New Roman" w:hint="eastAsia"/>
          <w:bCs/>
          <w:color w:val="000000" w:themeColor="text1"/>
          <w:kern w:val="0"/>
          <w:sz w:val="30"/>
          <w:szCs w:val="30"/>
        </w:rPr>
        <w:t>上市公司</w:t>
      </w:r>
      <w:r w:rsidR="006D234F">
        <w:rPr>
          <w:rFonts w:ascii="仿宋_GB2312" w:eastAsia="仿宋_GB2312" w:hAnsiTheme="minorEastAsia" w:cs="Times New Roman" w:hint="eastAsia"/>
          <w:bCs/>
          <w:color w:val="000000" w:themeColor="text1"/>
          <w:kern w:val="0"/>
          <w:sz w:val="30"/>
          <w:szCs w:val="30"/>
        </w:rPr>
        <w:t>及其控股子公司</w:t>
      </w:r>
      <w:r w:rsidRPr="00807C45">
        <w:rPr>
          <w:rFonts w:ascii="仿宋_GB2312" w:eastAsia="仿宋_GB2312" w:hAnsiTheme="minorEastAsia" w:cs="Times New Roman" w:hint="eastAsia"/>
          <w:bCs/>
          <w:color w:val="000000" w:themeColor="text1"/>
          <w:kern w:val="0"/>
          <w:sz w:val="30"/>
          <w:szCs w:val="30"/>
        </w:rPr>
        <w:t>涉及本节规定的共同投资及合作事项的，可免于适用本节规定。</w:t>
      </w:r>
    </w:p>
    <w:p w:rsidR="001E2380" w:rsidRPr="00807C45" w:rsidRDefault="001E2380"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本节所称专业投资机构是指私募基金、私募基金管理人、基金管理公司、证券公司、期货公司、资产管理公司及证券投资咨询机构等专业从事投资业务活动的机构。</w:t>
      </w:r>
    </w:p>
    <w:p w:rsidR="00CA0322" w:rsidRPr="00807C45" w:rsidRDefault="00CA0322"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第三十</w:t>
      </w:r>
      <w:r w:rsidR="00BF6984">
        <w:rPr>
          <w:rFonts w:ascii="仿宋_GB2312" w:eastAsia="仿宋_GB2312" w:hAnsiTheme="minorEastAsia" w:cs="Times New Roman" w:hint="eastAsia"/>
          <w:b/>
          <w:bCs/>
          <w:color w:val="000000" w:themeColor="text1"/>
          <w:kern w:val="0"/>
          <w:sz w:val="30"/>
          <w:szCs w:val="30"/>
        </w:rPr>
        <w:t>八</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上市公司与专业投资机构共同投资，无论参与金额大小均应当及时披露，并以其承担的最大损失金额，参照上市公司对外投资相关规定履行相应的审议程序，构成关联交易的还应当履行关联交易审议程序。</w:t>
      </w:r>
    </w:p>
    <w:p w:rsidR="00CA0322" w:rsidRPr="00807C45" w:rsidRDefault="000228FE"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前款所称</w:t>
      </w:r>
      <w:r w:rsidR="00CA0322" w:rsidRPr="00807C45">
        <w:rPr>
          <w:rFonts w:ascii="仿宋_GB2312" w:eastAsia="仿宋_GB2312" w:hAnsiTheme="minorEastAsia" w:cs="Times New Roman" w:hint="eastAsia"/>
          <w:bCs/>
          <w:color w:val="000000" w:themeColor="text1"/>
          <w:kern w:val="0"/>
          <w:sz w:val="30"/>
          <w:szCs w:val="30"/>
        </w:rPr>
        <w:t>“最大损失金额”，应当以上市公司因本次投资可能损失的投资总额、股份权益或</w:t>
      </w:r>
      <w:r w:rsidR="00E3221E">
        <w:rPr>
          <w:rFonts w:ascii="仿宋_GB2312" w:eastAsia="仿宋_GB2312" w:hAnsiTheme="minorEastAsia" w:cs="Times New Roman" w:hint="eastAsia"/>
          <w:bCs/>
          <w:color w:val="000000" w:themeColor="text1"/>
          <w:kern w:val="0"/>
          <w:sz w:val="30"/>
          <w:szCs w:val="30"/>
        </w:rPr>
        <w:t>者</w:t>
      </w:r>
      <w:r w:rsidR="00CA0322" w:rsidRPr="00807C45">
        <w:rPr>
          <w:rFonts w:ascii="仿宋_GB2312" w:eastAsia="仿宋_GB2312" w:hAnsiTheme="minorEastAsia" w:cs="Times New Roman" w:hint="eastAsia"/>
          <w:bCs/>
          <w:color w:val="000000" w:themeColor="text1"/>
          <w:kern w:val="0"/>
          <w:sz w:val="30"/>
          <w:szCs w:val="30"/>
        </w:rPr>
        <w:t>承担其他责任可能导致的损失金额的较高者为准。</w:t>
      </w:r>
    </w:p>
    <w:p w:rsidR="00CA0322" w:rsidRPr="00807C45" w:rsidRDefault="00CA0322"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第三十</w:t>
      </w:r>
      <w:r w:rsidR="00BF6984">
        <w:rPr>
          <w:rFonts w:ascii="仿宋_GB2312" w:eastAsia="仿宋_GB2312" w:hAnsiTheme="minorEastAsia" w:cs="Times New Roman" w:hint="eastAsia"/>
          <w:b/>
          <w:bCs/>
          <w:color w:val="000000" w:themeColor="text1"/>
          <w:kern w:val="0"/>
          <w:sz w:val="30"/>
          <w:szCs w:val="30"/>
        </w:rPr>
        <w:t>九</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投资机构共同投资，应当及时披露相关公告，并向本所报备有关协议。公告内容应当包括专业投资机构基本情况、关联关系或其他利益关系说明、投资基金的具体情况、管理模式、投资模式和利益分配方式、投资协议主要条款，并说明对上市公司的影响和存在的风险，是否可能导致同业竞争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关联交易等。</w:t>
      </w:r>
    </w:p>
    <w:p w:rsidR="00710D86"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如上市公司控股股东、实际控制人、持股5</w:t>
      </w:r>
      <w:r w:rsidR="00C70143">
        <w:rPr>
          <w:rFonts w:ascii="仿宋_GB2312" w:eastAsia="仿宋_GB2312" w:hAnsiTheme="minorEastAsia" w:cs="Times New Roman" w:hint="eastAsia"/>
          <w:bCs/>
          <w:color w:val="000000" w:themeColor="text1"/>
          <w:kern w:val="0"/>
          <w:sz w:val="30"/>
          <w:szCs w:val="30"/>
        </w:rPr>
        <w:t>%</w:t>
      </w:r>
      <w:r w:rsidRPr="00807C45">
        <w:rPr>
          <w:rFonts w:ascii="仿宋_GB2312" w:eastAsia="仿宋_GB2312" w:hAnsiTheme="minorEastAsia" w:cs="Times New Roman" w:hint="eastAsia"/>
          <w:bCs/>
          <w:color w:val="000000" w:themeColor="text1"/>
          <w:kern w:val="0"/>
          <w:sz w:val="30"/>
          <w:szCs w:val="30"/>
        </w:rPr>
        <w:t>以上的股东、董事、监事、高级管理人员参与投资基金份额认购、在有关专业投资机构或者投资基金中任职的，还应当在公告中说明具体情况。</w:t>
      </w:r>
    </w:p>
    <w:p w:rsidR="00CA0322" w:rsidRPr="00807C45" w:rsidRDefault="00CA0322"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BF6984">
        <w:rPr>
          <w:rFonts w:ascii="仿宋_GB2312" w:eastAsia="仿宋_GB2312" w:hAnsiTheme="minorEastAsia" w:cs="Times New Roman" w:hint="eastAsia"/>
          <w:b/>
          <w:bCs/>
          <w:color w:val="000000" w:themeColor="text1"/>
          <w:kern w:val="0"/>
          <w:sz w:val="30"/>
          <w:szCs w:val="30"/>
        </w:rPr>
        <w:t>四</w:t>
      </w:r>
      <w:r w:rsidRPr="00807C45">
        <w:rPr>
          <w:rFonts w:ascii="仿宋_GB2312" w:eastAsia="仿宋_GB2312" w:hAnsiTheme="minorEastAsia" w:cs="Times New Roman" w:hint="eastAsia"/>
          <w:b/>
          <w:bCs/>
          <w:color w:val="000000" w:themeColor="text1"/>
          <w:kern w:val="0"/>
          <w:sz w:val="30"/>
          <w:szCs w:val="30"/>
        </w:rPr>
        <w:t xml:space="preserve">十条 </w:t>
      </w:r>
      <w:r w:rsidR="00FB2606">
        <w:rPr>
          <w:rFonts w:ascii="仿宋_GB2312" w:eastAsia="仿宋_GB2312" w:hAnsiTheme="minorEastAsia" w:cs="Times New Roman" w:hint="eastAsia"/>
          <w:bCs/>
          <w:color w:val="000000" w:themeColor="text1"/>
          <w:kern w:val="0"/>
          <w:sz w:val="30"/>
          <w:szCs w:val="30"/>
        </w:rPr>
        <w:t>上市公司将超募资金用于永久性补充流动资金后的12</w:t>
      </w:r>
      <w:r w:rsidRPr="00807C45">
        <w:rPr>
          <w:rFonts w:ascii="仿宋_GB2312" w:eastAsia="仿宋_GB2312" w:hAnsiTheme="minorEastAsia" w:cs="Times New Roman" w:hint="eastAsia"/>
          <w:bCs/>
          <w:color w:val="000000" w:themeColor="text1"/>
          <w:kern w:val="0"/>
          <w:sz w:val="30"/>
          <w:szCs w:val="30"/>
        </w:rPr>
        <w:t>个月内，不得与专业投资机构共同投资。</w:t>
      </w:r>
    </w:p>
    <w:p w:rsidR="00710D86"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公司与专业投资机构共同投资与主营业务相关的投资基金，或者市场化运作的贫困地区产业投资基金和扶贫公益基金等投资基金，不适用前款规定。</w:t>
      </w:r>
    </w:p>
    <w:p w:rsidR="00CA0322" w:rsidRPr="00807C45" w:rsidRDefault="00CA0322"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D132FC" w:rsidRPr="00807C45">
        <w:rPr>
          <w:rFonts w:ascii="仿宋_GB2312" w:eastAsia="仿宋_GB2312" w:hAnsiTheme="minorEastAsia" w:cs="Times New Roman" w:hint="eastAsia"/>
          <w:b/>
          <w:bCs/>
          <w:color w:val="000000" w:themeColor="text1"/>
          <w:kern w:val="0"/>
          <w:sz w:val="30"/>
          <w:szCs w:val="30"/>
        </w:rPr>
        <w:t>四十</w:t>
      </w:r>
      <w:r w:rsidR="00BF6984">
        <w:rPr>
          <w:rFonts w:ascii="仿宋_GB2312" w:eastAsia="仿宋_GB2312" w:hAnsiTheme="minorEastAsia" w:cs="Times New Roman" w:hint="eastAsia"/>
          <w:b/>
          <w:bCs/>
          <w:color w:val="000000" w:themeColor="text1"/>
          <w:kern w:val="0"/>
          <w:sz w:val="30"/>
          <w:szCs w:val="30"/>
        </w:rPr>
        <w:t>一</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上市公司与专业投资机构共同投资，发生以下情形时，应当及时披露相关进展情况：</w:t>
      </w:r>
    </w:p>
    <w:p w:rsidR="00CA0322"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（一）</w:t>
      </w:r>
      <w:r w:rsidR="00930F98" w:rsidRPr="00807C45">
        <w:rPr>
          <w:rFonts w:ascii="仿宋_GB2312" w:eastAsia="仿宋_GB2312" w:hAnsiTheme="minorEastAsia" w:cs="Times New Roman" w:hint="eastAsia"/>
          <w:bCs/>
          <w:color w:val="000000" w:themeColor="text1"/>
          <w:kern w:val="0"/>
          <w:sz w:val="30"/>
          <w:szCs w:val="30"/>
        </w:rPr>
        <w:t>拟参与设立或</w:t>
      </w:r>
      <w:r w:rsidR="00E3221E">
        <w:rPr>
          <w:rFonts w:ascii="仿宋_GB2312" w:eastAsia="仿宋_GB2312" w:hAnsiTheme="minorEastAsia" w:cs="Times New Roman" w:hint="eastAsia"/>
          <w:bCs/>
          <w:color w:val="000000" w:themeColor="text1"/>
          <w:kern w:val="0"/>
          <w:sz w:val="30"/>
          <w:szCs w:val="30"/>
        </w:rPr>
        <w:t>者</w:t>
      </w:r>
      <w:r w:rsidR="00930F98" w:rsidRPr="00807C45">
        <w:rPr>
          <w:rFonts w:ascii="仿宋_GB2312" w:eastAsia="仿宋_GB2312" w:hAnsiTheme="minorEastAsia" w:cs="Times New Roman" w:hint="eastAsia"/>
          <w:bCs/>
          <w:color w:val="000000" w:themeColor="text1"/>
          <w:kern w:val="0"/>
          <w:sz w:val="30"/>
          <w:szCs w:val="30"/>
        </w:rPr>
        <w:t>认购份额的投资基金募集完毕或</w:t>
      </w:r>
      <w:r w:rsidR="00E3221E">
        <w:rPr>
          <w:rFonts w:ascii="仿宋_GB2312" w:eastAsia="仿宋_GB2312" w:hAnsiTheme="minorEastAsia" w:cs="Times New Roman" w:hint="eastAsia"/>
          <w:bCs/>
          <w:color w:val="000000" w:themeColor="text1"/>
          <w:kern w:val="0"/>
          <w:sz w:val="30"/>
          <w:szCs w:val="30"/>
        </w:rPr>
        <w:t>者</w:t>
      </w:r>
      <w:r w:rsidR="00930F98" w:rsidRPr="00807C45">
        <w:rPr>
          <w:rFonts w:ascii="仿宋_GB2312" w:eastAsia="仿宋_GB2312" w:hAnsiTheme="minorEastAsia" w:cs="Times New Roman" w:hint="eastAsia"/>
          <w:bCs/>
          <w:color w:val="000000" w:themeColor="text1"/>
          <w:kern w:val="0"/>
          <w:sz w:val="30"/>
          <w:szCs w:val="30"/>
        </w:rPr>
        <w:t>募集失败</w:t>
      </w:r>
      <w:r w:rsidRPr="00807C45">
        <w:rPr>
          <w:rFonts w:ascii="仿宋_GB2312" w:eastAsia="仿宋_GB2312" w:hAnsiTheme="minorEastAsia" w:cs="Times New Roman" w:hint="eastAsia"/>
          <w:bCs/>
          <w:color w:val="000000" w:themeColor="text1"/>
          <w:kern w:val="0"/>
          <w:sz w:val="30"/>
          <w:szCs w:val="30"/>
        </w:rPr>
        <w:t>；</w:t>
      </w:r>
    </w:p>
    <w:p w:rsidR="00CA0322"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（二）</w:t>
      </w:r>
      <w:r w:rsidR="00930F98" w:rsidRPr="00807C45">
        <w:rPr>
          <w:rFonts w:ascii="仿宋_GB2312" w:eastAsia="仿宋_GB2312" w:hAnsiTheme="minorEastAsia" w:cs="Times New Roman" w:hint="eastAsia"/>
          <w:bCs/>
          <w:color w:val="000000" w:themeColor="text1"/>
          <w:kern w:val="0"/>
          <w:sz w:val="30"/>
          <w:szCs w:val="30"/>
        </w:rPr>
        <w:t>投资基金完成备案登记（如涉及）</w:t>
      </w:r>
      <w:r w:rsidRPr="00807C45">
        <w:rPr>
          <w:rFonts w:ascii="仿宋_GB2312" w:eastAsia="仿宋_GB2312" w:hAnsiTheme="minorEastAsia" w:cs="Times New Roman" w:hint="eastAsia"/>
          <w:bCs/>
          <w:color w:val="000000" w:themeColor="text1"/>
          <w:kern w:val="0"/>
          <w:sz w:val="30"/>
          <w:szCs w:val="30"/>
        </w:rPr>
        <w:t>；</w:t>
      </w:r>
    </w:p>
    <w:p w:rsidR="00CA0322"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（三）投资基金进行对上市公司具有重大影响的投资或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资产收购事项；</w:t>
      </w:r>
    </w:p>
    <w:p w:rsidR="00CA0322"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（四）投资基金发生重大变更事项或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投资运作出现重大风险事件，可能会对上市公司造成较大影响。</w:t>
      </w:r>
    </w:p>
    <w:p w:rsidR="00CA0322" w:rsidRPr="00807C45" w:rsidRDefault="00CA0322"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四十</w:t>
      </w:r>
      <w:r w:rsidR="00BF6984">
        <w:rPr>
          <w:rFonts w:ascii="仿宋_GB2312" w:eastAsia="仿宋_GB2312" w:hAnsiTheme="minorEastAsia" w:cs="Times New Roman" w:hint="eastAsia"/>
          <w:b/>
          <w:bCs/>
          <w:color w:val="000000" w:themeColor="text1"/>
          <w:kern w:val="0"/>
          <w:sz w:val="30"/>
          <w:szCs w:val="30"/>
        </w:rPr>
        <w:t>二</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上市公司与专业投资机构签订合作协议的，应当披露专业投资机构基本情况、与上市公司存在的关联关系或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其他利益关系，并完整披露合作协议主要条款、专业投资机构提供服务内容等，并对合作协议可能存在的风险进行充分揭示。上市公司应当完整披露与专业投资机构签订的各项协议，并承诺不存在其他未披露的协议。</w:t>
      </w:r>
    </w:p>
    <w:p w:rsidR="00CA0322" w:rsidRPr="00807C45" w:rsidRDefault="00CA0322"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四十</w:t>
      </w:r>
      <w:r w:rsidR="00BF6984">
        <w:rPr>
          <w:rFonts w:ascii="仿宋_GB2312" w:eastAsia="仿宋_GB2312" w:hAnsiTheme="minorEastAsia" w:cs="Times New Roman" w:hint="eastAsia"/>
          <w:b/>
          <w:bCs/>
          <w:color w:val="000000" w:themeColor="text1"/>
          <w:kern w:val="0"/>
          <w:sz w:val="30"/>
          <w:szCs w:val="30"/>
        </w:rPr>
        <w:t>三</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上市公司与专业投资机构签订合作协议，发生以下情形时，应当及时披露相关进展情况：</w:t>
      </w:r>
    </w:p>
    <w:p w:rsidR="00CA0322"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（一）完成合作协议约定的各项主要义务或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计划安排；</w:t>
      </w:r>
    </w:p>
    <w:p w:rsidR="00CA0322"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（二）根据合作协议筹划对公司有重大影响的事项；</w:t>
      </w:r>
    </w:p>
    <w:p w:rsidR="00CA0322" w:rsidRPr="00807C45" w:rsidRDefault="00CA0322"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Cs/>
          <w:color w:val="000000" w:themeColor="text1"/>
          <w:kern w:val="0"/>
          <w:sz w:val="30"/>
          <w:szCs w:val="30"/>
        </w:rPr>
        <w:t>（三）合作协议发生重大变更或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提前终止。</w:t>
      </w:r>
    </w:p>
    <w:p w:rsidR="00CA0322" w:rsidRPr="00807C45" w:rsidRDefault="006764CE"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0B6463" w:rsidRPr="00807C45">
        <w:rPr>
          <w:rFonts w:ascii="仿宋_GB2312" w:eastAsia="仿宋_GB2312" w:hAnsiTheme="minorEastAsia" w:cs="Times New Roman" w:hint="eastAsia"/>
          <w:b/>
          <w:bCs/>
          <w:color w:val="000000" w:themeColor="text1"/>
          <w:kern w:val="0"/>
          <w:sz w:val="30"/>
          <w:szCs w:val="30"/>
        </w:rPr>
        <w:t>四十</w:t>
      </w:r>
      <w:r w:rsidR="00BF6984">
        <w:rPr>
          <w:rFonts w:ascii="仿宋_GB2312" w:eastAsia="仿宋_GB2312" w:hAnsiTheme="minorEastAsia" w:cs="Times New Roman" w:hint="eastAsia"/>
          <w:b/>
          <w:bCs/>
          <w:color w:val="000000" w:themeColor="text1"/>
          <w:kern w:val="0"/>
          <w:sz w:val="30"/>
          <w:szCs w:val="30"/>
        </w:rPr>
        <w:t>四</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w:t>
      </w:r>
      <w:r w:rsidR="000228FE" w:rsidRPr="00807C45">
        <w:rPr>
          <w:rFonts w:ascii="仿宋_GB2312" w:eastAsia="仿宋_GB2312" w:hAnsiTheme="minorEastAsia" w:cs="Times New Roman" w:hint="eastAsia"/>
          <w:bCs/>
          <w:color w:val="000000" w:themeColor="text1"/>
          <w:kern w:val="0"/>
          <w:sz w:val="30"/>
          <w:szCs w:val="30"/>
        </w:rPr>
        <w:t>投资</w:t>
      </w:r>
      <w:r w:rsidRPr="00807C45">
        <w:rPr>
          <w:rFonts w:ascii="仿宋_GB2312" w:eastAsia="仿宋_GB2312" w:hAnsiTheme="minorEastAsia" w:cs="Times New Roman" w:hint="eastAsia"/>
          <w:bCs/>
          <w:color w:val="000000" w:themeColor="text1"/>
          <w:kern w:val="0"/>
          <w:sz w:val="30"/>
          <w:szCs w:val="30"/>
        </w:rPr>
        <w:t>机构存在前述共同投资及合作事项，又购买其直接、间接持有或</w:t>
      </w:r>
      <w:r w:rsidR="00E3221E">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推荐的交易标的，除按照法律、</w:t>
      </w:r>
      <w:r w:rsidR="000228FE" w:rsidRPr="00807C45">
        <w:rPr>
          <w:rFonts w:ascii="仿宋_GB2312" w:eastAsia="仿宋_GB2312" w:hAnsiTheme="minorEastAsia" w:cs="Times New Roman" w:hint="eastAsia"/>
          <w:bCs/>
          <w:color w:val="000000" w:themeColor="text1"/>
          <w:kern w:val="0"/>
          <w:sz w:val="30"/>
          <w:szCs w:val="30"/>
        </w:rPr>
        <w:t>行政</w:t>
      </w:r>
      <w:r w:rsidRPr="00807C45">
        <w:rPr>
          <w:rFonts w:ascii="仿宋_GB2312" w:eastAsia="仿宋_GB2312" w:hAnsiTheme="minorEastAsia" w:cs="Times New Roman" w:hint="eastAsia"/>
          <w:bCs/>
          <w:color w:val="000000" w:themeColor="text1"/>
          <w:kern w:val="0"/>
          <w:sz w:val="30"/>
          <w:szCs w:val="30"/>
        </w:rPr>
        <w:t>法规、部门规章</w:t>
      </w:r>
      <w:r w:rsidR="000228FE" w:rsidRPr="00807C45">
        <w:rPr>
          <w:rFonts w:ascii="仿宋_GB2312" w:eastAsia="仿宋_GB2312" w:hAnsiTheme="minorEastAsia" w:cs="Times New Roman" w:hint="eastAsia"/>
          <w:bCs/>
          <w:color w:val="000000" w:themeColor="text1"/>
          <w:kern w:val="0"/>
          <w:sz w:val="30"/>
          <w:szCs w:val="30"/>
        </w:rPr>
        <w:t>、规范性文件</w:t>
      </w:r>
      <w:r w:rsidRPr="00807C45">
        <w:rPr>
          <w:rFonts w:ascii="仿宋_GB2312" w:eastAsia="仿宋_GB2312" w:hAnsiTheme="minorEastAsia" w:cs="Times New Roman" w:hint="eastAsia"/>
          <w:bCs/>
          <w:color w:val="000000" w:themeColor="text1"/>
          <w:kern w:val="0"/>
          <w:sz w:val="30"/>
          <w:szCs w:val="30"/>
        </w:rPr>
        <w:t>及本所《股票上市规则》等相关规定进行信息披露外，还应当披露该专业投资机构及其控制的其他主体，管理的全部基金、信托、资产管理计划等产品在交易标的中持有的股份或</w:t>
      </w:r>
      <w:r w:rsidR="00EC177C">
        <w:rPr>
          <w:rFonts w:ascii="仿宋_GB2312" w:eastAsia="仿宋_GB2312" w:hAnsiTheme="minorEastAsia" w:cs="Times New Roman" w:hint="eastAsia"/>
          <w:bCs/>
          <w:color w:val="000000" w:themeColor="text1"/>
          <w:kern w:val="0"/>
          <w:sz w:val="30"/>
          <w:szCs w:val="30"/>
        </w:rPr>
        <w:t>者</w:t>
      </w:r>
      <w:r w:rsidRPr="00807C45">
        <w:rPr>
          <w:rFonts w:ascii="仿宋_GB2312" w:eastAsia="仿宋_GB2312" w:hAnsiTheme="minorEastAsia" w:cs="Times New Roman" w:hint="eastAsia"/>
          <w:bCs/>
          <w:color w:val="000000" w:themeColor="text1"/>
          <w:kern w:val="0"/>
          <w:sz w:val="30"/>
          <w:szCs w:val="30"/>
        </w:rPr>
        <w:t>投资份额情况，最近</w:t>
      </w:r>
      <w:r w:rsidR="00F24850">
        <w:rPr>
          <w:rFonts w:ascii="仿宋_GB2312" w:eastAsia="仿宋_GB2312" w:hAnsiTheme="minorEastAsia" w:cs="Times New Roman" w:hint="eastAsia"/>
          <w:bCs/>
          <w:color w:val="000000" w:themeColor="text1"/>
          <w:kern w:val="0"/>
          <w:sz w:val="30"/>
          <w:szCs w:val="30"/>
        </w:rPr>
        <w:t>6</w:t>
      </w:r>
      <w:r w:rsidRPr="00807C45">
        <w:rPr>
          <w:rFonts w:ascii="仿宋_GB2312" w:eastAsia="仿宋_GB2312" w:hAnsiTheme="minorEastAsia" w:cs="Times New Roman" w:hint="eastAsia"/>
          <w:bCs/>
          <w:color w:val="000000" w:themeColor="text1"/>
          <w:kern w:val="0"/>
          <w:sz w:val="30"/>
          <w:szCs w:val="30"/>
        </w:rPr>
        <w:t>个月内买卖上市公司股票情况，与上市公司及交易标的存在的关联关系及其他利益关系等情况。</w:t>
      </w:r>
    </w:p>
    <w:p w:rsidR="006764CE" w:rsidRPr="00807C45" w:rsidRDefault="006764CE"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F03737" w:rsidRPr="00807C45">
        <w:rPr>
          <w:rFonts w:ascii="仿宋_GB2312" w:eastAsia="仿宋_GB2312" w:hAnsiTheme="minorEastAsia" w:cs="Times New Roman" w:hint="eastAsia"/>
          <w:b/>
          <w:bCs/>
          <w:color w:val="000000" w:themeColor="text1"/>
          <w:kern w:val="0"/>
          <w:sz w:val="30"/>
          <w:szCs w:val="30"/>
        </w:rPr>
        <w:t>四十</w:t>
      </w:r>
      <w:r w:rsidR="00BF6984">
        <w:rPr>
          <w:rFonts w:ascii="仿宋_GB2312" w:eastAsia="仿宋_GB2312" w:hAnsiTheme="minorEastAsia" w:cs="Times New Roman" w:hint="eastAsia"/>
          <w:b/>
          <w:bCs/>
          <w:color w:val="000000" w:themeColor="text1"/>
          <w:kern w:val="0"/>
          <w:sz w:val="30"/>
          <w:szCs w:val="30"/>
        </w:rPr>
        <w:t>五</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上市公司与专业投资机构共同投资及合作事项的筹划和实施过程中，应当建立有效的防范利益输送与利益冲突的机制，健全信息隔离制度，不得从事内幕交易、操纵市场、虚假陈述等违法违规行为。</w:t>
      </w:r>
    </w:p>
    <w:p w:rsidR="006764CE" w:rsidRPr="00807C45" w:rsidRDefault="006764CE"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w:t>
      </w:r>
      <w:r w:rsidR="00F03737" w:rsidRPr="00807C45">
        <w:rPr>
          <w:rFonts w:ascii="仿宋_GB2312" w:eastAsia="仿宋_GB2312" w:hAnsiTheme="minorEastAsia" w:cs="Times New Roman" w:hint="eastAsia"/>
          <w:b/>
          <w:bCs/>
          <w:color w:val="000000" w:themeColor="text1"/>
          <w:kern w:val="0"/>
          <w:sz w:val="30"/>
          <w:szCs w:val="30"/>
        </w:rPr>
        <w:t>四十</w:t>
      </w:r>
      <w:r w:rsidR="00BF6984">
        <w:rPr>
          <w:rFonts w:ascii="仿宋_GB2312" w:eastAsia="仿宋_GB2312" w:hAnsiTheme="minorEastAsia" w:cs="Times New Roman" w:hint="eastAsia"/>
          <w:b/>
          <w:bCs/>
          <w:color w:val="000000" w:themeColor="text1"/>
          <w:kern w:val="0"/>
          <w:sz w:val="30"/>
          <w:szCs w:val="30"/>
        </w:rPr>
        <w:t>六</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上市公司应当在年度报告披露与专业投资机构共同投资及合作事项进展情况。</w:t>
      </w:r>
    </w:p>
    <w:p w:rsidR="007F4958" w:rsidRPr="00807C45" w:rsidRDefault="007F4958" w:rsidP="000907B2">
      <w:pPr>
        <w:adjustRightInd w:val="0"/>
        <w:snapToGrid w:val="0"/>
        <w:spacing w:line="560" w:lineRule="exact"/>
        <w:ind w:firstLineChars="200" w:firstLine="600"/>
        <w:rPr>
          <w:rFonts w:ascii="仿宋_GB2312" w:eastAsia="仿宋_GB2312" w:hAnsiTheme="minorEastAsia" w:cs="Times New Roman"/>
          <w:bCs/>
          <w:color w:val="000000" w:themeColor="text1"/>
          <w:kern w:val="0"/>
          <w:sz w:val="30"/>
          <w:szCs w:val="30"/>
        </w:rPr>
      </w:pPr>
    </w:p>
    <w:p w:rsidR="00CA0322" w:rsidRPr="00053B03" w:rsidRDefault="006764CE" w:rsidP="000907B2">
      <w:pPr>
        <w:spacing w:line="560" w:lineRule="exact"/>
        <w:jc w:val="center"/>
        <w:rPr>
          <w:rFonts w:ascii="黑体" w:eastAsia="黑体" w:hAnsi="仿宋" w:cs="Arial"/>
          <w:b/>
          <w:color w:val="000000"/>
          <w:sz w:val="30"/>
          <w:szCs w:val="30"/>
        </w:rPr>
      </w:pPr>
      <w:r w:rsidRPr="00053B03">
        <w:rPr>
          <w:rFonts w:ascii="黑体" w:eastAsia="黑体" w:hAnsi="仿宋" w:cs="Arial" w:hint="eastAsia"/>
          <w:b/>
          <w:color w:val="000000"/>
          <w:sz w:val="30"/>
          <w:szCs w:val="30"/>
        </w:rPr>
        <w:t>第四章 附则</w:t>
      </w:r>
    </w:p>
    <w:p w:rsidR="00A50DC7" w:rsidRPr="00807C45" w:rsidRDefault="006764CE"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第四十</w:t>
      </w:r>
      <w:r w:rsidR="00BF6984">
        <w:rPr>
          <w:rFonts w:ascii="仿宋_GB2312" w:eastAsia="仿宋_GB2312" w:hAnsiTheme="minorEastAsia" w:cs="Times New Roman" w:hint="eastAsia"/>
          <w:b/>
          <w:bCs/>
          <w:color w:val="000000" w:themeColor="text1"/>
          <w:kern w:val="0"/>
          <w:sz w:val="30"/>
          <w:szCs w:val="30"/>
        </w:rPr>
        <w:t>七</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上市公司及有关各方违反本指引规定</w:t>
      </w:r>
      <w:r w:rsidR="00925BB6">
        <w:rPr>
          <w:rFonts w:ascii="仿宋_GB2312" w:eastAsia="仿宋_GB2312" w:hAnsiTheme="minorEastAsia" w:cs="Times New Roman" w:hint="eastAsia"/>
          <w:bCs/>
          <w:color w:val="000000" w:themeColor="text1"/>
          <w:kern w:val="0"/>
          <w:sz w:val="30"/>
          <w:szCs w:val="30"/>
        </w:rPr>
        <w:t>的</w:t>
      </w:r>
      <w:r w:rsidRPr="00807C45">
        <w:rPr>
          <w:rFonts w:ascii="仿宋_GB2312" w:eastAsia="仿宋_GB2312" w:hAnsiTheme="minorEastAsia" w:cs="Times New Roman" w:hint="eastAsia"/>
          <w:bCs/>
          <w:color w:val="000000" w:themeColor="text1"/>
          <w:kern w:val="0"/>
          <w:sz w:val="30"/>
          <w:szCs w:val="30"/>
        </w:rPr>
        <w:t>，本所可以采取开展现场检查、提请中国证监会及其派出机构核查等措施，并视情况对上市公司及相关当事人采取监管措施或者予以纪律处分。</w:t>
      </w:r>
    </w:p>
    <w:p w:rsidR="006764CE" w:rsidRPr="00807C45" w:rsidRDefault="006764CE" w:rsidP="00017C12">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第四十</w:t>
      </w:r>
      <w:r w:rsidR="00BF6984">
        <w:rPr>
          <w:rFonts w:ascii="仿宋_GB2312" w:eastAsia="仿宋_GB2312" w:hAnsiTheme="minorEastAsia" w:cs="Times New Roman" w:hint="eastAsia"/>
          <w:b/>
          <w:bCs/>
          <w:color w:val="000000" w:themeColor="text1"/>
          <w:kern w:val="0"/>
          <w:sz w:val="30"/>
          <w:szCs w:val="30"/>
        </w:rPr>
        <w:t>八</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本指引由本所负责解释。</w:t>
      </w:r>
    </w:p>
    <w:p w:rsidR="006764CE" w:rsidRPr="007F4958" w:rsidRDefault="006764CE" w:rsidP="00665E77">
      <w:pPr>
        <w:adjustRightInd w:val="0"/>
        <w:snapToGrid w:val="0"/>
        <w:spacing w:line="560" w:lineRule="exact"/>
        <w:ind w:firstLineChars="200" w:firstLine="602"/>
        <w:rPr>
          <w:rFonts w:ascii="仿宋_GB2312" w:eastAsia="仿宋_GB2312" w:hAnsiTheme="minorEastAsia" w:cs="Times New Roman"/>
          <w:bCs/>
          <w:color w:val="000000" w:themeColor="text1"/>
          <w:kern w:val="0"/>
          <w:sz w:val="30"/>
          <w:szCs w:val="30"/>
        </w:rPr>
      </w:pPr>
      <w:r w:rsidRPr="00807C45">
        <w:rPr>
          <w:rFonts w:ascii="仿宋_GB2312" w:eastAsia="仿宋_GB2312" w:hAnsiTheme="minorEastAsia" w:cs="Times New Roman" w:hint="eastAsia"/>
          <w:b/>
          <w:bCs/>
          <w:color w:val="000000" w:themeColor="text1"/>
          <w:kern w:val="0"/>
          <w:sz w:val="30"/>
          <w:szCs w:val="30"/>
        </w:rPr>
        <w:t>第四十</w:t>
      </w:r>
      <w:r w:rsidR="00BF6984">
        <w:rPr>
          <w:rFonts w:ascii="仿宋_GB2312" w:eastAsia="仿宋_GB2312" w:hAnsiTheme="minorEastAsia" w:cs="Times New Roman" w:hint="eastAsia"/>
          <w:b/>
          <w:bCs/>
          <w:color w:val="000000" w:themeColor="text1"/>
          <w:kern w:val="0"/>
          <w:sz w:val="30"/>
          <w:szCs w:val="30"/>
        </w:rPr>
        <w:t>九</w:t>
      </w:r>
      <w:r w:rsidRPr="00807C45">
        <w:rPr>
          <w:rFonts w:ascii="仿宋_GB2312" w:eastAsia="仿宋_GB2312" w:hAnsiTheme="minorEastAsia" w:cs="Times New Roman" w:hint="eastAsia"/>
          <w:b/>
          <w:bCs/>
          <w:color w:val="000000" w:themeColor="text1"/>
          <w:kern w:val="0"/>
          <w:sz w:val="30"/>
          <w:szCs w:val="30"/>
        </w:rPr>
        <w:t xml:space="preserve">条 </w:t>
      </w:r>
      <w:r w:rsidRPr="00807C45">
        <w:rPr>
          <w:rFonts w:ascii="仿宋_GB2312" w:eastAsia="仿宋_GB2312" w:hAnsiTheme="minorEastAsia" w:cs="Times New Roman" w:hint="eastAsia"/>
          <w:bCs/>
          <w:color w:val="000000" w:themeColor="text1"/>
          <w:kern w:val="0"/>
          <w:sz w:val="30"/>
          <w:szCs w:val="30"/>
        </w:rPr>
        <w:t>本指引自发布之日起施行。</w:t>
      </w:r>
    </w:p>
    <w:sectPr w:rsidR="006764CE" w:rsidRPr="007F4958" w:rsidSect="004C79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E4D" w:rsidRDefault="00211E4D" w:rsidP="007C7A18">
      <w:r>
        <w:separator/>
      </w:r>
    </w:p>
  </w:endnote>
  <w:endnote w:type="continuationSeparator" w:id="1">
    <w:p w:rsidR="00211E4D" w:rsidRDefault="00211E4D" w:rsidP="007C7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82579"/>
      <w:docPartObj>
        <w:docPartGallery w:val="Page Numbers (Bottom of Page)"/>
        <w:docPartUnique/>
      </w:docPartObj>
    </w:sdtPr>
    <w:sdtContent>
      <w:p w:rsidR="005249C0" w:rsidRDefault="00CC08CA">
        <w:pPr>
          <w:pStyle w:val="a6"/>
          <w:jc w:val="center"/>
        </w:pPr>
        <w:r w:rsidRPr="00CC08CA">
          <w:rPr>
            <w:rFonts w:ascii="Times New Roman" w:hAnsi="Times New Roman" w:cs="Times New Roman"/>
          </w:rPr>
          <w:fldChar w:fldCharType="begin"/>
        </w:r>
        <w:r w:rsidR="00B06A59" w:rsidRPr="007F4958">
          <w:rPr>
            <w:rFonts w:ascii="Times New Roman" w:hAnsi="Times New Roman" w:cs="Times New Roman"/>
          </w:rPr>
          <w:instrText xml:space="preserve"> PAGE   \* MERGEFORMAT </w:instrText>
        </w:r>
        <w:r w:rsidRPr="00CC08CA">
          <w:rPr>
            <w:rFonts w:ascii="Times New Roman" w:hAnsi="Times New Roman" w:cs="Times New Roman"/>
          </w:rPr>
          <w:fldChar w:fldCharType="separate"/>
        </w:r>
        <w:r w:rsidR="00211E4D" w:rsidRPr="00211E4D">
          <w:rPr>
            <w:rFonts w:ascii="Times New Roman" w:hAnsi="Times New Roman" w:cs="Times New Roman"/>
            <w:noProof/>
            <w:lang w:val="zh-CN"/>
          </w:rPr>
          <w:t>1</w:t>
        </w:r>
        <w:r w:rsidRPr="007F4958">
          <w:rPr>
            <w:rFonts w:ascii="Times New Roman" w:hAnsi="Times New Roman" w:cs="Times New Roman"/>
            <w:noProof/>
            <w:lang w:val="zh-CN"/>
          </w:rPr>
          <w:fldChar w:fldCharType="end"/>
        </w:r>
      </w:p>
    </w:sdtContent>
  </w:sdt>
  <w:p w:rsidR="005249C0" w:rsidRDefault="005249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E4D" w:rsidRDefault="00211E4D" w:rsidP="007C7A18">
      <w:r>
        <w:separator/>
      </w:r>
    </w:p>
  </w:footnote>
  <w:footnote w:type="continuationSeparator" w:id="1">
    <w:p w:rsidR="00211E4D" w:rsidRDefault="00211E4D" w:rsidP="007C7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357117"/>
    <w:multiLevelType w:val="singleLevel"/>
    <w:tmpl w:val="8A357117"/>
    <w:lvl w:ilvl="0">
      <w:start w:val="1"/>
      <w:numFmt w:val="chineseCounting"/>
      <w:suff w:val="nothing"/>
      <w:lvlText w:val="%1、"/>
      <w:lvlJc w:val="left"/>
      <w:rPr>
        <w:rFonts w:hint="eastAsia"/>
      </w:rPr>
    </w:lvl>
  </w:abstractNum>
  <w:abstractNum w:abstractNumId="1">
    <w:nsid w:val="C05DC2EC"/>
    <w:multiLevelType w:val="singleLevel"/>
    <w:tmpl w:val="C05DC2EC"/>
    <w:lvl w:ilvl="0">
      <w:start w:val="5"/>
      <w:numFmt w:val="chineseCounting"/>
      <w:suff w:val="nothing"/>
      <w:lvlText w:val="（%1）"/>
      <w:lvlJc w:val="left"/>
      <w:rPr>
        <w:rFonts w:hint="eastAsia"/>
      </w:rPr>
    </w:lvl>
  </w:abstractNum>
  <w:abstractNum w:abstractNumId="2">
    <w:nsid w:val="45CF56A7"/>
    <w:multiLevelType w:val="multilevel"/>
    <w:tmpl w:val="45CF56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7816D32"/>
    <w:multiLevelType w:val="multilevel"/>
    <w:tmpl w:val="47816D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566E04A9"/>
    <w:multiLevelType w:val="hybridMultilevel"/>
    <w:tmpl w:val="92987210"/>
    <w:lvl w:ilvl="0" w:tplc="DAE64F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5E4A74"/>
    <w:multiLevelType w:val="hybridMultilevel"/>
    <w:tmpl w:val="12E40FCE"/>
    <w:lvl w:ilvl="0" w:tplc="DCDA2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A679A6"/>
    <w:multiLevelType w:val="multilevel"/>
    <w:tmpl w:val="7AA679A6"/>
    <w:lvl w:ilvl="0">
      <w:start w:val="2"/>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B0C"/>
    <w:rsid w:val="00017C12"/>
    <w:rsid w:val="000228FE"/>
    <w:rsid w:val="00041E2B"/>
    <w:rsid w:val="00053B03"/>
    <w:rsid w:val="0005757B"/>
    <w:rsid w:val="0006725E"/>
    <w:rsid w:val="000907B2"/>
    <w:rsid w:val="000B1E2C"/>
    <w:rsid w:val="000B6463"/>
    <w:rsid w:val="000C068A"/>
    <w:rsid w:val="000C2A71"/>
    <w:rsid w:val="00125831"/>
    <w:rsid w:val="00151BFB"/>
    <w:rsid w:val="0015329D"/>
    <w:rsid w:val="00173445"/>
    <w:rsid w:val="001756A7"/>
    <w:rsid w:val="00181A38"/>
    <w:rsid w:val="00193633"/>
    <w:rsid w:val="001B3711"/>
    <w:rsid w:val="001C3E34"/>
    <w:rsid w:val="001E2380"/>
    <w:rsid w:val="001F429F"/>
    <w:rsid w:val="00211E4D"/>
    <w:rsid w:val="00212A69"/>
    <w:rsid w:val="00222CA2"/>
    <w:rsid w:val="00230149"/>
    <w:rsid w:val="0023047B"/>
    <w:rsid w:val="0023063B"/>
    <w:rsid w:val="0023359F"/>
    <w:rsid w:val="002400DB"/>
    <w:rsid w:val="00244025"/>
    <w:rsid w:val="00254B59"/>
    <w:rsid w:val="002601C1"/>
    <w:rsid w:val="0026195A"/>
    <w:rsid w:val="00264EB6"/>
    <w:rsid w:val="0026630F"/>
    <w:rsid w:val="002673AC"/>
    <w:rsid w:val="0027383C"/>
    <w:rsid w:val="002759FB"/>
    <w:rsid w:val="002A36C8"/>
    <w:rsid w:val="002D49CC"/>
    <w:rsid w:val="002D757A"/>
    <w:rsid w:val="002F350C"/>
    <w:rsid w:val="0030290B"/>
    <w:rsid w:val="00321573"/>
    <w:rsid w:val="0032650D"/>
    <w:rsid w:val="0032673D"/>
    <w:rsid w:val="00373D46"/>
    <w:rsid w:val="00390668"/>
    <w:rsid w:val="003A0BB5"/>
    <w:rsid w:val="003B17E3"/>
    <w:rsid w:val="00402EC9"/>
    <w:rsid w:val="00413166"/>
    <w:rsid w:val="00470483"/>
    <w:rsid w:val="00474B6A"/>
    <w:rsid w:val="004823B8"/>
    <w:rsid w:val="00492764"/>
    <w:rsid w:val="004A3D31"/>
    <w:rsid w:val="004A6469"/>
    <w:rsid w:val="004B5BF2"/>
    <w:rsid w:val="004C0698"/>
    <w:rsid w:val="004C5752"/>
    <w:rsid w:val="004C79E1"/>
    <w:rsid w:val="004D2E3F"/>
    <w:rsid w:val="004F3C09"/>
    <w:rsid w:val="0050161F"/>
    <w:rsid w:val="00502725"/>
    <w:rsid w:val="00514022"/>
    <w:rsid w:val="00522D0F"/>
    <w:rsid w:val="005249C0"/>
    <w:rsid w:val="005417A9"/>
    <w:rsid w:val="005665BB"/>
    <w:rsid w:val="00582422"/>
    <w:rsid w:val="00592826"/>
    <w:rsid w:val="005F6173"/>
    <w:rsid w:val="00601D4E"/>
    <w:rsid w:val="0060285B"/>
    <w:rsid w:val="006174B5"/>
    <w:rsid w:val="0066215A"/>
    <w:rsid w:val="00665E77"/>
    <w:rsid w:val="006764CE"/>
    <w:rsid w:val="00684EE7"/>
    <w:rsid w:val="006927D1"/>
    <w:rsid w:val="006C7483"/>
    <w:rsid w:val="006D234F"/>
    <w:rsid w:val="006E3114"/>
    <w:rsid w:val="006E789B"/>
    <w:rsid w:val="00710D86"/>
    <w:rsid w:val="00730065"/>
    <w:rsid w:val="00736280"/>
    <w:rsid w:val="007424E9"/>
    <w:rsid w:val="00795DC0"/>
    <w:rsid w:val="007A3BA3"/>
    <w:rsid w:val="007B70CE"/>
    <w:rsid w:val="007C7A18"/>
    <w:rsid w:val="007D16BE"/>
    <w:rsid w:val="007D694E"/>
    <w:rsid w:val="007E54AD"/>
    <w:rsid w:val="007F4958"/>
    <w:rsid w:val="007F4A48"/>
    <w:rsid w:val="00807C45"/>
    <w:rsid w:val="008243CD"/>
    <w:rsid w:val="00837F8D"/>
    <w:rsid w:val="00851484"/>
    <w:rsid w:val="008523D3"/>
    <w:rsid w:val="008728BF"/>
    <w:rsid w:val="00872915"/>
    <w:rsid w:val="00881BA2"/>
    <w:rsid w:val="0088531D"/>
    <w:rsid w:val="008A0DFA"/>
    <w:rsid w:val="008D3886"/>
    <w:rsid w:val="008D6DB4"/>
    <w:rsid w:val="00903341"/>
    <w:rsid w:val="009215A6"/>
    <w:rsid w:val="00925BB6"/>
    <w:rsid w:val="00927BBF"/>
    <w:rsid w:val="00930F98"/>
    <w:rsid w:val="00946503"/>
    <w:rsid w:val="00955470"/>
    <w:rsid w:val="00975AFE"/>
    <w:rsid w:val="00976779"/>
    <w:rsid w:val="00981307"/>
    <w:rsid w:val="009917E7"/>
    <w:rsid w:val="009D3B8B"/>
    <w:rsid w:val="009E22BE"/>
    <w:rsid w:val="009E2F41"/>
    <w:rsid w:val="00A16F3F"/>
    <w:rsid w:val="00A24996"/>
    <w:rsid w:val="00A46AC5"/>
    <w:rsid w:val="00A50B05"/>
    <w:rsid w:val="00A50DC7"/>
    <w:rsid w:val="00A578A0"/>
    <w:rsid w:val="00A65D74"/>
    <w:rsid w:val="00A81061"/>
    <w:rsid w:val="00A8406D"/>
    <w:rsid w:val="00A8425B"/>
    <w:rsid w:val="00A95D7B"/>
    <w:rsid w:val="00A96ADC"/>
    <w:rsid w:val="00AB166B"/>
    <w:rsid w:val="00AB6402"/>
    <w:rsid w:val="00AC1E34"/>
    <w:rsid w:val="00AC5BC7"/>
    <w:rsid w:val="00AD59D8"/>
    <w:rsid w:val="00AF6C6F"/>
    <w:rsid w:val="00AF7AE0"/>
    <w:rsid w:val="00B06A59"/>
    <w:rsid w:val="00B134D0"/>
    <w:rsid w:val="00B2155A"/>
    <w:rsid w:val="00B2165A"/>
    <w:rsid w:val="00B24D55"/>
    <w:rsid w:val="00B25418"/>
    <w:rsid w:val="00B42761"/>
    <w:rsid w:val="00B5613E"/>
    <w:rsid w:val="00BC76D4"/>
    <w:rsid w:val="00BC7A12"/>
    <w:rsid w:val="00BD1CDD"/>
    <w:rsid w:val="00BE3591"/>
    <w:rsid w:val="00BF3CA4"/>
    <w:rsid w:val="00BF6984"/>
    <w:rsid w:val="00C0035D"/>
    <w:rsid w:val="00C251A2"/>
    <w:rsid w:val="00C26F7A"/>
    <w:rsid w:val="00C437FA"/>
    <w:rsid w:val="00C45A27"/>
    <w:rsid w:val="00C70143"/>
    <w:rsid w:val="00C77C11"/>
    <w:rsid w:val="00C86D78"/>
    <w:rsid w:val="00C87571"/>
    <w:rsid w:val="00C90123"/>
    <w:rsid w:val="00C92DFE"/>
    <w:rsid w:val="00C9578C"/>
    <w:rsid w:val="00C97CDB"/>
    <w:rsid w:val="00CA0322"/>
    <w:rsid w:val="00CA60C7"/>
    <w:rsid w:val="00CA701F"/>
    <w:rsid w:val="00CB2B82"/>
    <w:rsid w:val="00CC08CA"/>
    <w:rsid w:val="00CD1467"/>
    <w:rsid w:val="00D132FC"/>
    <w:rsid w:val="00D2601F"/>
    <w:rsid w:val="00D81371"/>
    <w:rsid w:val="00E00D2F"/>
    <w:rsid w:val="00E06C4D"/>
    <w:rsid w:val="00E0735B"/>
    <w:rsid w:val="00E15C8C"/>
    <w:rsid w:val="00E309BF"/>
    <w:rsid w:val="00E3221E"/>
    <w:rsid w:val="00E5401E"/>
    <w:rsid w:val="00E82F2A"/>
    <w:rsid w:val="00E92ECD"/>
    <w:rsid w:val="00EB033E"/>
    <w:rsid w:val="00EB3352"/>
    <w:rsid w:val="00EC177C"/>
    <w:rsid w:val="00ED3ACE"/>
    <w:rsid w:val="00ED4DAD"/>
    <w:rsid w:val="00EE3DC6"/>
    <w:rsid w:val="00EE4814"/>
    <w:rsid w:val="00EF2AE7"/>
    <w:rsid w:val="00EF5526"/>
    <w:rsid w:val="00F03737"/>
    <w:rsid w:val="00F11208"/>
    <w:rsid w:val="00F24850"/>
    <w:rsid w:val="00F36F43"/>
    <w:rsid w:val="00F57182"/>
    <w:rsid w:val="00F71D1C"/>
    <w:rsid w:val="00F7496B"/>
    <w:rsid w:val="00FA30A9"/>
    <w:rsid w:val="00FA7B0C"/>
    <w:rsid w:val="00FB2606"/>
    <w:rsid w:val="00FE0ACD"/>
    <w:rsid w:val="00FE34E2"/>
    <w:rsid w:val="00FF7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B0C"/>
    <w:pPr>
      <w:ind w:firstLineChars="200" w:firstLine="420"/>
    </w:pPr>
  </w:style>
  <w:style w:type="paragraph" w:styleId="a4">
    <w:name w:val="annotation text"/>
    <w:basedOn w:val="a"/>
    <w:link w:val="Char"/>
    <w:uiPriority w:val="99"/>
    <w:unhideWhenUsed/>
    <w:rsid w:val="00FA7B0C"/>
    <w:pPr>
      <w:jc w:val="left"/>
    </w:pPr>
  </w:style>
  <w:style w:type="character" w:customStyle="1" w:styleId="Char">
    <w:name w:val="批注文字 Char"/>
    <w:basedOn w:val="a0"/>
    <w:link w:val="a4"/>
    <w:uiPriority w:val="99"/>
    <w:qFormat/>
    <w:rsid w:val="00FA7B0C"/>
  </w:style>
  <w:style w:type="paragraph" w:styleId="a5">
    <w:name w:val="header"/>
    <w:basedOn w:val="a"/>
    <w:link w:val="Char0"/>
    <w:uiPriority w:val="99"/>
    <w:unhideWhenUsed/>
    <w:rsid w:val="007C7A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C7A18"/>
    <w:rPr>
      <w:sz w:val="18"/>
      <w:szCs w:val="18"/>
    </w:rPr>
  </w:style>
  <w:style w:type="paragraph" w:styleId="a6">
    <w:name w:val="footer"/>
    <w:basedOn w:val="a"/>
    <w:link w:val="Char1"/>
    <w:uiPriority w:val="99"/>
    <w:unhideWhenUsed/>
    <w:rsid w:val="007C7A18"/>
    <w:pPr>
      <w:tabs>
        <w:tab w:val="center" w:pos="4153"/>
        <w:tab w:val="right" w:pos="8306"/>
      </w:tabs>
      <w:snapToGrid w:val="0"/>
      <w:jc w:val="left"/>
    </w:pPr>
    <w:rPr>
      <w:sz w:val="18"/>
      <w:szCs w:val="18"/>
    </w:rPr>
  </w:style>
  <w:style w:type="character" w:customStyle="1" w:styleId="Char1">
    <w:name w:val="页脚 Char"/>
    <w:basedOn w:val="a0"/>
    <w:link w:val="a6"/>
    <w:uiPriority w:val="99"/>
    <w:rsid w:val="007C7A18"/>
    <w:rPr>
      <w:sz w:val="18"/>
      <w:szCs w:val="18"/>
    </w:rPr>
  </w:style>
  <w:style w:type="character" w:styleId="a7">
    <w:name w:val="annotation reference"/>
    <w:basedOn w:val="a0"/>
    <w:uiPriority w:val="99"/>
    <w:semiHidden/>
    <w:unhideWhenUsed/>
    <w:rsid w:val="00ED3ACE"/>
    <w:rPr>
      <w:sz w:val="21"/>
      <w:szCs w:val="21"/>
    </w:rPr>
  </w:style>
  <w:style w:type="paragraph" w:styleId="a8">
    <w:name w:val="Balloon Text"/>
    <w:basedOn w:val="a"/>
    <w:link w:val="Char2"/>
    <w:uiPriority w:val="99"/>
    <w:semiHidden/>
    <w:unhideWhenUsed/>
    <w:rsid w:val="00ED3ACE"/>
    <w:rPr>
      <w:sz w:val="18"/>
      <w:szCs w:val="18"/>
    </w:rPr>
  </w:style>
  <w:style w:type="character" w:customStyle="1" w:styleId="Char2">
    <w:name w:val="批注框文本 Char"/>
    <w:basedOn w:val="a0"/>
    <w:link w:val="a8"/>
    <w:uiPriority w:val="99"/>
    <w:semiHidden/>
    <w:rsid w:val="00ED3ACE"/>
    <w:rPr>
      <w:sz w:val="18"/>
      <w:szCs w:val="18"/>
    </w:rPr>
  </w:style>
  <w:style w:type="paragraph" w:styleId="a9">
    <w:name w:val="Normal (Web)"/>
    <w:basedOn w:val="a"/>
    <w:qFormat/>
    <w:rsid w:val="00C9578C"/>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C9578C"/>
    <w:pPr>
      <w:widowControl w:val="0"/>
      <w:autoSpaceDE w:val="0"/>
      <w:autoSpaceDN w:val="0"/>
      <w:adjustRightInd w:val="0"/>
    </w:pPr>
    <w:rPr>
      <w:rFonts w:ascii="仿宋_GB2312" w:eastAsia="仿宋_GB2312" w:hAnsi="Calibri" w:cs="仿宋_GB2312"/>
      <w:color w:val="000000"/>
      <w:kern w:val="0"/>
      <w:sz w:val="24"/>
      <w:szCs w:val="24"/>
    </w:rPr>
  </w:style>
  <w:style w:type="table" w:styleId="aa">
    <w:name w:val="Table Grid"/>
    <w:basedOn w:val="a1"/>
    <w:uiPriority w:val="59"/>
    <w:unhideWhenUsed/>
    <w:rsid w:val="004A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A50DC7"/>
  </w:style>
  <w:style w:type="paragraph" w:styleId="ac">
    <w:name w:val="annotation subject"/>
    <w:basedOn w:val="a4"/>
    <w:next w:val="a4"/>
    <w:link w:val="Char3"/>
    <w:uiPriority w:val="99"/>
    <w:semiHidden/>
    <w:unhideWhenUsed/>
    <w:rsid w:val="00F7496B"/>
    <w:rPr>
      <w:b/>
      <w:bCs/>
    </w:rPr>
  </w:style>
  <w:style w:type="character" w:customStyle="1" w:styleId="Char3">
    <w:name w:val="批注主题 Char"/>
    <w:basedOn w:val="Char"/>
    <w:link w:val="ac"/>
    <w:uiPriority w:val="99"/>
    <w:semiHidden/>
    <w:rsid w:val="00F7496B"/>
    <w:rPr>
      <w:b/>
      <w:bCs/>
    </w:rPr>
  </w:style>
</w:styles>
</file>

<file path=word/webSettings.xml><?xml version="1.0" encoding="utf-8"?>
<w:webSettings xmlns:r="http://schemas.openxmlformats.org/officeDocument/2006/relationships" xmlns:w="http://schemas.openxmlformats.org/wordprocessingml/2006/main">
  <w:divs>
    <w:div w:id="5765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费琼(编号)</cp:lastModifiedBy>
  <dcterms:created xsi:type="dcterms:W3CDTF">2022-01-07T01:50:00Z</dcterms:created>
  <dcterms:modified xsi:type="dcterms:W3CDTF">2022-01-07T04:18:00Z</dcterms:modified>
</cp:coreProperties>
</file>