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F0" w:rsidRDefault="00B76CF0" w:rsidP="00B76CF0">
      <w:pPr>
        <w:adjustRightInd w:val="0"/>
        <w:snapToGrid w:val="0"/>
        <w:spacing w:line="560" w:lineRule="exact"/>
        <w:rPr>
          <w:rFonts w:ascii="仿宋_GB2312" w:eastAsia="仿宋_GB2312"/>
          <w:b/>
          <w:sz w:val="30"/>
          <w:szCs w:val="30"/>
        </w:rPr>
      </w:pPr>
      <w:r w:rsidRPr="00952766">
        <w:rPr>
          <w:rFonts w:ascii="仿宋_GB2312" w:eastAsia="仿宋_GB2312" w:hAnsi="Calibri" w:cs="Times New Roman" w:hint="eastAsia"/>
          <w:b/>
          <w:sz w:val="30"/>
          <w:szCs w:val="30"/>
        </w:rPr>
        <w:t>附件</w:t>
      </w:r>
    </w:p>
    <w:p w:rsidR="00B76CF0" w:rsidRPr="00952766" w:rsidDel="00DD1CD5" w:rsidRDefault="00B76CF0" w:rsidP="00B76CF0">
      <w:pPr>
        <w:adjustRightInd w:val="0"/>
        <w:snapToGrid w:val="0"/>
        <w:spacing w:line="560" w:lineRule="exact"/>
        <w:rPr>
          <w:rFonts w:ascii="仿宋_GB2312" w:eastAsia="仿宋_GB2312" w:hAnsi="方正大标宋简体" w:cs="方正大标宋简体"/>
          <w:b/>
          <w:sz w:val="30"/>
          <w:szCs w:val="30"/>
        </w:rPr>
      </w:pPr>
    </w:p>
    <w:p w:rsidR="000B5F3C" w:rsidRPr="00B76CF0" w:rsidRDefault="00A95150" w:rsidP="00B76CF0">
      <w:pPr>
        <w:adjustRightInd w:val="0"/>
        <w:snapToGrid w:val="0"/>
        <w:spacing w:line="560" w:lineRule="exact"/>
        <w:jc w:val="center"/>
        <w:rPr>
          <w:rFonts w:ascii="方正大标宋简体" w:eastAsia="方正大标宋简体" w:hAnsi="方正大标宋简体" w:cs="方正大标宋简体"/>
          <w:sz w:val="42"/>
          <w:szCs w:val="42"/>
        </w:rPr>
      </w:pPr>
      <w:r w:rsidRPr="00B76CF0">
        <w:rPr>
          <w:rFonts w:ascii="方正大标宋简体" w:eastAsia="方正大标宋简体" w:hAnsi="方正大标宋简体" w:cs="方正大标宋简体" w:hint="eastAsia"/>
          <w:sz w:val="42"/>
          <w:szCs w:val="42"/>
        </w:rPr>
        <w:t>上海证券交易所上市公司自律监管指引第</w:t>
      </w:r>
      <w:r w:rsidR="004044D5" w:rsidRPr="00B76CF0">
        <w:rPr>
          <w:rFonts w:ascii="方正大标宋简体" w:eastAsia="方正大标宋简体" w:hAnsi="方正大标宋简体" w:cs="方正大标宋简体" w:hint="eastAsia"/>
          <w:sz w:val="42"/>
          <w:szCs w:val="42"/>
        </w:rPr>
        <w:t>3</w:t>
      </w:r>
      <w:r w:rsidRPr="00B76CF0">
        <w:rPr>
          <w:rFonts w:ascii="方正大标宋简体" w:eastAsia="方正大标宋简体" w:hAnsi="方正大标宋简体" w:cs="方正大标宋简体" w:hint="eastAsia"/>
          <w:sz w:val="42"/>
          <w:szCs w:val="42"/>
        </w:rPr>
        <w:t>号——行业信息披露</w:t>
      </w:r>
    </w:p>
    <w:p w:rsidR="00A95150" w:rsidRDefault="00A95150" w:rsidP="00A95150">
      <w:pPr>
        <w:jc w:val="center"/>
        <w:rPr>
          <w:rFonts w:ascii="黑体" w:eastAsia="黑体" w:hAnsi="黑体" w:cs="仿宋_GB2312"/>
          <w:sz w:val="40"/>
          <w:szCs w:val="40"/>
        </w:rPr>
      </w:pPr>
    </w:p>
    <w:p w:rsidR="00A95150" w:rsidRPr="005E313C" w:rsidRDefault="00A95150" w:rsidP="00B76CF0">
      <w:pPr>
        <w:numPr>
          <w:ilvl w:val="0"/>
          <w:numId w:val="1"/>
        </w:numPr>
        <w:adjustRightInd w:val="0"/>
        <w:spacing w:line="560" w:lineRule="exact"/>
        <w:ind w:left="0" w:firstLine="600"/>
        <w:rPr>
          <w:rFonts w:ascii="仿宋_GB2312" w:eastAsia="仿宋_GB2312" w:cs="宋体"/>
          <w:kern w:val="0"/>
          <w:sz w:val="30"/>
          <w:szCs w:val="30"/>
        </w:rPr>
      </w:pPr>
      <w:r w:rsidRPr="005E313C">
        <w:rPr>
          <w:rFonts w:eastAsia="仿宋_GB2312" w:hint="eastAsia"/>
          <w:kern w:val="0"/>
          <w:sz w:val="30"/>
          <w:szCs w:val="30"/>
        </w:rPr>
        <w:t>为了引导上海证券交易所（以下简称本所）上市公司披露行业经营性信息，提高信息披露的有效性，根据</w:t>
      </w:r>
      <w:r w:rsidRPr="005E313C">
        <w:rPr>
          <w:rFonts w:ascii="仿宋_GB2312" w:eastAsia="仿宋_GB2312" w:cs="宋体" w:hint="eastAsia"/>
          <w:kern w:val="0"/>
          <w:sz w:val="30"/>
          <w:szCs w:val="30"/>
        </w:rPr>
        <w:t>法律法规及《上海证券交易所股票上市规则》（以下简称《股票上市规则》）等规定，制定本指引。</w:t>
      </w:r>
    </w:p>
    <w:p w:rsidR="00A95150" w:rsidRPr="005E313C" w:rsidRDefault="00A95150" w:rsidP="00B76CF0">
      <w:pPr>
        <w:numPr>
          <w:ilvl w:val="0"/>
          <w:numId w:val="1"/>
        </w:numPr>
        <w:adjustRightInd w:val="0"/>
        <w:spacing w:line="560" w:lineRule="exact"/>
        <w:ind w:left="0" w:firstLineChars="200" w:firstLine="600"/>
        <w:rPr>
          <w:rFonts w:eastAsia="仿宋_GB2312"/>
          <w:kern w:val="0"/>
          <w:sz w:val="30"/>
          <w:szCs w:val="30"/>
        </w:rPr>
      </w:pPr>
      <w:r w:rsidRPr="005E313C">
        <w:rPr>
          <w:rFonts w:eastAsia="仿宋_GB2312" w:hint="eastAsia"/>
          <w:kern w:val="0"/>
          <w:sz w:val="30"/>
          <w:szCs w:val="30"/>
        </w:rPr>
        <w:t>上市公司应当按照本指引的规定，主动披露对投资者决策有重大影响的行业经营性信息。</w:t>
      </w:r>
    </w:p>
    <w:p w:rsidR="00A95150" w:rsidRPr="005E313C" w:rsidRDefault="00A95150" w:rsidP="00B76CF0">
      <w:pPr>
        <w:adjustRightInd w:val="0"/>
        <w:spacing w:line="560" w:lineRule="exact"/>
        <w:ind w:firstLineChars="200" w:firstLine="600"/>
        <w:rPr>
          <w:rFonts w:ascii="仿宋_GB2312" w:eastAsia="仿宋_GB2312" w:cs="宋体"/>
          <w:kern w:val="0"/>
          <w:sz w:val="30"/>
          <w:szCs w:val="30"/>
        </w:rPr>
      </w:pPr>
      <w:r w:rsidRPr="005E313C">
        <w:rPr>
          <w:rFonts w:ascii="Calibri" w:eastAsia="仿宋_GB2312" w:hAnsi="Calibri" w:cs="宋体" w:hint="eastAsia"/>
          <w:kern w:val="0"/>
          <w:sz w:val="30"/>
          <w:szCs w:val="30"/>
        </w:rPr>
        <w:t>本指引所称</w:t>
      </w:r>
      <w:r w:rsidRPr="005E313C">
        <w:rPr>
          <w:rFonts w:ascii="仿宋_GB2312" w:eastAsia="仿宋_GB2312" w:cs="宋体" w:hint="eastAsia"/>
          <w:kern w:val="0"/>
          <w:sz w:val="30"/>
          <w:szCs w:val="30"/>
        </w:rPr>
        <w:t>行业经营性信息，指与上市公司业务相关的行业信息和经营性信息。</w:t>
      </w:r>
    </w:p>
    <w:p w:rsidR="00A95150" w:rsidRPr="005E313C" w:rsidRDefault="00A95150" w:rsidP="00B76CF0">
      <w:pPr>
        <w:adjustRightInd w:val="0"/>
        <w:spacing w:line="560" w:lineRule="exact"/>
        <w:ind w:firstLineChars="200" w:firstLine="600"/>
        <w:rPr>
          <w:rFonts w:ascii="Calibri" w:eastAsia="仿宋_GB2312" w:hAnsi="Calibri" w:cs="宋体"/>
          <w:kern w:val="0"/>
          <w:sz w:val="30"/>
          <w:szCs w:val="30"/>
        </w:rPr>
      </w:pPr>
      <w:r w:rsidRPr="005E313C">
        <w:rPr>
          <w:rFonts w:ascii="Calibri" w:eastAsia="仿宋_GB2312" w:hAnsi="Calibri" w:cs="宋体" w:hint="eastAsia"/>
          <w:kern w:val="0"/>
          <w:sz w:val="30"/>
          <w:szCs w:val="30"/>
        </w:rPr>
        <w:t>上市公司除遵守行业信息披露指引的要求外，还应根据法律法规、《股票上市规则》及本所其他规定，履行相应的信息披露义务。</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eastAsia="仿宋_GB2312" w:hint="eastAsia"/>
          <w:kern w:val="0"/>
          <w:sz w:val="30"/>
          <w:szCs w:val="30"/>
        </w:rPr>
        <w:t>上市公司除按照本指引要求披露行业经营性信息外，还应当根据中国证监会公布的公司行业分类归属，适用</w:t>
      </w:r>
      <w:r w:rsidR="00B707FC" w:rsidRPr="005E313C">
        <w:rPr>
          <w:rFonts w:eastAsia="仿宋_GB2312" w:hint="eastAsia"/>
          <w:kern w:val="0"/>
          <w:sz w:val="30"/>
          <w:szCs w:val="30"/>
        </w:rPr>
        <w:t>本指引附件中的</w:t>
      </w:r>
      <w:r w:rsidRPr="005E313C">
        <w:rPr>
          <w:rFonts w:eastAsia="仿宋_GB2312" w:hint="eastAsia"/>
          <w:kern w:val="0"/>
          <w:sz w:val="30"/>
          <w:szCs w:val="30"/>
        </w:rPr>
        <w:t>各分行业</w:t>
      </w:r>
      <w:r w:rsidR="006F4C0A" w:rsidRPr="005E313C">
        <w:rPr>
          <w:rFonts w:eastAsia="仿宋_GB2312" w:hint="eastAsia"/>
          <w:kern w:val="0"/>
          <w:sz w:val="30"/>
          <w:szCs w:val="30"/>
        </w:rPr>
        <w:t>信息</w:t>
      </w:r>
      <w:r w:rsidRPr="005E313C">
        <w:rPr>
          <w:rFonts w:eastAsia="仿宋_GB2312" w:hint="eastAsia"/>
          <w:kern w:val="0"/>
          <w:sz w:val="30"/>
          <w:szCs w:val="30"/>
        </w:rPr>
        <w:t>披露指引。</w:t>
      </w:r>
    </w:p>
    <w:p w:rsidR="00A95150" w:rsidRPr="005E313C" w:rsidRDefault="00A95150" w:rsidP="00B76CF0">
      <w:pPr>
        <w:adjustRightInd w:val="0"/>
        <w:spacing w:line="560" w:lineRule="exact"/>
        <w:ind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上市公司实际经营业务与</w:t>
      </w:r>
      <w:r w:rsidRPr="005E313C">
        <w:rPr>
          <w:rFonts w:eastAsia="仿宋_GB2312" w:hint="eastAsia"/>
          <w:kern w:val="0"/>
          <w:sz w:val="30"/>
          <w:szCs w:val="30"/>
        </w:rPr>
        <w:t>中国证监会公布的公司</w:t>
      </w:r>
      <w:r w:rsidRPr="005E313C">
        <w:rPr>
          <w:rFonts w:ascii="仿宋_GB2312" w:eastAsia="仿宋_GB2312" w:cs="宋体" w:hint="eastAsia"/>
          <w:kern w:val="0"/>
          <w:sz w:val="30"/>
          <w:szCs w:val="30"/>
        </w:rPr>
        <w:t>行业类型不一致的，可以按照实际情况选择所属行业。</w:t>
      </w:r>
    </w:p>
    <w:p w:rsidR="00A95150" w:rsidRPr="005E313C" w:rsidRDefault="00A95150" w:rsidP="00B76CF0">
      <w:pPr>
        <w:adjustRightInd w:val="0"/>
        <w:spacing w:line="560" w:lineRule="exact"/>
        <w:ind w:firstLineChars="200" w:firstLine="600"/>
        <w:rPr>
          <w:rFonts w:eastAsia="仿宋_GB2312"/>
          <w:kern w:val="0"/>
          <w:sz w:val="30"/>
          <w:szCs w:val="30"/>
        </w:rPr>
      </w:pPr>
      <w:r w:rsidRPr="005E313C">
        <w:rPr>
          <w:rFonts w:ascii="仿宋_GB2312" w:eastAsia="仿宋_GB2312" w:cs="宋体" w:hint="eastAsia"/>
          <w:kern w:val="0"/>
          <w:sz w:val="30"/>
          <w:szCs w:val="30"/>
        </w:rPr>
        <w:t>上市公司同时从事多个行业的，可以分别参照相应各分行业</w:t>
      </w:r>
      <w:r w:rsidR="00FD3988">
        <w:rPr>
          <w:rFonts w:ascii="仿宋_GB2312" w:eastAsia="仿宋_GB2312" w:cs="宋体" w:hint="eastAsia"/>
          <w:kern w:val="0"/>
          <w:sz w:val="30"/>
          <w:szCs w:val="30"/>
        </w:rPr>
        <w:t>信息</w:t>
      </w:r>
      <w:r w:rsidRPr="005E313C">
        <w:rPr>
          <w:rFonts w:ascii="仿宋_GB2312" w:eastAsia="仿宋_GB2312" w:cs="宋体" w:hint="eastAsia"/>
          <w:kern w:val="0"/>
          <w:sz w:val="30"/>
          <w:szCs w:val="30"/>
        </w:rPr>
        <w:t>披露指引要求，</w:t>
      </w:r>
      <w:r w:rsidRPr="005E313C">
        <w:rPr>
          <w:rFonts w:eastAsia="仿宋_GB2312" w:hint="eastAsia"/>
          <w:kern w:val="0"/>
          <w:sz w:val="30"/>
          <w:szCs w:val="30"/>
        </w:rPr>
        <w:t>履行信息披露义务</w:t>
      </w:r>
      <w:r w:rsidRPr="005E313C">
        <w:rPr>
          <w:rFonts w:ascii="仿宋_GB2312" w:eastAsia="仿宋_GB2312" w:cs="宋体" w:hint="eastAsia"/>
          <w:kern w:val="0"/>
          <w:sz w:val="30"/>
          <w:szCs w:val="30"/>
        </w:rPr>
        <w:t>。</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上市公司应当在年度报告中结合所属行业的宏观因</w:t>
      </w:r>
      <w:r w:rsidRPr="005E313C">
        <w:rPr>
          <w:rFonts w:ascii="仿宋_GB2312" w:eastAsia="仿宋_GB2312" w:cs="宋体" w:hint="eastAsia"/>
          <w:kern w:val="0"/>
          <w:sz w:val="30"/>
          <w:szCs w:val="30"/>
        </w:rPr>
        <w:lastRenderedPageBreak/>
        <w:t>素、市场环境、发展状况、经营特点及公司的行业地位，对公司的商业模式、竞争优势、经营成果、经营风险等能够反映自身投资价值的事项进行讨论和分析。</w:t>
      </w:r>
    </w:p>
    <w:p w:rsidR="00A95150" w:rsidRPr="005E313C" w:rsidRDefault="00A95150" w:rsidP="00B76CF0">
      <w:pPr>
        <w:adjustRightInd w:val="0"/>
        <w:spacing w:line="560" w:lineRule="exact"/>
        <w:ind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上市公司可以在半年度报告中，比照前款要求披露公司行业经营性信息。</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上市公司可以每月或每季度披露反映行业特点的主要经营数据。</w:t>
      </w:r>
    </w:p>
    <w:p w:rsidR="00A95150" w:rsidRPr="005E313C" w:rsidRDefault="00A95150" w:rsidP="00B76CF0">
      <w:pPr>
        <w:adjustRightInd w:val="0"/>
        <w:spacing w:line="560" w:lineRule="exact"/>
        <w:ind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各分行业</w:t>
      </w:r>
      <w:r w:rsidR="00AD20FC">
        <w:rPr>
          <w:rFonts w:ascii="仿宋_GB2312" w:eastAsia="仿宋_GB2312" w:cs="宋体" w:hint="eastAsia"/>
          <w:kern w:val="0"/>
          <w:sz w:val="30"/>
          <w:szCs w:val="30"/>
        </w:rPr>
        <w:t>信息</w:t>
      </w:r>
      <w:r w:rsidRPr="005E313C">
        <w:rPr>
          <w:rFonts w:ascii="仿宋_GB2312" w:eastAsia="仿宋_GB2312" w:cs="宋体" w:hint="eastAsia"/>
          <w:kern w:val="0"/>
          <w:sz w:val="30"/>
          <w:szCs w:val="30"/>
        </w:rPr>
        <w:t>披露指引要求上市公司应当定期披露主要经营数据的，从其规定。</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eastAsia="仿宋_GB2312" w:hint="eastAsia"/>
          <w:kern w:val="0"/>
          <w:sz w:val="30"/>
          <w:szCs w:val="30"/>
        </w:rPr>
        <w:t>上市公司应当以临时报告形式，及时披露行业经营性事项的重大进展或变化</w:t>
      </w:r>
      <w:r w:rsidRPr="005E313C">
        <w:rPr>
          <w:rFonts w:ascii="仿宋_GB2312" w:eastAsia="仿宋_GB2312" w:cs="宋体" w:hint="eastAsia"/>
          <w:kern w:val="0"/>
          <w:sz w:val="30"/>
          <w:szCs w:val="30"/>
        </w:rPr>
        <w:t>。</w:t>
      </w:r>
    </w:p>
    <w:p w:rsidR="00A95150" w:rsidRPr="005E313C" w:rsidRDefault="00A95150" w:rsidP="00B76CF0">
      <w:pPr>
        <w:adjustRightInd w:val="0"/>
        <w:spacing w:line="560" w:lineRule="exact"/>
        <w:ind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前款所称“重大”，系指达到《股票上市规则》规定的相关披露标准或对股票及其衍生品种交易价格可能产生较大影响的情形。各分行业</w:t>
      </w:r>
      <w:r w:rsidR="00AD20FC">
        <w:rPr>
          <w:rFonts w:ascii="仿宋_GB2312" w:eastAsia="仿宋_GB2312" w:cs="宋体" w:hint="eastAsia"/>
          <w:kern w:val="0"/>
          <w:sz w:val="30"/>
          <w:szCs w:val="30"/>
        </w:rPr>
        <w:t>信息</w:t>
      </w:r>
      <w:r w:rsidRPr="005E313C">
        <w:rPr>
          <w:rFonts w:ascii="仿宋_GB2312" w:eastAsia="仿宋_GB2312" w:cs="宋体" w:hint="eastAsia"/>
          <w:kern w:val="0"/>
          <w:sz w:val="30"/>
          <w:szCs w:val="30"/>
        </w:rPr>
        <w:t>披露指引另有规定的，从其规定。</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上市公司出现</w:t>
      </w:r>
      <w:bookmarkStart w:id="0" w:name="_GoBack"/>
      <w:bookmarkEnd w:id="0"/>
      <w:r w:rsidRPr="005E313C">
        <w:rPr>
          <w:rFonts w:ascii="仿宋_GB2312" w:eastAsia="仿宋_GB2312" w:cs="宋体" w:hint="eastAsia"/>
          <w:kern w:val="0"/>
          <w:sz w:val="30"/>
          <w:szCs w:val="30"/>
        </w:rPr>
        <w:t>以下情形之一的，除应当按照</w:t>
      </w:r>
      <w:r w:rsidRPr="005E313C">
        <w:rPr>
          <w:rFonts w:eastAsia="仿宋_GB2312" w:hint="eastAsia"/>
          <w:kern w:val="0"/>
          <w:sz w:val="30"/>
          <w:szCs w:val="30"/>
        </w:rPr>
        <w:t>《股票上市规则》</w:t>
      </w:r>
      <w:r w:rsidRPr="005E313C">
        <w:rPr>
          <w:rFonts w:ascii="仿宋_GB2312" w:eastAsia="仿宋_GB2312" w:cs="宋体" w:hint="eastAsia"/>
          <w:kern w:val="0"/>
          <w:sz w:val="30"/>
          <w:szCs w:val="30"/>
        </w:rPr>
        <w:t>及相关格式指引履行信息披露义务外，还应当根据需要，对公司的股价波动幅度、资产盈利能力及市场估值水平进行同行业比较，有效揭示投资风险，并及时对外公告：</w:t>
      </w:r>
    </w:p>
    <w:p w:rsidR="00A95150" w:rsidRPr="005E313C" w:rsidRDefault="00A95150" w:rsidP="00B76CF0">
      <w:pPr>
        <w:adjustRightInd w:val="0"/>
        <w:spacing w:line="560" w:lineRule="exact"/>
        <w:ind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（一）股票交易持续出现异常；</w:t>
      </w:r>
    </w:p>
    <w:p w:rsidR="00A95150" w:rsidRPr="005E313C" w:rsidRDefault="00A95150" w:rsidP="00B76CF0">
      <w:pPr>
        <w:tabs>
          <w:tab w:val="left" w:pos="2977"/>
        </w:tabs>
        <w:adjustRightInd w:val="0"/>
        <w:spacing w:line="560" w:lineRule="exact"/>
        <w:ind w:firstLine="600"/>
        <w:rPr>
          <w:rFonts w:ascii="仿宋_GB2312" w:eastAsia="仿宋_GB2312" w:cs="宋体"/>
          <w:kern w:val="0"/>
          <w:sz w:val="30"/>
          <w:szCs w:val="30"/>
        </w:rPr>
      </w:pPr>
      <w:r w:rsidRPr="005E313C">
        <w:rPr>
          <w:rFonts w:ascii="仿宋_GB2312" w:eastAsia="仿宋_GB2312" w:cs="宋体" w:hint="eastAsia"/>
          <w:kern w:val="0"/>
          <w:sz w:val="30"/>
          <w:szCs w:val="30"/>
        </w:rPr>
        <w:t>（二）媒体集中出现相关报道或传闻；</w:t>
      </w:r>
    </w:p>
    <w:p w:rsidR="00A95150" w:rsidRPr="005E313C" w:rsidRDefault="00A95150" w:rsidP="00B76CF0">
      <w:pPr>
        <w:tabs>
          <w:tab w:val="left" w:pos="2977"/>
        </w:tabs>
        <w:adjustRightInd w:val="0"/>
        <w:spacing w:line="560" w:lineRule="exact"/>
        <w:ind w:firstLine="600"/>
        <w:rPr>
          <w:rFonts w:ascii="仿宋_GB2312" w:eastAsia="仿宋_GB2312" w:cs="宋体"/>
          <w:kern w:val="0"/>
          <w:sz w:val="30"/>
          <w:szCs w:val="30"/>
        </w:rPr>
      </w:pPr>
      <w:r w:rsidRPr="005E313C">
        <w:rPr>
          <w:rFonts w:ascii="仿宋_GB2312" w:eastAsia="仿宋_GB2312" w:cs="宋体" w:hint="eastAsia"/>
          <w:kern w:val="0"/>
          <w:sz w:val="30"/>
          <w:szCs w:val="30"/>
        </w:rPr>
        <w:t>（三）市场投资者对公司重大事项质疑较多；</w:t>
      </w:r>
    </w:p>
    <w:p w:rsidR="00A95150" w:rsidRPr="005E313C" w:rsidRDefault="00A95150" w:rsidP="00B76CF0">
      <w:pPr>
        <w:tabs>
          <w:tab w:val="left" w:pos="2977"/>
        </w:tabs>
        <w:adjustRightInd w:val="0"/>
        <w:spacing w:line="560" w:lineRule="exact"/>
        <w:ind w:firstLine="600"/>
        <w:rPr>
          <w:rFonts w:ascii="仿宋_GB2312" w:eastAsia="仿宋_GB2312" w:cs="宋体"/>
          <w:kern w:val="0"/>
          <w:sz w:val="30"/>
          <w:szCs w:val="30"/>
        </w:rPr>
      </w:pPr>
      <w:r w:rsidRPr="005E313C">
        <w:rPr>
          <w:rFonts w:ascii="仿宋_GB2312" w:eastAsia="仿宋_GB2312" w:cs="宋体" w:hint="eastAsia"/>
          <w:kern w:val="0"/>
          <w:sz w:val="30"/>
          <w:szCs w:val="30"/>
        </w:rPr>
        <w:t>（四）其他可能对投资者决策产生重大影响的事项。</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eastAsia="仿宋_GB2312" w:hint="eastAsia"/>
          <w:kern w:val="0"/>
          <w:sz w:val="30"/>
          <w:szCs w:val="30"/>
        </w:rPr>
        <w:t>上市公司可以</w:t>
      </w:r>
      <w:r w:rsidRPr="005E313C">
        <w:rPr>
          <w:rFonts w:ascii="仿宋_GB2312" w:eastAsia="仿宋_GB2312" w:cs="宋体" w:hint="eastAsia"/>
          <w:kern w:val="0"/>
          <w:sz w:val="30"/>
          <w:szCs w:val="30"/>
        </w:rPr>
        <w:t>根据所属行业的主要特征，在定期报告或者临时报告中披露本</w:t>
      </w:r>
      <w:r w:rsidRPr="005E313C">
        <w:rPr>
          <w:rFonts w:eastAsia="仿宋_GB2312" w:hint="eastAsia"/>
          <w:kern w:val="0"/>
          <w:sz w:val="30"/>
          <w:szCs w:val="30"/>
        </w:rPr>
        <w:t>行业专用的经营信息统计指标</w:t>
      </w:r>
      <w:r w:rsidRPr="005E313C">
        <w:rPr>
          <w:rFonts w:ascii="仿宋_GB2312" w:eastAsia="仿宋_GB2312" w:cs="宋体" w:hint="eastAsia"/>
          <w:kern w:val="0"/>
          <w:sz w:val="30"/>
          <w:szCs w:val="30"/>
        </w:rPr>
        <w:t>，并分析</w:t>
      </w:r>
      <w:r w:rsidRPr="005E313C">
        <w:rPr>
          <w:rFonts w:ascii="仿宋_GB2312" w:eastAsia="仿宋_GB2312" w:cs="宋体" w:hint="eastAsia"/>
          <w:kern w:val="0"/>
          <w:sz w:val="30"/>
          <w:szCs w:val="30"/>
        </w:rPr>
        <w:lastRenderedPageBreak/>
        <w:t>指标的假定条件、计算方法、选取依据及其变化原因和趋势。</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上市公司可以在企业会计准则规定范围外，披露息税前利润、自由现金流等反映公司价值的判断指标。</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上市公司应当结合公司经营模式和关键指标，有针对性地披露具体相关的行业经营性信息，并进行实质分析，揭示公司经营发展趋势，提示行业风险因素。</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上市公司披露的行业经营性信息采用具体指标的，应当对其含义作出详细解释，并说明计算依据和假定条件。</w:t>
      </w:r>
    </w:p>
    <w:p w:rsidR="00A95150" w:rsidRPr="005E313C" w:rsidRDefault="00A95150" w:rsidP="00B76CF0">
      <w:pPr>
        <w:adjustRightInd w:val="0"/>
        <w:spacing w:line="560" w:lineRule="exact"/>
        <w:ind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上市公司应当保证在不同报告期采用上述指标的一致性。相关指标的计算依据、假定条件等发生变化的，应当及时予以说明。</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ascii="仿宋_GB2312" w:eastAsia="仿宋_GB2312" w:cs="宋体" w:hint="eastAsia"/>
          <w:kern w:val="0"/>
          <w:sz w:val="30"/>
          <w:szCs w:val="30"/>
        </w:rPr>
        <w:t>上市公司</w:t>
      </w:r>
      <w:r w:rsidRPr="005E313C">
        <w:rPr>
          <w:rFonts w:eastAsia="仿宋_GB2312" w:hint="eastAsia"/>
          <w:kern w:val="0"/>
          <w:sz w:val="30"/>
          <w:szCs w:val="30"/>
        </w:rPr>
        <w:t>披露行业经营性信息时</w:t>
      </w:r>
      <w:r w:rsidRPr="005E313C">
        <w:rPr>
          <w:rFonts w:ascii="仿宋_GB2312" w:eastAsia="仿宋_GB2312" w:cs="宋体" w:hint="eastAsia"/>
          <w:kern w:val="0"/>
          <w:sz w:val="30"/>
          <w:szCs w:val="30"/>
        </w:rPr>
        <w:t>，应当使用</w:t>
      </w:r>
      <w:r w:rsidRPr="005E313C">
        <w:rPr>
          <w:rFonts w:eastAsia="仿宋_GB2312" w:hint="eastAsia"/>
          <w:kern w:val="0"/>
          <w:sz w:val="30"/>
          <w:szCs w:val="30"/>
        </w:rPr>
        <w:t>简明</w:t>
      </w:r>
      <w:r w:rsidR="00182111" w:rsidRPr="005E313C">
        <w:rPr>
          <w:rFonts w:eastAsia="仿宋_GB2312" w:hint="eastAsia"/>
          <w:kern w:val="0"/>
          <w:sz w:val="30"/>
          <w:szCs w:val="30"/>
        </w:rPr>
        <w:t>清晰、通俗</w:t>
      </w:r>
      <w:r w:rsidRPr="005E313C">
        <w:rPr>
          <w:rFonts w:eastAsia="仿宋_GB2312" w:hint="eastAsia"/>
          <w:kern w:val="0"/>
          <w:sz w:val="30"/>
          <w:szCs w:val="30"/>
        </w:rPr>
        <w:t>易懂的语言，</w:t>
      </w:r>
      <w:r w:rsidRPr="005E313C">
        <w:rPr>
          <w:rFonts w:ascii="仿宋_GB2312" w:eastAsia="仿宋_GB2312" w:cs="宋体" w:hint="eastAsia"/>
          <w:kern w:val="0"/>
          <w:sz w:val="30"/>
          <w:szCs w:val="30"/>
        </w:rPr>
        <w:t>对行业专业术语、专业背景、行业知识等进行必要的介绍和解释说明</w:t>
      </w:r>
      <w:r w:rsidRPr="005E313C">
        <w:rPr>
          <w:rFonts w:eastAsia="仿宋_GB2312" w:hint="eastAsia"/>
          <w:kern w:val="0"/>
          <w:sz w:val="30"/>
          <w:szCs w:val="30"/>
        </w:rPr>
        <w:t>，</w:t>
      </w:r>
      <w:r w:rsidRPr="005E313C">
        <w:rPr>
          <w:rFonts w:ascii="仿宋_GB2312" w:eastAsia="仿宋_GB2312" w:cs="宋体" w:hint="eastAsia"/>
          <w:kern w:val="0"/>
          <w:sz w:val="30"/>
          <w:szCs w:val="30"/>
        </w:rPr>
        <w:t>避免使用生僻用词或者术语，便于投资者尤其是中小投资者理解公司实际经营状况和风险信息。</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eastAsia="仿宋_GB2312" w:hint="eastAsia"/>
          <w:kern w:val="0"/>
          <w:sz w:val="30"/>
          <w:szCs w:val="30"/>
        </w:rPr>
        <w:t>上市公司在披露行业经营性信息时引用相关数据、资料的，应当保证引用内容充分可靠、客观权威，并注明其来源。</w:t>
      </w:r>
    </w:p>
    <w:p w:rsidR="00A95150" w:rsidRPr="005E313C" w:rsidRDefault="00A95150" w:rsidP="00B76CF0">
      <w:pPr>
        <w:numPr>
          <w:ilvl w:val="0"/>
          <w:numId w:val="1"/>
        </w:numPr>
        <w:adjustRightInd w:val="0"/>
        <w:spacing w:line="560" w:lineRule="exact"/>
        <w:ind w:left="0" w:firstLineChars="200" w:firstLine="600"/>
        <w:rPr>
          <w:rFonts w:eastAsia="仿宋_GB2312"/>
          <w:kern w:val="0"/>
          <w:sz w:val="30"/>
          <w:szCs w:val="30"/>
        </w:rPr>
      </w:pPr>
      <w:r w:rsidRPr="005E313C">
        <w:rPr>
          <w:rFonts w:ascii="仿宋_GB2312" w:eastAsia="仿宋_GB2312" w:cs="宋体" w:hint="eastAsia"/>
          <w:kern w:val="0"/>
          <w:sz w:val="30"/>
          <w:szCs w:val="30"/>
        </w:rPr>
        <w:t>上市公司未在定期</w:t>
      </w:r>
      <w:r w:rsidRPr="005E313C">
        <w:rPr>
          <w:rFonts w:eastAsia="仿宋_GB2312" w:hint="eastAsia"/>
          <w:kern w:val="0"/>
          <w:sz w:val="30"/>
          <w:szCs w:val="30"/>
        </w:rPr>
        <w:t>报告或临时报告中</w:t>
      </w:r>
      <w:r w:rsidRPr="005E313C">
        <w:rPr>
          <w:rFonts w:ascii="仿宋_GB2312" w:eastAsia="仿宋_GB2312" w:cs="宋体" w:hint="eastAsia"/>
          <w:kern w:val="0"/>
          <w:sz w:val="30"/>
          <w:szCs w:val="30"/>
        </w:rPr>
        <w:t>按照行业披露指引要求进行信息披露的，应当</w:t>
      </w:r>
      <w:r w:rsidRPr="005E313C">
        <w:rPr>
          <w:rFonts w:eastAsia="仿宋_GB2312" w:hint="eastAsia"/>
          <w:kern w:val="0"/>
          <w:sz w:val="30"/>
          <w:szCs w:val="30"/>
        </w:rPr>
        <w:t>解释未按要求进行披露的原因，并予以特别提示。</w:t>
      </w:r>
    </w:p>
    <w:p w:rsidR="00A95150" w:rsidRPr="005E313C" w:rsidRDefault="00A95150" w:rsidP="00B76CF0">
      <w:pPr>
        <w:numPr>
          <w:ilvl w:val="0"/>
          <w:numId w:val="1"/>
        </w:numPr>
        <w:adjustRightInd w:val="0"/>
        <w:spacing w:line="560" w:lineRule="exact"/>
        <w:ind w:left="0" w:firstLineChars="200" w:firstLine="600"/>
        <w:rPr>
          <w:rFonts w:ascii="仿宋_GB2312" w:eastAsia="仿宋_GB2312" w:cs="宋体"/>
          <w:kern w:val="0"/>
          <w:sz w:val="30"/>
          <w:szCs w:val="30"/>
        </w:rPr>
      </w:pPr>
      <w:r w:rsidRPr="005E313C">
        <w:rPr>
          <w:rFonts w:eastAsia="仿宋_GB2312" w:hint="eastAsia"/>
          <w:kern w:val="0"/>
          <w:sz w:val="30"/>
          <w:szCs w:val="30"/>
        </w:rPr>
        <w:t>本所在职责范围内对上市</w:t>
      </w:r>
      <w:r w:rsidRPr="005E313C">
        <w:rPr>
          <w:rFonts w:ascii="仿宋_GB2312" w:eastAsia="仿宋_GB2312" w:cs="宋体" w:hint="eastAsia"/>
          <w:kern w:val="0"/>
          <w:sz w:val="30"/>
          <w:szCs w:val="30"/>
        </w:rPr>
        <w:t>公司再融资、并购等重大事项出具持续监管意见时，将参考公司遵守行业披露指引的情况</w:t>
      </w:r>
      <w:r w:rsidRPr="005E313C">
        <w:rPr>
          <w:rFonts w:eastAsia="仿宋_GB2312" w:hint="eastAsia"/>
          <w:kern w:val="0"/>
          <w:sz w:val="30"/>
          <w:szCs w:val="30"/>
        </w:rPr>
        <w:t>。</w:t>
      </w:r>
    </w:p>
    <w:p w:rsidR="00164CC9" w:rsidRPr="005E313C" w:rsidRDefault="00A95150" w:rsidP="00B76CF0">
      <w:pPr>
        <w:numPr>
          <w:ilvl w:val="0"/>
          <w:numId w:val="1"/>
        </w:numPr>
        <w:adjustRightInd w:val="0"/>
        <w:spacing w:line="560" w:lineRule="exact"/>
        <w:ind w:left="0" w:firstLineChars="200" w:firstLine="600"/>
        <w:rPr>
          <w:rFonts w:eastAsia="仿宋_GB2312"/>
          <w:kern w:val="0"/>
          <w:sz w:val="30"/>
          <w:szCs w:val="30"/>
        </w:rPr>
      </w:pPr>
      <w:r w:rsidRPr="005E313C">
        <w:rPr>
          <w:rFonts w:eastAsia="仿宋_GB2312" w:hint="eastAsia"/>
          <w:kern w:val="0"/>
          <w:sz w:val="30"/>
          <w:szCs w:val="30"/>
        </w:rPr>
        <w:t>本指引由本所负责解释。</w:t>
      </w:r>
    </w:p>
    <w:p w:rsidR="00CE4810" w:rsidRPr="005E313C" w:rsidRDefault="008079DE" w:rsidP="00B76CF0">
      <w:pPr>
        <w:numPr>
          <w:ilvl w:val="0"/>
          <w:numId w:val="1"/>
        </w:numPr>
        <w:adjustRightInd w:val="0"/>
        <w:spacing w:line="560" w:lineRule="exact"/>
        <w:ind w:left="0" w:firstLineChars="200" w:firstLine="600"/>
        <w:rPr>
          <w:rFonts w:eastAsia="仿宋_GB2312"/>
          <w:kern w:val="0"/>
          <w:sz w:val="30"/>
          <w:szCs w:val="30"/>
        </w:rPr>
      </w:pPr>
      <w:r w:rsidRPr="005E313C">
        <w:rPr>
          <w:rFonts w:eastAsia="仿宋_GB2312" w:hint="eastAsia"/>
          <w:kern w:val="0"/>
          <w:sz w:val="30"/>
          <w:szCs w:val="30"/>
        </w:rPr>
        <w:lastRenderedPageBreak/>
        <w:t>本指引自发布之日起施行。</w:t>
      </w:r>
    </w:p>
    <w:p w:rsidR="008079DE" w:rsidRDefault="008079DE" w:rsidP="00B76CF0">
      <w:pPr>
        <w:adjustRightInd w:val="0"/>
        <w:spacing w:line="560" w:lineRule="exact"/>
        <w:ind w:left="600"/>
        <w:rPr>
          <w:rFonts w:eastAsia="仿宋_GB2312"/>
          <w:kern w:val="0"/>
          <w:sz w:val="30"/>
          <w:szCs w:val="30"/>
        </w:rPr>
      </w:pPr>
    </w:p>
    <w:p w:rsidR="00CE4810" w:rsidRPr="005E313C" w:rsidRDefault="009137AA" w:rsidP="00B76CF0">
      <w:pPr>
        <w:adjustRightInd w:val="0"/>
        <w:spacing w:line="560" w:lineRule="exact"/>
        <w:ind w:firstLineChars="200" w:firstLine="600"/>
        <w:rPr>
          <w:rFonts w:ascii="仿宋_GB2312" w:eastAsia="仿宋_GB2312" w:cs="宋体"/>
          <w:kern w:val="0"/>
          <w:sz w:val="30"/>
          <w:szCs w:val="30"/>
        </w:rPr>
      </w:pPr>
      <w:r>
        <w:rPr>
          <w:rFonts w:ascii="仿宋_GB2312" w:eastAsia="仿宋_GB2312" w:cs="宋体" w:hint="eastAsia"/>
          <w:kern w:val="0"/>
          <w:sz w:val="30"/>
          <w:szCs w:val="30"/>
        </w:rPr>
        <w:t>附件：</w:t>
      </w:r>
      <w:r w:rsidR="00CE4810" w:rsidRPr="005E313C">
        <w:rPr>
          <w:rFonts w:ascii="仿宋_GB2312" w:eastAsia="仿宋_GB2312" w:cs="宋体"/>
          <w:kern w:val="0"/>
          <w:sz w:val="30"/>
          <w:szCs w:val="30"/>
        </w:rPr>
        <w:t>第</w:t>
      </w:r>
      <w:r w:rsidR="00CE4810" w:rsidRPr="005E313C">
        <w:rPr>
          <w:rFonts w:ascii="仿宋_GB2312" w:eastAsia="仿宋_GB2312" w:cs="宋体" w:hint="eastAsia"/>
          <w:kern w:val="0"/>
          <w:sz w:val="30"/>
          <w:szCs w:val="30"/>
        </w:rPr>
        <w:t>一</w:t>
      </w:r>
      <w:r w:rsidR="00CE4810" w:rsidRPr="005E313C">
        <w:rPr>
          <w:rFonts w:ascii="仿宋_GB2312" w:eastAsia="仿宋_GB2312" w:cs="宋体"/>
          <w:kern w:val="0"/>
          <w:sz w:val="30"/>
          <w:szCs w:val="30"/>
        </w:rPr>
        <w:t>号</w:t>
      </w:r>
      <w:r w:rsidR="00CE4810" w:rsidRPr="005E313C">
        <w:rPr>
          <w:rFonts w:ascii="仿宋_GB2312" w:eastAsia="仿宋_GB2312" w:cs="宋体"/>
          <w:kern w:val="0"/>
          <w:sz w:val="30"/>
          <w:szCs w:val="30"/>
        </w:rPr>
        <w:t>——</w:t>
      </w:r>
      <w:r w:rsidR="00CE4810" w:rsidRPr="005E313C">
        <w:rPr>
          <w:rFonts w:ascii="仿宋_GB2312" w:eastAsia="仿宋_GB2312" w:cs="宋体"/>
          <w:kern w:val="0"/>
          <w:sz w:val="30"/>
          <w:szCs w:val="30"/>
        </w:rPr>
        <w:t>房地产</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w:t>
      </w:r>
      <w:r w:rsidRPr="005E313C">
        <w:rPr>
          <w:rFonts w:ascii="仿宋_GB2312" w:eastAsia="仿宋_GB2312" w:cs="宋体" w:hint="eastAsia"/>
          <w:kern w:val="0"/>
          <w:sz w:val="30"/>
          <w:szCs w:val="30"/>
        </w:rPr>
        <w:t>二</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煤炭</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w:t>
      </w:r>
      <w:r w:rsidRPr="005E313C">
        <w:rPr>
          <w:rFonts w:ascii="仿宋_GB2312" w:eastAsia="仿宋_GB2312" w:cs="宋体" w:hint="eastAsia"/>
          <w:kern w:val="0"/>
          <w:sz w:val="30"/>
          <w:szCs w:val="30"/>
        </w:rPr>
        <w:t>三</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电力</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w:t>
      </w:r>
      <w:r w:rsidRPr="005E313C">
        <w:rPr>
          <w:rFonts w:ascii="仿宋_GB2312" w:eastAsia="仿宋_GB2312" w:cs="宋体" w:hint="eastAsia"/>
          <w:kern w:val="0"/>
          <w:sz w:val="30"/>
          <w:szCs w:val="30"/>
        </w:rPr>
        <w:t>四</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零售</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w:t>
      </w:r>
      <w:r w:rsidRPr="005E313C">
        <w:rPr>
          <w:rFonts w:ascii="仿宋_GB2312" w:eastAsia="仿宋_GB2312" w:cs="宋体" w:hint="eastAsia"/>
          <w:kern w:val="0"/>
          <w:sz w:val="30"/>
          <w:szCs w:val="30"/>
        </w:rPr>
        <w:t>五</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汽车制造</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w:t>
      </w:r>
      <w:r w:rsidRPr="005E313C">
        <w:rPr>
          <w:rFonts w:ascii="仿宋_GB2312" w:eastAsia="仿宋_GB2312" w:cs="宋体" w:hint="eastAsia"/>
          <w:kern w:val="0"/>
          <w:sz w:val="30"/>
          <w:szCs w:val="30"/>
        </w:rPr>
        <w:t>六</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医药制造</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第七号</w:t>
      </w:r>
      <w:r w:rsidRPr="005E313C">
        <w:rPr>
          <w:rFonts w:ascii="仿宋_GB2312" w:eastAsia="仿宋_GB2312" w:cs="宋体"/>
          <w:kern w:val="0"/>
          <w:sz w:val="30"/>
          <w:szCs w:val="30"/>
        </w:rPr>
        <w:t>——</w:t>
      </w:r>
      <w:r w:rsidRPr="005E313C">
        <w:rPr>
          <w:rFonts w:ascii="仿宋_GB2312" w:eastAsia="仿宋_GB2312" w:cs="宋体"/>
          <w:kern w:val="0"/>
          <w:sz w:val="30"/>
          <w:szCs w:val="30"/>
        </w:rPr>
        <w:t>钢铁</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第八号</w:t>
      </w:r>
      <w:r w:rsidRPr="005E313C">
        <w:rPr>
          <w:rFonts w:ascii="仿宋_GB2312" w:eastAsia="仿宋_GB2312" w:cs="宋体"/>
          <w:kern w:val="0"/>
          <w:sz w:val="30"/>
          <w:szCs w:val="30"/>
        </w:rPr>
        <w:t>——</w:t>
      </w:r>
      <w:r w:rsidRPr="005E313C">
        <w:rPr>
          <w:rFonts w:ascii="仿宋_GB2312" w:eastAsia="仿宋_GB2312" w:cs="宋体"/>
          <w:kern w:val="0"/>
          <w:sz w:val="30"/>
          <w:szCs w:val="30"/>
        </w:rPr>
        <w:t>建筑</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第九号</w:t>
      </w:r>
      <w:r w:rsidRPr="005E313C">
        <w:rPr>
          <w:rFonts w:ascii="仿宋_GB2312" w:eastAsia="仿宋_GB2312" w:cs="宋体"/>
          <w:kern w:val="0"/>
          <w:sz w:val="30"/>
          <w:szCs w:val="30"/>
        </w:rPr>
        <w:t>——</w:t>
      </w:r>
      <w:r w:rsidRPr="005E313C">
        <w:rPr>
          <w:rFonts w:ascii="仿宋_GB2312" w:eastAsia="仿宋_GB2312" w:cs="宋体"/>
          <w:kern w:val="0"/>
          <w:sz w:val="30"/>
          <w:szCs w:val="30"/>
        </w:rPr>
        <w:t>光伏</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第十号</w:t>
      </w:r>
      <w:r w:rsidRPr="005E313C">
        <w:rPr>
          <w:rFonts w:ascii="仿宋_GB2312" w:eastAsia="仿宋_GB2312" w:cs="宋体"/>
          <w:kern w:val="0"/>
          <w:sz w:val="30"/>
          <w:szCs w:val="30"/>
        </w:rPr>
        <w:t>——</w:t>
      </w:r>
      <w:r w:rsidRPr="005E313C">
        <w:rPr>
          <w:rFonts w:ascii="仿宋_GB2312" w:eastAsia="仿宋_GB2312" w:cs="宋体"/>
          <w:kern w:val="0"/>
          <w:sz w:val="30"/>
          <w:szCs w:val="30"/>
        </w:rPr>
        <w:t>服装</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第十</w:t>
      </w:r>
      <w:r w:rsidRPr="005E313C">
        <w:rPr>
          <w:rFonts w:ascii="仿宋_GB2312" w:eastAsia="仿宋_GB2312" w:cs="宋体" w:hint="eastAsia"/>
          <w:kern w:val="0"/>
          <w:sz w:val="30"/>
          <w:szCs w:val="30"/>
        </w:rPr>
        <w:t>一</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新闻出版</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第十</w:t>
      </w:r>
      <w:r w:rsidRPr="005E313C">
        <w:rPr>
          <w:rFonts w:ascii="仿宋_GB2312" w:eastAsia="仿宋_GB2312" w:cs="宋体" w:hint="eastAsia"/>
          <w:kern w:val="0"/>
          <w:sz w:val="30"/>
          <w:szCs w:val="30"/>
        </w:rPr>
        <w:t>二</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酒制造</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第十</w:t>
      </w:r>
      <w:r w:rsidRPr="005E313C">
        <w:rPr>
          <w:rFonts w:ascii="仿宋_GB2312" w:eastAsia="仿宋_GB2312" w:cs="宋体" w:hint="eastAsia"/>
          <w:kern w:val="0"/>
          <w:sz w:val="30"/>
          <w:szCs w:val="30"/>
        </w:rPr>
        <w:t>三</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化工</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第十</w:t>
      </w:r>
      <w:r w:rsidRPr="005E313C">
        <w:rPr>
          <w:rFonts w:ascii="仿宋_GB2312" w:eastAsia="仿宋_GB2312" w:cs="宋体" w:hint="eastAsia"/>
          <w:kern w:val="0"/>
          <w:sz w:val="30"/>
          <w:szCs w:val="30"/>
        </w:rPr>
        <w:t>四</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食品制造</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第十</w:t>
      </w:r>
      <w:r w:rsidRPr="005E313C">
        <w:rPr>
          <w:rFonts w:ascii="仿宋_GB2312" w:eastAsia="仿宋_GB2312" w:cs="宋体" w:hint="eastAsia"/>
          <w:kern w:val="0"/>
          <w:sz w:val="30"/>
          <w:szCs w:val="30"/>
        </w:rPr>
        <w:t>五</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家具制造</w:t>
      </w:r>
    </w:p>
    <w:p w:rsidR="00CE4810" w:rsidRPr="005E313C" w:rsidRDefault="00CE4810" w:rsidP="00B76CF0">
      <w:pPr>
        <w:adjustRightInd w:val="0"/>
        <w:spacing w:line="560" w:lineRule="exact"/>
        <w:ind w:firstLineChars="500" w:firstLine="1500"/>
        <w:rPr>
          <w:rFonts w:ascii="仿宋_GB2312" w:eastAsia="仿宋_GB2312" w:cs="宋体"/>
          <w:kern w:val="0"/>
          <w:sz w:val="30"/>
          <w:szCs w:val="30"/>
        </w:rPr>
      </w:pPr>
      <w:r w:rsidRPr="005E313C">
        <w:rPr>
          <w:rFonts w:ascii="仿宋_GB2312" w:eastAsia="仿宋_GB2312" w:cs="宋体"/>
          <w:kern w:val="0"/>
          <w:sz w:val="30"/>
          <w:szCs w:val="30"/>
        </w:rPr>
        <w:t>第十</w:t>
      </w:r>
      <w:r w:rsidRPr="005E313C">
        <w:rPr>
          <w:rFonts w:ascii="仿宋_GB2312" w:eastAsia="仿宋_GB2312" w:cs="宋体" w:hint="eastAsia"/>
          <w:kern w:val="0"/>
          <w:sz w:val="30"/>
          <w:szCs w:val="30"/>
        </w:rPr>
        <w:t>六</w:t>
      </w:r>
      <w:r w:rsidRPr="005E313C">
        <w:rPr>
          <w:rFonts w:ascii="仿宋_GB2312" w:eastAsia="仿宋_GB2312" w:cs="宋体"/>
          <w:kern w:val="0"/>
          <w:sz w:val="30"/>
          <w:szCs w:val="30"/>
        </w:rPr>
        <w:t>号</w:t>
      </w:r>
      <w:r w:rsidRPr="005E313C">
        <w:rPr>
          <w:rFonts w:ascii="仿宋_GB2312" w:eastAsia="仿宋_GB2312" w:cs="宋体"/>
          <w:kern w:val="0"/>
          <w:sz w:val="30"/>
          <w:szCs w:val="30"/>
        </w:rPr>
        <w:t>——</w:t>
      </w:r>
      <w:r w:rsidRPr="005E313C">
        <w:rPr>
          <w:rFonts w:ascii="仿宋_GB2312" w:eastAsia="仿宋_GB2312" w:cs="宋体"/>
          <w:kern w:val="0"/>
          <w:sz w:val="30"/>
          <w:szCs w:val="30"/>
        </w:rPr>
        <w:t>有色金属</w:t>
      </w:r>
    </w:p>
    <w:sectPr w:rsidR="00CE4810" w:rsidRPr="005E313C" w:rsidSect="009835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B4" w:rsidRDefault="000048B4" w:rsidP="00A95150">
      <w:r>
        <w:separator/>
      </w:r>
    </w:p>
  </w:endnote>
  <w:endnote w:type="continuationSeparator" w:id="0">
    <w:p w:rsidR="000048B4" w:rsidRDefault="000048B4" w:rsidP="00A9515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194971"/>
      <w:docPartObj>
        <w:docPartGallery w:val="Page Numbers (Bottom of Page)"/>
        <w:docPartUnique/>
      </w:docPartObj>
    </w:sdtPr>
    <w:sdtContent>
      <w:p w:rsidR="00D61F15" w:rsidRDefault="000C53A8" w:rsidP="009137AA">
        <w:pPr>
          <w:pStyle w:val="a4"/>
          <w:jc w:val="center"/>
        </w:pPr>
        <w:r w:rsidRPr="00D61F15">
          <w:rPr>
            <w:rFonts w:ascii="Times New Roman" w:hAnsi="Times New Roman" w:cs="Times New Roman"/>
          </w:rPr>
          <w:fldChar w:fldCharType="begin"/>
        </w:r>
        <w:r w:rsidR="00D61F15" w:rsidRPr="00D61F15">
          <w:rPr>
            <w:rFonts w:ascii="Times New Roman" w:hAnsi="Times New Roman" w:cs="Times New Roman"/>
          </w:rPr>
          <w:instrText xml:space="preserve"> PAGE   \* MERGEFORMAT </w:instrText>
        </w:r>
        <w:r w:rsidRPr="00D61F15">
          <w:rPr>
            <w:rFonts w:ascii="Times New Roman" w:hAnsi="Times New Roman" w:cs="Times New Roman"/>
          </w:rPr>
          <w:fldChar w:fldCharType="separate"/>
        </w:r>
        <w:r w:rsidR="00B76CF0" w:rsidRPr="00B76CF0">
          <w:rPr>
            <w:rFonts w:ascii="Times New Roman" w:hAnsi="Times New Roman" w:cs="Times New Roman"/>
            <w:noProof/>
            <w:lang w:val="zh-CN"/>
          </w:rPr>
          <w:t>4</w:t>
        </w:r>
        <w:r w:rsidRPr="00D61F15">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B4" w:rsidRDefault="000048B4" w:rsidP="00A95150">
      <w:r>
        <w:separator/>
      </w:r>
    </w:p>
  </w:footnote>
  <w:footnote w:type="continuationSeparator" w:id="0">
    <w:p w:rsidR="000048B4" w:rsidRDefault="000048B4" w:rsidP="00A95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40D90"/>
    <w:multiLevelType w:val="multilevel"/>
    <w:tmpl w:val="FC866346"/>
    <w:lvl w:ilvl="0">
      <w:start w:val="1"/>
      <w:numFmt w:val="chineseCountingThousand"/>
      <w:lvlText w:val="第%1条"/>
      <w:lvlJc w:val="left"/>
      <w:pPr>
        <w:ind w:left="1555" w:hanging="420"/>
      </w:pPr>
      <w:rPr>
        <w:rFonts w:ascii="仿宋_GB2312" w:eastAsia="仿宋_GB2312" w:hint="eastAsia"/>
        <w:b/>
        <w:sz w:val="30"/>
        <w:szCs w:val="30"/>
        <w:lang w:val="en-US"/>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6B2"/>
    <w:rsid w:val="000048B4"/>
    <w:rsid w:val="00066521"/>
    <w:rsid w:val="000B5F3C"/>
    <w:rsid w:val="000B74C2"/>
    <w:rsid w:val="000C53A8"/>
    <w:rsid w:val="0014576F"/>
    <w:rsid w:val="00164CC9"/>
    <w:rsid w:val="00182111"/>
    <w:rsid w:val="002341CC"/>
    <w:rsid w:val="00260EB1"/>
    <w:rsid w:val="003B0D40"/>
    <w:rsid w:val="003C3E48"/>
    <w:rsid w:val="003E6CD9"/>
    <w:rsid w:val="003F5FA7"/>
    <w:rsid w:val="00403ED9"/>
    <w:rsid w:val="004044D5"/>
    <w:rsid w:val="00436F6D"/>
    <w:rsid w:val="005826C9"/>
    <w:rsid w:val="005D46B2"/>
    <w:rsid w:val="005E313C"/>
    <w:rsid w:val="00614287"/>
    <w:rsid w:val="006F4C0A"/>
    <w:rsid w:val="00725BFE"/>
    <w:rsid w:val="00732657"/>
    <w:rsid w:val="007E7ADB"/>
    <w:rsid w:val="008079DE"/>
    <w:rsid w:val="009137AA"/>
    <w:rsid w:val="00932E16"/>
    <w:rsid w:val="00983510"/>
    <w:rsid w:val="00A12E93"/>
    <w:rsid w:val="00A51A74"/>
    <w:rsid w:val="00A73F96"/>
    <w:rsid w:val="00A95150"/>
    <w:rsid w:val="00AD20FC"/>
    <w:rsid w:val="00AD5506"/>
    <w:rsid w:val="00B51CAC"/>
    <w:rsid w:val="00B60BD0"/>
    <w:rsid w:val="00B707FC"/>
    <w:rsid w:val="00B76CF0"/>
    <w:rsid w:val="00B952FF"/>
    <w:rsid w:val="00BA2150"/>
    <w:rsid w:val="00BB3EE2"/>
    <w:rsid w:val="00BD34B7"/>
    <w:rsid w:val="00C31541"/>
    <w:rsid w:val="00C37E5C"/>
    <w:rsid w:val="00CE4810"/>
    <w:rsid w:val="00D34BA5"/>
    <w:rsid w:val="00D614D9"/>
    <w:rsid w:val="00D61F15"/>
    <w:rsid w:val="00D62E72"/>
    <w:rsid w:val="00D76A3A"/>
    <w:rsid w:val="00DA293F"/>
    <w:rsid w:val="00DA4341"/>
    <w:rsid w:val="00E7325B"/>
    <w:rsid w:val="00EE6D15"/>
    <w:rsid w:val="00FD3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150"/>
    <w:rPr>
      <w:sz w:val="18"/>
      <w:szCs w:val="18"/>
    </w:rPr>
  </w:style>
  <w:style w:type="paragraph" w:styleId="a4">
    <w:name w:val="footer"/>
    <w:basedOn w:val="a"/>
    <w:link w:val="Char0"/>
    <w:uiPriority w:val="99"/>
    <w:unhideWhenUsed/>
    <w:rsid w:val="00A95150"/>
    <w:pPr>
      <w:tabs>
        <w:tab w:val="center" w:pos="4153"/>
        <w:tab w:val="right" w:pos="8306"/>
      </w:tabs>
      <w:snapToGrid w:val="0"/>
      <w:jc w:val="left"/>
    </w:pPr>
    <w:rPr>
      <w:sz w:val="18"/>
      <w:szCs w:val="18"/>
    </w:rPr>
  </w:style>
  <w:style w:type="character" w:customStyle="1" w:styleId="Char0">
    <w:name w:val="页脚 Char"/>
    <w:basedOn w:val="a0"/>
    <w:link w:val="a4"/>
    <w:uiPriority w:val="99"/>
    <w:rsid w:val="00A95150"/>
    <w:rPr>
      <w:sz w:val="18"/>
      <w:szCs w:val="18"/>
    </w:rPr>
  </w:style>
  <w:style w:type="paragraph" w:styleId="a5">
    <w:name w:val="Normal (Web)"/>
    <w:basedOn w:val="a"/>
    <w:uiPriority w:val="99"/>
    <w:unhideWhenUsed/>
    <w:rsid w:val="00A95150"/>
    <w:pPr>
      <w:widowControl/>
      <w:spacing w:before="100" w:beforeAutospacing="1" w:after="100" w:afterAutospacing="1"/>
      <w:jc w:val="left"/>
    </w:pPr>
    <w:rPr>
      <w:rFonts w:cs="宋体"/>
      <w:kern w:val="0"/>
      <w:szCs w:val="24"/>
    </w:rPr>
  </w:style>
  <w:style w:type="paragraph" w:styleId="a6">
    <w:name w:val="Balloon Text"/>
    <w:basedOn w:val="a"/>
    <w:link w:val="Char1"/>
    <w:uiPriority w:val="99"/>
    <w:semiHidden/>
    <w:unhideWhenUsed/>
    <w:rsid w:val="00B707FC"/>
    <w:rPr>
      <w:sz w:val="18"/>
      <w:szCs w:val="18"/>
    </w:rPr>
  </w:style>
  <w:style w:type="character" w:customStyle="1" w:styleId="Char1">
    <w:name w:val="批注框文本 Char"/>
    <w:basedOn w:val="a0"/>
    <w:link w:val="a6"/>
    <w:uiPriority w:val="99"/>
    <w:semiHidden/>
    <w:rsid w:val="00B707FC"/>
    <w:rPr>
      <w:sz w:val="18"/>
      <w:szCs w:val="18"/>
    </w:rPr>
  </w:style>
</w:styles>
</file>

<file path=word/webSettings.xml><?xml version="1.0" encoding="utf-8"?>
<w:webSettings xmlns:r="http://schemas.openxmlformats.org/officeDocument/2006/relationships" xmlns:w="http://schemas.openxmlformats.org/wordprocessingml/2006/main">
  <w:divs>
    <w:div w:id="99886219">
      <w:bodyDiv w:val="1"/>
      <w:marLeft w:val="0"/>
      <w:marRight w:val="0"/>
      <w:marTop w:val="0"/>
      <w:marBottom w:val="0"/>
      <w:divBdr>
        <w:top w:val="none" w:sz="0" w:space="0" w:color="auto"/>
        <w:left w:val="none" w:sz="0" w:space="0" w:color="auto"/>
        <w:bottom w:val="none" w:sz="0" w:space="0" w:color="auto"/>
        <w:right w:val="none" w:sz="0" w:space="0" w:color="auto"/>
      </w:divBdr>
    </w:div>
    <w:div w:id="7132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陈邹(拟稿)</cp:lastModifiedBy>
  <dcterms:created xsi:type="dcterms:W3CDTF">2021-11-24T13:56:00Z</dcterms:created>
  <dcterms:modified xsi:type="dcterms:W3CDTF">2022-01-06T08:45:00Z</dcterms:modified>
</cp:coreProperties>
</file>