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Toc69746445"/>
      <w:bookmarkStart w:id="1" w:name="_Hlk103760794"/>
    </w:p>
    <w:p>
      <w:bookmarkStart w:id="6" w:name="_GoBack"/>
      <w:bookmarkEnd w:id="6"/>
    </w:p>
    <w:p>
      <w:pPr>
        <w:pStyle w:val="2"/>
        <w:ind w:firstLine="961" w:firstLineChars="300"/>
        <w:jc w:val="both"/>
        <w:rPr>
          <w:rFonts w:hint="eastAsia"/>
        </w:rPr>
      </w:pPr>
      <w:r>
        <w:rPr>
          <w:rFonts w:hint="eastAsia"/>
        </w:rPr>
        <w:t>非公开发行公司债券项目承接负面清单指引</w:t>
      </w:r>
      <w:bookmarkEnd w:id="0"/>
    </w:p>
    <w:p>
      <w:pPr>
        <w:widowControl/>
        <w:shd w:val="clear" w:color="auto" w:fill="FFFFFF"/>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eastAsia="zh-CN"/>
        </w:rPr>
        <w:t>（</w:t>
      </w:r>
      <w:r>
        <w:rPr>
          <w:rFonts w:hint="default" w:ascii="Times New Roman" w:hAnsi="Times New Roman" w:eastAsia="仿宋_GB2312" w:cs="Times New Roman"/>
          <w:color w:val="000000"/>
          <w:kern w:val="0"/>
          <w:sz w:val="28"/>
          <w:szCs w:val="28"/>
          <w:lang w:val="en-US" w:eastAsia="zh-CN"/>
        </w:rPr>
        <w:t>2022</w:t>
      </w:r>
      <w:r>
        <w:rPr>
          <w:rFonts w:hint="eastAsia" w:ascii="仿宋_GB2312" w:hAnsi="宋体" w:eastAsia="仿宋_GB2312" w:cs="宋体"/>
          <w:color w:val="000000"/>
          <w:kern w:val="0"/>
          <w:sz w:val="28"/>
          <w:szCs w:val="28"/>
          <w:lang w:val="en-US" w:eastAsia="zh-CN"/>
        </w:rPr>
        <w:t>年修订）</w:t>
      </w:r>
    </w:p>
    <w:p>
      <w:pPr>
        <w:jc w:val="both"/>
      </w:pPr>
    </w:p>
    <w:p>
      <w:pPr>
        <w:widowControl/>
        <w:shd w:val="clear" w:color="auto" w:fill="FFFFFF"/>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第一条</w:t>
      </w:r>
      <w:r>
        <w:rPr>
          <w:rFonts w:hint="eastAsia" w:ascii="仿宋_GB2312" w:hAnsi="宋体" w:eastAsia="仿宋_GB2312" w:cs="宋体"/>
          <w:color w:val="000000"/>
          <w:kern w:val="0"/>
          <w:sz w:val="32"/>
          <w:szCs w:val="32"/>
        </w:rPr>
        <w:t xml:space="preserve">  为做好非公开发行公司债券的承销业务风险控制，根据《公司债券发行与交易管理办法》等相关法律法规、部门规章、行政规范性文件和自律规则，制定本指引。</w:t>
      </w:r>
    </w:p>
    <w:p>
      <w:pPr>
        <w:widowControl/>
        <w:shd w:val="clear" w:color="auto" w:fill="FFFFFF"/>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第二条</w:t>
      </w:r>
      <w:r>
        <w:rPr>
          <w:rFonts w:hint="eastAsia" w:ascii="仿宋_GB2312" w:hAnsi="宋体" w:eastAsia="仿宋_GB2312" w:cs="宋体"/>
          <w:color w:val="000000"/>
          <w:kern w:val="0"/>
          <w:sz w:val="32"/>
          <w:szCs w:val="32"/>
        </w:rPr>
        <w:t xml:space="preserve">  非公开发行公司债券项目承接实行负面清单管理。承销机构项目承接不得涉及负面清单限制的范围。</w:t>
      </w:r>
    </w:p>
    <w:p>
      <w:pPr>
        <w:widowControl/>
        <w:shd w:val="clear" w:color="auto" w:fill="FFFFFF"/>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第三条</w:t>
      </w:r>
      <w:r>
        <w:rPr>
          <w:rFonts w:hint="eastAsia" w:ascii="仿宋_GB2312" w:hAnsi="宋体" w:eastAsia="仿宋_GB2312" w:cs="宋体"/>
          <w:color w:val="000000"/>
          <w:kern w:val="0"/>
          <w:sz w:val="32"/>
          <w:szCs w:val="32"/>
        </w:rPr>
        <w:t xml:space="preserve">  中国证券业协会（以下简称协会）负责组织研究确定并在协会网站发布负面清单。</w:t>
      </w:r>
    </w:p>
    <w:p>
      <w:pPr>
        <w:widowControl/>
        <w:shd w:val="clear" w:color="auto" w:fill="FFFFFF"/>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第四条</w:t>
      </w:r>
      <w:r>
        <w:rPr>
          <w:rFonts w:hint="eastAsia" w:ascii="仿宋_GB2312" w:hAnsi="宋体" w:eastAsia="仿宋_GB2312" w:cs="宋体"/>
          <w:color w:val="000000"/>
          <w:kern w:val="0"/>
          <w:sz w:val="32"/>
          <w:szCs w:val="32"/>
        </w:rPr>
        <w:t xml:space="preserve"> </w:t>
      </w:r>
      <w:r>
        <w:rPr>
          <w:rFonts w:ascii="仿宋_GB2312" w:hAnsi="宋体" w:eastAsia="仿宋_GB2312" w:cs="宋体"/>
          <w:color w:val="000000"/>
          <w:kern w:val="0"/>
          <w:sz w:val="32"/>
          <w:szCs w:val="32"/>
        </w:rPr>
        <w:t xml:space="preserve"> </w:t>
      </w:r>
      <w:bookmarkStart w:id="2" w:name="_Hlk104210870"/>
      <w:r>
        <w:rPr>
          <w:rFonts w:hint="eastAsia" w:ascii="仿宋_GB2312" w:hAnsi="宋体" w:eastAsia="仿宋_GB2312" w:cs="宋体"/>
          <w:color w:val="000000"/>
          <w:kern w:val="0"/>
          <w:sz w:val="32"/>
          <w:szCs w:val="32"/>
        </w:rPr>
        <w:t>协会可以邀请相关主管部门、证券交易场所、证券公司及其他行业专家成立负面清单评估专家小组，根据业务发展与监管需要定期或不定期进行评估</w:t>
      </w:r>
      <w:bookmarkEnd w:id="2"/>
      <w:r>
        <w:rPr>
          <w:rFonts w:hint="eastAsia" w:ascii="仿宋_GB2312" w:hAnsi="宋体" w:eastAsia="仿宋_GB2312" w:cs="宋体"/>
          <w:color w:val="000000"/>
          <w:kern w:val="0"/>
          <w:sz w:val="32"/>
          <w:szCs w:val="32"/>
        </w:rPr>
        <w:t>。</w:t>
      </w:r>
    </w:p>
    <w:p>
      <w:pPr>
        <w:widowControl/>
        <w:shd w:val="clear" w:color="auto" w:fill="FFFFFF"/>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第五条</w:t>
      </w:r>
      <w:r>
        <w:rPr>
          <w:rFonts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协会可以组织负面清单评估专家小组对负面清单进行讨论研究，决定调整方案，报中国证券监督管理委员会备案。</w:t>
      </w:r>
    </w:p>
    <w:p>
      <w:pPr>
        <w:widowControl/>
        <w:shd w:val="clear" w:color="auto" w:fill="FFFFFF"/>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第六条</w:t>
      </w:r>
      <w:r>
        <w:rPr>
          <w:rFonts w:hint="eastAsia" w:ascii="仿宋_GB2312" w:hAnsi="宋体" w:eastAsia="仿宋_GB2312" w:cs="宋体"/>
          <w:color w:val="000000"/>
          <w:kern w:val="0"/>
          <w:sz w:val="32"/>
          <w:szCs w:val="32"/>
        </w:rPr>
        <w:t xml:space="preserve">  对于最近一年经审计的总资产、净资产或营业收入任一项指标占合并报表相关指标比例超过</w:t>
      </w:r>
      <w:r>
        <w:rPr>
          <w:rFonts w:ascii="仿宋_GB2312" w:hAnsi="宋体" w:eastAsia="仿宋_GB2312" w:cs="宋体"/>
          <w:color w:val="000000"/>
          <w:kern w:val="0"/>
          <w:sz w:val="32"/>
          <w:szCs w:val="32"/>
        </w:rPr>
        <w:t>30%的</w:t>
      </w:r>
      <w:r>
        <w:rPr>
          <w:rFonts w:hint="eastAsia" w:ascii="仿宋_GB2312" w:hAnsi="宋体" w:eastAsia="仿宋_GB2312" w:cs="宋体"/>
          <w:color w:val="000000"/>
          <w:kern w:val="0"/>
          <w:sz w:val="32"/>
          <w:szCs w:val="32"/>
        </w:rPr>
        <w:t>子公司存在负面清单第（一）条至第（七）条及第（十二）条规定情形的，视同发行人属于负面清单范畴。</w:t>
      </w:r>
    </w:p>
    <w:p>
      <w:pPr>
        <w:widowControl/>
        <w:shd w:val="clear" w:color="auto" w:fill="FFFFFF"/>
        <w:ind w:firstLine="643" w:firstLineChars="200"/>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第七条</w:t>
      </w:r>
      <w:r>
        <w:rPr>
          <w:rFonts w:hint="eastAsia" w:ascii="仿宋_GB2312" w:hAnsi="宋体" w:eastAsia="仿宋_GB2312" w:cs="宋体"/>
          <w:color w:val="000000"/>
          <w:kern w:val="0"/>
          <w:sz w:val="32"/>
          <w:szCs w:val="32"/>
        </w:rPr>
        <w:t xml:space="preserve">  本指引由协会负责解释和修订，自发布之日起实施。</w:t>
      </w:r>
    </w:p>
    <w:p>
      <w:pPr>
        <w:widowControl/>
        <w:shd w:val="clear" w:color="auto" w:fill="FFFFFF"/>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附录：</w:t>
      </w:r>
    </w:p>
    <w:p>
      <w:pPr>
        <w:widowControl/>
        <w:shd w:val="clear" w:color="auto" w:fill="FFFFFF"/>
        <w:ind w:firstLine="562" w:firstLineChars="200"/>
        <w:jc w:val="left"/>
        <w:rPr>
          <w:rFonts w:ascii="仿宋_GB2312" w:hAnsi="宋体" w:eastAsia="仿宋_GB2312" w:cs="宋体"/>
          <w:b/>
          <w:bCs/>
          <w:color w:val="000000"/>
          <w:kern w:val="0"/>
          <w:sz w:val="28"/>
          <w:szCs w:val="28"/>
        </w:rPr>
      </w:pPr>
    </w:p>
    <w:p>
      <w:pPr>
        <w:widowControl/>
        <w:shd w:val="clear" w:color="auto" w:fill="FFFFFF"/>
        <w:ind w:firstLine="721" w:firstLineChars="200"/>
        <w:jc w:val="center"/>
        <w:rPr>
          <w:rFonts w:ascii="华文中宋" w:hAnsi="华文中宋" w:eastAsia="华文中宋" w:cs="宋体"/>
          <w:b/>
          <w:bCs/>
          <w:color w:val="000000"/>
          <w:kern w:val="0"/>
          <w:sz w:val="36"/>
          <w:szCs w:val="36"/>
        </w:rPr>
      </w:pPr>
      <w:r>
        <w:rPr>
          <w:rFonts w:hint="eastAsia" w:ascii="华文中宋" w:hAnsi="华文中宋" w:eastAsia="华文中宋" w:cs="宋体"/>
          <w:b/>
          <w:bCs/>
          <w:color w:val="000000"/>
          <w:kern w:val="0"/>
          <w:sz w:val="36"/>
          <w:szCs w:val="36"/>
        </w:rPr>
        <w:t>非公开发行公司债券项目承接负面清单</w:t>
      </w:r>
    </w:p>
    <w:p>
      <w:pPr>
        <w:widowControl/>
        <w:shd w:val="clear" w:color="auto" w:fill="FFFFFF"/>
        <w:ind w:firstLine="560" w:firstLineChars="200"/>
        <w:jc w:val="center"/>
        <w:rPr>
          <w:rFonts w:ascii="仿宋_GB2312" w:hAnsi="宋体" w:eastAsia="仿宋_GB2312" w:cs="宋体"/>
          <w:color w:val="000000"/>
          <w:kern w:val="0"/>
          <w:sz w:val="28"/>
          <w:szCs w:val="28"/>
        </w:rPr>
      </w:pPr>
    </w:p>
    <w:p>
      <w:pPr>
        <w:widowControl/>
        <w:shd w:val="clear" w:color="auto" w:fill="FFFFFF"/>
        <w:ind w:firstLine="643" w:firstLineChars="200"/>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一、存在以下情形的发行人</w:t>
      </w:r>
    </w:p>
    <w:p>
      <w:pPr>
        <w:widowControl/>
        <w:shd w:val="clear" w:color="auto" w:fill="FFFFFF"/>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（一）最近24个月内公司财务会计文件存在虚假记载，或公司存在其他重大违法违规行为。</w:t>
      </w:r>
    </w:p>
    <w:p>
      <w:pPr>
        <w:widowControl/>
        <w:shd w:val="clear" w:color="auto" w:fill="FFFFFF"/>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w:t>
      </w:r>
      <w:bookmarkStart w:id="3" w:name="_Hlk104210345"/>
      <w:r>
        <w:rPr>
          <w:rFonts w:hint="eastAsia" w:ascii="仿宋_GB2312" w:hAnsi="宋体" w:eastAsia="仿宋_GB2312" w:cs="宋体"/>
          <w:color w:val="000000"/>
          <w:kern w:val="0"/>
          <w:sz w:val="32"/>
          <w:szCs w:val="32"/>
        </w:rPr>
        <w:t>对已公开发行的公司债券或者其他债务有违约或延迟支付本息的事实，仍</w:t>
      </w:r>
      <w:bookmarkEnd w:id="3"/>
      <w:bookmarkStart w:id="4" w:name="_Hlk104210080"/>
      <w:r>
        <w:rPr>
          <w:rFonts w:hint="eastAsia" w:ascii="仿宋_GB2312" w:hAnsi="宋体" w:eastAsia="仿宋_GB2312" w:cs="宋体"/>
          <w:color w:val="000000"/>
          <w:kern w:val="0"/>
          <w:sz w:val="32"/>
          <w:szCs w:val="32"/>
        </w:rPr>
        <w:t>处于继续状态。</w:t>
      </w:r>
    </w:p>
    <w:bookmarkEnd w:id="4"/>
    <w:p>
      <w:pPr>
        <w:widowControl/>
        <w:shd w:val="clear" w:color="auto" w:fill="FFFFFF"/>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（三）存在违规对外担保资金或者被关联方或第三方以借款、代偿债务、代垫款项等方式违规占用的情形，仍处于继续状态。</w:t>
      </w:r>
    </w:p>
    <w:p>
      <w:pPr>
        <w:widowControl/>
        <w:shd w:val="clear" w:color="auto" w:fill="FFFFFF"/>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（四）最近12个月内因违反公司债券相关规定被中国证监会采取行政监管措施，或最近6个月内因违反公司债券相关规定被证券交易所等自律组织采取纪律处分，尚未完成整改的。</w:t>
      </w:r>
    </w:p>
    <w:p>
      <w:pPr>
        <w:widowControl/>
        <w:shd w:val="clear" w:color="auto" w:fill="FFFFFF"/>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（五）最近两年内财务报表曾被注册会计师出具保留意见且保留意见所涉及事项的重大影响尚未消除，或被注册会计师出具否定意见或者无法表示意见的审计报告。</w:t>
      </w:r>
    </w:p>
    <w:p>
      <w:pPr>
        <w:widowControl/>
        <w:shd w:val="clear" w:color="auto" w:fill="FFFFFF"/>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（六）因严重违法失信行为，被有权部门认定为失信被执行人、失信生产经营单位或者其他失信单位，并被暂停或限制发行公司债券。</w:t>
      </w:r>
    </w:p>
    <w:p>
      <w:pPr>
        <w:widowControl/>
        <w:shd w:val="clear" w:color="auto" w:fill="FFFFFF"/>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（七）擅自改变前次发行公司债券募集资金的用途或违反前次公司债券申请文件中所作出的承诺，尚未完成整改的。</w:t>
      </w:r>
    </w:p>
    <w:p>
      <w:pPr>
        <w:widowControl/>
        <w:shd w:val="clear" w:color="auto" w:fill="FFFFFF"/>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（八）本次发行募集资金用途违反相关法律法规或募集资金投向不符合国家产业政策。</w:t>
      </w:r>
    </w:p>
    <w:p>
      <w:pPr>
        <w:widowControl/>
        <w:shd w:val="clear" w:color="auto" w:fill="FFFFFF"/>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（九）除金融类企业外，本次发行债券募集资金用途为持有以交易为目的的金融资产、委托理财等财务性投资，或本次发行债券募集资金用途为直接或间接投资于以买卖有价证券为主要业务的公司。</w:t>
      </w:r>
    </w:p>
    <w:p>
      <w:pPr>
        <w:widowControl/>
        <w:shd w:val="clear" w:color="auto" w:fill="FFFFFF"/>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（十）本次发行不符合地方政府债务管理规定或者本次发行新增地方政府债务的。</w:t>
      </w:r>
    </w:p>
    <w:p>
      <w:pPr>
        <w:widowControl/>
        <w:shd w:val="clear" w:color="auto" w:fill="FFFFFF"/>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（十一）本次发行文件存在虚假记载、误导性陈述或重大遗漏。</w:t>
      </w:r>
    </w:p>
    <w:p>
      <w:pPr>
        <w:widowControl/>
        <w:shd w:val="clear" w:color="auto" w:fill="FFFFFF"/>
        <w:ind w:firstLine="640" w:firstLineChars="200"/>
        <w:rPr>
          <w:rFonts w:ascii="仿宋_GB2312" w:hAnsi="宋体" w:eastAsia="仿宋_GB2312" w:cs="宋体"/>
          <w:color w:val="000000"/>
          <w:kern w:val="0"/>
          <w:sz w:val="32"/>
          <w:szCs w:val="32"/>
        </w:rPr>
      </w:pPr>
      <w:r>
        <w:rPr>
          <w:rFonts w:hint="eastAsia" w:ascii="Times New Roman" w:hAnsi="Times New Roman" w:eastAsia="仿宋_GB2312"/>
          <w:sz w:val="32"/>
          <w:szCs w:val="32"/>
        </w:rPr>
        <w:t>（十二）存在</w:t>
      </w:r>
      <w:bookmarkStart w:id="5" w:name="_Hlk104209217"/>
      <w:r>
        <w:rPr>
          <w:rFonts w:hint="eastAsia" w:ascii="仿宋_GB2312" w:hAnsi="宋体" w:eastAsia="仿宋_GB2312" w:cs="宋体"/>
          <w:color w:val="000000"/>
          <w:kern w:val="0"/>
          <w:sz w:val="32"/>
          <w:szCs w:val="32"/>
        </w:rPr>
        <w:t>严重损害投资者合法权益和社会公共利益</w:t>
      </w:r>
      <w:bookmarkEnd w:id="5"/>
      <w:r>
        <w:rPr>
          <w:rFonts w:hint="eastAsia" w:ascii="仿宋_GB2312" w:hAnsi="宋体" w:eastAsia="仿宋_GB2312" w:cs="宋体"/>
          <w:color w:val="000000"/>
          <w:kern w:val="0"/>
          <w:sz w:val="32"/>
          <w:szCs w:val="32"/>
        </w:rPr>
        <w:t>情形。</w:t>
      </w:r>
    </w:p>
    <w:p>
      <w:pPr>
        <w:widowControl/>
        <w:shd w:val="clear" w:color="auto" w:fill="FFFFFF"/>
        <w:ind w:firstLine="643" w:firstLineChars="200"/>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二、以下特殊行业或类型的发行人</w:t>
      </w:r>
    </w:p>
    <w:p>
      <w:pPr>
        <w:widowControl/>
        <w:shd w:val="clear" w:color="auto" w:fill="FFFFFF"/>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（十三）主管部门认定的存在“闲置土地”“炒地”“捂盘惜售”“哄抬房价”等违法违规行为的房地产公司。</w:t>
      </w:r>
    </w:p>
    <w:p>
      <w:pPr>
        <w:widowControl/>
        <w:shd w:val="clear" w:color="auto" w:fill="FFFFFF"/>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（十四）典当行。</w:t>
      </w:r>
    </w:p>
    <w:p>
      <w:pPr>
        <w:widowControl/>
        <w:shd w:val="clear" w:color="auto" w:fill="FFFFFF"/>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（十五）未能同时满足以下条件的担保公司：</w:t>
      </w:r>
    </w:p>
    <w:p>
      <w:pPr>
        <w:widowControl/>
        <w:shd w:val="clear" w:color="auto" w:fill="FFFFFF"/>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（1）经营融资担保业务满3年；</w:t>
      </w:r>
      <w:r>
        <w:rPr>
          <w:rFonts w:ascii="仿宋_GB2312" w:hAnsi="宋体" w:eastAsia="仿宋_GB2312" w:cs="宋体"/>
          <w:color w:val="000000"/>
          <w:kern w:val="0"/>
          <w:sz w:val="32"/>
          <w:szCs w:val="32"/>
        </w:rPr>
        <w:t xml:space="preserve"> </w:t>
      </w:r>
    </w:p>
    <w:p>
      <w:pPr>
        <w:widowControl/>
        <w:shd w:val="clear" w:color="auto" w:fill="FFFFFF"/>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（2）注册资本不低于人民币6亿元；</w:t>
      </w:r>
      <w:r>
        <w:rPr>
          <w:rFonts w:ascii="仿宋_GB2312" w:hAnsi="宋体" w:eastAsia="仿宋_GB2312" w:cs="宋体"/>
          <w:color w:val="000000"/>
          <w:kern w:val="0"/>
          <w:sz w:val="32"/>
          <w:szCs w:val="32"/>
        </w:rPr>
        <w:t xml:space="preserve"> </w:t>
      </w:r>
    </w:p>
    <w:p>
      <w:pPr>
        <w:widowControl/>
        <w:shd w:val="clear" w:color="auto" w:fill="FFFFFF"/>
        <w:ind w:firstLine="640" w:firstLineChars="200"/>
        <w:rPr>
          <w:rFonts w:ascii="仿宋_GB2312" w:hAnsi="宋体" w:eastAsia="仿宋_GB2312" w:cs="宋体"/>
          <w:color w:val="000000"/>
          <w:kern w:val="0"/>
          <w:sz w:val="32"/>
          <w:szCs w:val="32"/>
        </w:rPr>
      </w:pPr>
      <w:r>
        <w:rPr>
          <w:rFonts w:hint="eastAsia" w:ascii="仿宋_GB2312" w:hAnsi="宋体" w:eastAsia="仿宋_GB2312" w:cs="宋体"/>
          <w:kern w:val="0"/>
          <w:sz w:val="32"/>
          <w:szCs w:val="32"/>
        </w:rPr>
        <w:t>（3）近三年无重大违法违规行为；</w:t>
      </w:r>
      <w:r>
        <w:rPr>
          <w:rFonts w:hint="eastAsia" w:ascii="仿宋_GB2312" w:hAnsi="宋体" w:eastAsia="仿宋_GB2312" w:cs="宋体"/>
          <w:color w:val="000000"/>
          <w:kern w:val="0"/>
          <w:sz w:val="32"/>
          <w:szCs w:val="32"/>
        </w:rPr>
        <w:t xml:space="preserve"> </w:t>
      </w:r>
    </w:p>
    <w:p>
      <w:pPr>
        <w:widowControl/>
        <w:shd w:val="clear" w:color="auto" w:fill="FFFFFF"/>
        <w:ind w:firstLine="640" w:firstLineChars="200"/>
        <w:rPr>
          <w:rFonts w:ascii="仿宋_GB2312" w:hAnsi="宋体" w:eastAsia="仿宋_GB2312" w:cs="宋体"/>
          <w:color w:val="000000"/>
          <w:kern w:val="0"/>
          <w:sz w:val="32"/>
          <w:szCs w:val="32"/>
        </w:rPr>
      </w:pPr>
      <w:r>
        <w:rPr>
          <w:rFonts w:hint="eastAsia" w:ascii="仿宋_GB2312" w:hAnsi="宋体" w:eastAsia="仿宋_GB2312" w:cs="宋体"/>
          <w:kern w:val="0"/>
          <w:sz w:val="32"/>
          <w:szCs w:val="32"/>
        </w:rPr>
        <w:t>（4）担保责任余额符合融资担保公司相关管理规定。</w:t>
      </w:r>
    </w:p>
    <w:p>
      <w:pPr>
        <w:widowControl/>
        <w:shd w:val="clear" w:color="auto" w:fill="FFFFFF"/>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（十六）未能同时满足以下条件的小额贷款公司：</w:t>
      </w:r>
    </w:p>
    <w:p>
      <w:pPr>
        <w:widowControl/>
        <w:shd w:val="clear" w:color="auto" w:fill="FFFFFF"/>
        <w:ind w:firstLine="640" w:firstLineChars="200"/>
        <w:rPr>
          <w:rFonts w:ascii="仿宋_GB2312" w:hAnsi="宋体" w:eastAsia="仿宋_GB2312" w:cs="宋体"/>
          <w:color w:val="000000"/>
          <w:kern w:val="0"/>
          <w:sz w:val="32"/>
          <w:szCs w:val="32"/>
        </w:rPr>
      </w:pPr>
      <w:r>
        <w:rPr>
          <w:rFonts w:hint="eastAsia" w:ascii="仿宋_GB2312" w:hAnsi="宋体" w:eastAsia="仿宋_GB2312" w:cs="宋体"/>
          <w:kern w:val="0"/>
          <w:sz w:val="32"/>
          <w:szCs w:val="32"/>
        </w:rPr>
        <w:t>（1）经省级主管机关批准设立或备案，且成立时间满2年；</w:t>
      </w:r>
      <w:r>
        <w:rPr>
          <w:rFonts w:ascii="仿宋_GB2312" w:hAnsi="宋体" w:eastAsia="仿宋_GB2312" w:cs="宋体"/>
          <w:color w:val="000000"/>
          <w:kern w:val="0"/>
          <w:sz w:val="32"/>
          <w:szCs w:val="32"/>
        </w:rPr>
        <w:t xml:space="preserve"> </w:t>
      </w:r>
    </w:p>
    <w:p>
      <w:pPr>
        <w:ind w:firstLine="640" w:firstLineChars="200"/>
        <w:rPr>
          <w:sz w:val="32"/>
          <w:szCs w:val="32"/>
        </w:rPr>
      </w:pPr>
      <w:r>
        <w:rPr>
          <w:rFonts w:hint="eastAsia" w:ascii="仿宋_GB2312" w:hAnsi="宋体" w:eastAsia="仿宋_GB2312" w:cs="宋体"/>
          <w:kern w:val="0"/>
          <w:sz w:val="32"/>
          <w:szCs w:val="32"/>
        </w:rPr>
        <w:t>（2）省级监管评级或考核评级最近两年连续达到最高等级。</w:t>
      </w:r>
      <w:bookmarkEnd w:id="1"/>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YyMzRmNDNlNmUwYjRmNmQzMDE4ZTRiMDVkMDg5NDcifQ=="/>
  </w:docVars>
  <w:rsids>
    <w:rsidRoot w:val="00233E86"/>
    <w:rsid w:val="00011FA6"/>
    <w:rsid w:val="00233E86"/>
    <w:rsid w:val="0040587B"/>
    <w:rsid w:val="00472CF9"/>
    <w:rsid w:val="00591B1D"/>
    <w:rsid w:val="00594220"/>
    <w:rsid w:val="005B49D9"/>
    <w:rsid w:val="005F2156"/>
    <w:rsid w:val="0065090D"/>
    <w:rsid w:val="007B05A3"/>
    <w:rsid w:val="0084151F"/>
    <w:rsid w:val="0086293F"/>
    <w:rsid w:val="008B1A92"/>
    <w:rsid w:val="008B65BB"/>
    <w:rsid w:val="008E0C78"/>
    <w:rsid w:val="009658E4"/>
    <w:rsid w:val="009C03F0"/>
    <w:rsid w:val="00A73DB9"/>
    <w:rsid w:val="00B276B2"/>
    <w:rsid w:val="00B3014D"/>
    <w:rsid w:val="00BC64DF"/>
    <w:rsid w:val="00C8322B"/>
    <w:rsid w:val="00D15004"/>
    <w:rsid w:val="00D53144"/>
    <w:rsid w:val="00E84BAB"/>
    <w:rsid w:val="00EA3C93"/>
    <w:rsid w:val="00F549BD"/>
    <w:rsid w:val="00FB153E"/>
    <w:rsid w:val="33776FBB"/>
    <w:rsid w:val="376A62FC"/>
    <w:rsid w:val="52E46131"/>
    <w:rsid w:val="D7DEB912"/>
    <w:rsid w:val="EBFF1766"/>
    <w:rsid w:val="F6F6A82C"/>
    <w:rsid w:val="FFDF8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9"/>
    <w:pPr>
      <w:keepNext/>
      <w:keepLines/>
      <w:ind w:firstLine="641" w:firstLineChars="200"/>
      <w:jc w:val="center"/>
      <w:outlineLvl w:val="0"/>
    </w:pPr>
    <w:rPr>
      <w:rFonts w:ascii="华文中宋" w:hAnsi="华文中宋" w:eastAsia="华文中宋"/>
      <w:b/>
      <w:bCs/>
      <w:kern w:val="44"/>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0"/>
    <w:qFormat/>
    <w:uiPriority w:val="0"/>
    <w:pPr>
      <w:jc w:val="left"/>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字符"/>
    <w:basedOn w:val="8"/>
    <w:link w:val="2"/>
    <w:qFormat/>
    <w:uiPriority w:val="9"/>
    <w:rPr>
      <w:rFonts w:ascii="华文中宋" w:hAnsi="华文中宋" w:eastAsia="华文中宋" w:cs="Times New Roman"/>
      <w:b/>
      <w:bCs/>
      <w:kern w:val="44"/>
      <w:sz w:val="32"/>
      <w:szCs w:val="32"/>
    </w:rPr>
  </w:style>
  <w:style w:type="character" w:customStyle="1" w:styleId="10">
    <w:name w:val="批注文字 字符"/>
    <w:basedOn w:val="8"/>
    <w:link w:val="3"/>
    <w:qFormat/>
    <w:uiPriority w:val="0"/>
    <w:rPr>
      <w:rFonts w:ascii="Calibri" w:hAnsi="Calibri" w:eastAsia="宋体" w:cs="Times New Roman"/>
      <w:szCs w:val="24"/>
    </w:rPr>
  </w:style>
  <w:style w:type="character" w:customStyle="1" w:styleId="11">
    <w:name w:val="页脚 字符"/>
    <w:basedOn w:val="8"/>
    <w:link w:val="5"/>
    <w:qFormat/>
    <w:uiPriority w:val="99"/>
    <w:rPr>
      <w:rFonts w:ascii="Calibri" w:hAnsi="Calibri" w:eastAsia="宋体" w:cs="Times New Roman"/>
      <w:sz w:val="18"/>
      <w:szCs w:val="18"/>
    </w:rPr>
  </w:style>
  <w:style w:type="character" w:customStyle="1" w:styleId="12">
    <w:name w:val="批注框文本 字符"/>
    <w:basedOn w:val="8"/>
    <w:link w:val="4"/>
    <w:semiHidden/>
    <w:qFormat/>
    <w:uiPriority w:val="99"/>
    <w:rPr>
      <w:rFonts w:ascii="Calibri" w:hAnsi="Calibri" w:eastAsia="宋体" w:cs="Times New Roman"/>
      <w:sz w:val="18"/>
      <w:szCs w:val="18"/>
    </w:rPr>
  </w:style>
  <w:style w:type="character" w:customStyle="1" w:styleId="13">
    <w:name w:val="页眉 字符"/>
    <w:basedOn w:val="8"/>
    <w:link w:val="6"/>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ITianKong.Com</Company>
  <Pages>4</Pages>
  <Words>1314</Words>
  <Characters>1321</Characters>
  <Lines>9</Lines>
  <Paragraphs>2</Paragraphs>
  <TotalTime>139</TotalTime>
  <ScaleCrop>false</ScaleCrop>
  <LinksUpToDate>false</LinksUpToDate>
  <CharactersWithSpaces>1339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2022-07-13T10:42:00Z</dcterms:created>
  <dc:creator>周洁</dc:creator>
  <cp:lastModifiedBy> </cp:lastModifiedBy>
  <dcterms:modified xsi:type="dcterms:W3CDTF">2022-12-09T02:02:04Z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39F7278DB2EA42C8BD36781B3CB8B73A</vt:lpwstr>
  </property>
</Properties>
</file>