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DE2" w:rsidRDefault="007A6A76">
      <w:pPr>
        <w:widowControl/>
        <w:shd w:val="clear" w:color="auto" w:fill="FFFFFF"/>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公司债券承销业务规范</w:t>
      </w:r>
    </w:p>
    <w:p w:rsidR="005E3DE2" w:rsidRDefault="007A6A76">
      <w:pPr>
        <w:widowControl/>
        <w:shd w:val="clear" w:color="auto" w:fill="FFFFFF"/>
        <w:jc w:val="center"/>
        <w:rPr>
          <w:rFonts w:ascii="仿宋_GB2312" w:eastAsia="仿宋_GB2312" w:hAnsi="华文中宋"/>
          <w:sz w:val="32"/>
          <w:szCs w:val="32"/>
        </w:rPr>
      </w:pPr>
      <w:r>
        <w:rPr>
          <w:rFonts w:ascii="仿宋_GB2312" w:eastAsia="仿宋_GB2312" w:hAnsi="华文中宋" w:hint="eastAsia"/>
          <w:sz w:val="32"/>
          <w:szCs w:val="32"/>
        </w:rPr>
        <w:t>（</w:t>
      </w:r>
      <w:r>
        <w:rPr>
          <w:rFonts w:ascii="仿宋_GB2312" w:eastAsia="仿宋_GB2312" w:hAnsi="华文中宋" w:hint="eastAsia"/>
          <w:sz w:val="32"/>
          <w:szCs w:val="32"/>
        </w:rPr>
        <w:t>2022</w:t>
      </w:r>
      <w:r>
        <w:rPr>
          <w:rFonts w:ascii="仿宋_GB2312" w:eastAsia="仿宋_GB2312" w:hAnsi="华文中宋" w:hint="eastAsia"/>
          <w:sz w:val="32"/>
          <w:szCs w:val="32"/>
        </w:rPr>
        <w:t>年</w:t>
      </w:r>
      <w:r>
        <w:rPr>
          <w:rFonts w:ascii="仿宋_GB2312" w:eastAsia="仿宋_GB2312" w:hAnsi="华文中宋" w:hint="eastAsia"/>
          <w:sz w:val="32"/>
          <w:szCs w:val="32"/>
        </w:rPr>
        <w:t>修订</w:t>
      </w:r>
      <w:r>
        <w:rPr>
          <w:rFonts w:ascii="仿宋_GB2312" w:eastAsia="仿宋_GB2312" w:hAnsi="华文中宋" w:hint="eastAsia"/>
          <w:sz w:val="32"/>
          <w:szCs w:val="32"/>
        </w:rPr>
        <w:t>）</w:t>
      </w:r>
    </w:p>
    <w:p w:rsidR="005E3DE2" w:rsidRDefault="005E3DE2">
      <w:pPr>
        <w:widowControl/>
        <w:shd w:val="clear" w:color="auto" w:fill="FFFFFF"/>
        <w:rPr>
          <w:rFonts w:ascii="仿宋_GB2312" w:eastAsia="仿宋_GB2312" w:hAnsi="宋体" w:cs="宋体"/>
          <w:color w:val="000000"/>
          <w:kern w:val="0"/>
          <w:sz w:val="32"/>
          <w:szCs w:val="32"/>
        </w:rPr>
      </w:pPr>
    </w:p>
    <w:p w:rsidR="005E3DE2" w:rsidRDefault="007A6A76">
      <w:pPr>
        <w:pStyle w:val="1"/>
      </w:pPr>
      <w:r>
        <w:rPr>
          <w:rFonts w:hint="eastAsia"/>
        </w:rPr>
        <w:t>第一章</w:t>
      </w:r>
      <w:r>
        <w:rPr>
          <w:rFonts w:hint="eastAsia"/>
        </w:rPr>
        <w:t xml:space="preserve"> </w:t>
      </w:r>
      <w:r>
        <w:rPr>
          <w:rFonts w:hint="eastAsia"/>
        </w:rPr>
        <w:t>总则</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第一条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为规范承销机构承销公司债券行为，保护投资者合法权益，促进公司债券市场健康发展，根据</w:t>
      </w:r>
      <w:r>
        <w:rPr>
          <w:rFonts w:ascii="仿宋_GB2312" w:eastAsia="仿宋_GB2312" w:hAnsi="宋体" w:cs="宋体" w:hint="eastAsia"/>
          <w:color w:val="000000"/>
          <w:kern w:val="0"/>
          <w:sz w:val="32"/>
          <w:szCs w:val="32"/>
        </w:rPr>
        <w:t>《中华人民共和国证券法》</w:t>
      </w:r>
      <w:r>
        <w:rPr>
          <w:rFonts w:ascii="仿宋_GB2312" w:eastAsia="仿宋_GB2312" w:hAnsi="宋体" w:cs="宋体" w:hint="eastAsia"/>
          <w:color w:val="000000"/>
          <w:kern w:val="0"/>
          <w:sz w:val="32"/>
          <w:szCs w:val="32"/>
        </w:rPr>
        <w:t>《公司债券发行与交易管理办法》</w:t>
      </w:r>
      <w:r>
        <w:rPr>
          <w:rFonts w:ascii="仿宋_GB2312" w:eastAsia="仿宋_GB2312" w:hAnsi="宋体" w:cs="宋体" w:hint="eastAsia"/>
          <w:color w:val="000000"/>
          <w:kern w:val="0"/>
          <w:sz w:val="32"/>
          <w:szCs w:val="32"/>
        </w:rPr>
        <w:t>等相关法律法规、部门规章</w:t>
      </w:r>
      <w:r>
        <w:rPr>
          <w:rFonts w:ascii="仿宋_GB2312" w:eastAsia="仿宋_GB2312" w:hAnsi="宋体" w:cs="宋体" w:hint="eastAsia"/>
          <w:color w:val="000000"/>
          <w:kern w:val="0"/>
          <w:sz w:val="32"/>
          <w:szCs w:val="32"/>
        </w:rPr>
        <w:t>，制定本规范。</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第二条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承销机构承销境内公司债券时，项目承接、发行申请、推介、定价、配售和信息披露等业务活动适用本规范。公司债券发行结束后，由受托管理人按照相关规定持续履行受托管理职责。</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第三条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中国证券业协会（以下简称协会）对承销机构承销公司债券业务行为实施自律管理。</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第四条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承销机构应当建立健全承销业务制度和决策机制，制定风险管理和内部控制制度，加强定价和配售等过程管理，有效控制业务风险。</w:t>
      </w:r>
    </w:p>
    <w:p w:rsidR="005E3DE2" w:rsidRDefault="005E3DE2">
      <w:pPr>
        <w:widowControl/>
        <w:shd w:val="clear" w:color="auto" w:fill="FFFFFF"/>
        <w:ind w:firstLineChars="200" w:firstLine="640"/>
        <w:rPr>
          <w:rFonts w:ascii="仿宋_GB2312" w:eastAsia="仿宋_GB2312" w:hAnsi="宋体" w:cs="宋体"/>
          <w:color w:val="000000"/>
          <w:kern w:val="0"/>
          <w:sz w:val="32"/>
          <w:szCs w:val="32"/>
        </w:rPr>
      </w:pPr>
    </w:p>
    <w:p w:rsidR="005E3DE2" w:rsidRDefault="007A6A76">
      <w:pPr>
        <w:pStyle w:val="1"/>
      </w:pPr>
      <w:r>
        <w:rPr>
          <w:rFonts w:hint="eastAsia"/>
        </w:rPr>
        <w:t>第二章</w:t>
      </w:r>
      <w:r>
        <w:rPr>
          <w:rFonts w:hint="eastAsia"/>
        </w:rPr>
        <w:t xml:space="preserve"> </w:t>
      </w:r>
      <w:r>
        <w:rPr>
          <w:rFonts w:hint="eastAsia"/>
        </w:rPr>
        <w:t>承接与申请</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第五条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发行公司债券应当由具有证券承销业务资格的证券公司承销。</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取得证券承销业务资格的证券公司、中国证券金融股份有限公司非公开发行公司债券可以自行销售。</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第六条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承销机构应当遵循公平、公正、客观的原则承接项目，不得以承诺通过内部审批及通过内部审批时间、获得批文及获得批文时间等不正当手段招揽项目。</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承销机构在公司债券承销各环节均不得承诺</w:t>
      </w:r>
      <w:r>
        <w:rPr>
          <w:rFonts w:ascii="仿宋_GB2312" w:eastAsia="仿宋_GB2312" w:hAnsi="宋体" w:cs="宋体" w:hint="eastAsia"/>
          <w:color w:val="000000"/>
          <w:kern w:val="0"/>
          <w:sz w:val="32"/>
          <w:szCs w:val="32"/>
        </w:rPr>
        <w:t>发行</w:t>
      </w:r>
      <w:r>
        <w:rPr>
          <w:rFonts w:ascii="仿宋_GB2312" w:eastAsia="仿宋_GB2312" w:hAnsi="宋体" w:cs="宋体" w:hint="eastAsia"/>
          <w:color w:val="000000"/>
          <w:kern w:val="0"/>
          <w:sz w:val="32"/>
          <w:szCs w:val="32"/>
        </w:rPr>
        <w:t>价格或利率，不得将</w:t>
      </w:r>
      <w:r>
        <w:rPr>
          <w:rFonts w:ascii="仿宋_GB2312" w:eastAsia="仿宋_GB2312" w:hAnsi="宋体" w:cs="宋体" w:hint="eastAsia"/>
          <w:color w:val="000000"/>
          <w:kern w:val="0"/>
          <w:sz w:val="32"/>
          <w:szCs w:val="32"/>
        </w:rPr>
        <w:t>发行</w:t>
      </w:r>
      <w:r>
        <w:rPr>
          <w:rFonts w:ascii="仿宋_GB2312" w:eastAsia="仿宋_GB2312" w:hAnsi="宋体" w:cs="宋体" w:hint="eastAsia"/>
          <w:color w:val="000000"/>
          <w:kern w:val="0"/>
          <w:sz w:val="32"/>
          <w:szCs w:val="32"/>
        </w:rPr>
        <w:t>价</w:t>
      </w:r>
      <w:r>
        <w:rPr>
          <w:rFonts w:ascii="仿宋_GB2312" w:eastAsia="仿宋_GB2312" w:hAnsi="宋体" w:cs="宋体" w:hint="eastAsia"/>
          <w:color w:val="000000"/>
          <w:kern w:val="0"/>
          <w:sz w:val="32"/>
          <w:szCs w:val="32"/>
        </w:rPr>
        <w:t>格或利率与承销费用</w:t>
      </w:r>
      <w:r>
        <w:rPr>
          <w:rFonts w:ascii="仿宋_GB2312" w:eastAsia="仿宋_GB2312" w:hAnsi="宋体" w:cs="宋体" w:hint="eastAsia"/>
          <w:color w:val="000000"/>
          <w:kern w:val="0"/>
          <w:sz w:val="32"/>
          <w:szCs w:val="32"/>
        </w:rPr>
        <w:t>直接</w:t>
      </w:r>
      <w:r>
        <w:rPr>
          <w:rFonts w:ascii="仿宋_GB2312" w:eastAsia="仿宋_GB2312" w:hAnsi="宋体" w:cs="宋体" w:hint="eastAsia"/>
          <w:color w:val="000000"/>
          <w:kern w:val="0"/>
          <w:sz w:val="32"/>
          <w:szCs w:val="32"/>
        </w:rPr>
        <w:t>挂钩，不得承诺以包销以外的方式购买债券。</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第七条</w:t>
      </w:r>
      <w:r>
        <w:rPr>
          <w:rFonts w:ascii="仿宋_GB2312" w:eastAsia="仿宋_GB2312" w:hAnsi="宋体" w:cs="宋体" w:hint="eastAsia"/>
          <w:b/>
          <w:bCs/>
          <w:color w:val="000000"/>
          <w:kern w:val="0"/>
          <w:sz w:val="32"/>
          <w:szCs w:val="32"/>
        </w:rPr>
        <w:t xml:space="preserve"> </w:t>
      </w:r>
      <w:r>
        <w:rPr>
          <w:rFonts w:ascii="仿宋_GB2312" w:eastAsia="仿宋_GB2312" w:hAnsi="宋体" w:cs="宋体"/>
          <w:b/>
          <w:bCs/>
          <w:color w:val="000000"/>
          <w:kern w:val="0"/>
          <w:sz w:val="32"/>
          <w:szCs w:val="32"/>
        </w:rPr>
        <w:t xml:space="preserve"> </w:t>
      </w:r>
      <w:r>
        <w:rPr>
          <w:rFonts w:ascii="仿宋_GB2312" w:eastAsia="仿宋_GB2312" w:hAnsi="宋体" w:cs="宋体" w:hint="eastAsia"/>
          <w:color w:val="000000"/>
          <w:kern w:val="0"/>
          <w:sz w:val="32"/>
          <w:szCs w:val="32"/>
        </w:rPr>
        <w:t>确定承销费用时，承销机</w:t>
      </w:r>
      <w:r w:rsidR="00A5299F">
        <w:rPr>
          <w:rFonts w:ascii="仿宋_GB2312" w:eastAsia="仿宋_GB2312" w:hAnsi="宋体" w:cs="宋体" w:hint="eastAsia"/>
          <w:color w:val="000000"/>
          <w:kern w:val="0"/>
          <w:sz w:val="32"/>
          <w:szCs w:val="32"/>
        </w:rPr>
        <w:t>构应当综合评估项目执行成本与风险责任，严格执行公司债券承销报价</w:t>
      </w:r>
      <w:r>
        <w:rPr>
          <w:rFonts w:ascii="仿宋_GB2312" w:eastAsia="仿宋_GB2312" w:hAnsi="宋体" w:cs="宋体" w:hint="eastAsia"/>
          <w:color w:val="000000"/>
          <w:kern w:val="0"/>
          <w:sz w:val="32"/>
          <w:szCs w:val="32"/>
        </w:rPr>
        <w:t>内部约束制度，加强承销报价内部管理，不得以明显低于行业定价水平等不正当竞争方式招揽业务。</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主承销商应当在公司债券发行完成后</w:t>
      </w:r>
      <w:r>
        <w:rPr>
          <w:rFonts w:ascii="仿宋_GB2312" w:eastAsia="仿宋_GB2312" w:hAnsi="宋体" w:cs="宋体"/>
          <w:color w:val="000000"/>
          <w:kern w:val="0"/>
          <w:sz w:val="32"/>
          <w:szCs w:val="32"/>
        </w:rPr>
        <w:t>10</w:t>
      </w:r>
      <w:r>
        <w:rPr>
          <w:rFonts w:ascii="仿宋_GB2312" w:eastAsia="仿宋_GB2312" w:hAnsi="宋体" w:cs="宋体"/>
          <w:color w:val="000000"/>
          <w:kern w:val="0"/>
          <w:sz w:val="32"/>
          <w:szCs w:val="32"/>
        </w:rPr>
        <w:t>个工作日内将当期债券的承销收费情况通过</w:t>
      </w:r>
      <w:r>
        <w:rPr>
          <w:rFonts w:ascii="仿宋_GB2312" w:eastAsia="仿宋_GB2312" w:hAnsi="宋体" w:cs="宋体" w:hint="eastAsia"/>
          <w:color w:val="000000"/>
          <w:kern w:val="0"/>
          <w:sz w:val="32"/>
          <w:szCs w:val="32"/>
        </w:rPr>
        <w:t>会员信息系统</w:t>
      </w:r>
      <w:r>
        <w:rPr>
          <w:rFonts w:ascii="仿宋_GB2312" w:eastAsia="仿宋_GB2312" w:hAnsi="宋体" w:cs="宋体"/>
          <w:color w:val="000000"/>
          <w:kern w:val="0"/>
          <w:sz w:val="32"/>
          <w:szCs w:val="32"/>
        </w:rPr>
        <w:t>报送协会</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受托管理人应</w:t>
      </w:r>
      <w:r>
        <w:rPr>
          <w:rFonts w:ascii="仿宋_GB2312" w:eastAsia="仿宋_GB2312" w:hAnsi="宋体" w:cs="宋体" w:hint="eastAsia"/>
          <w:color w:val="000000"/>
          <w:kern w:val="0"/>
          <w:sz w:val="32"/>
          <w:szCs w:val="32"/>
        </w:rPr>
        <w:t>当</w:t>
      </w:r>
      <w:r>
        <w:rPr>
          <w:rFonts w:ascii="仿宋_GB2312" w:eastAsia="仿宋_GB2312" w:hAnsi="宋体" w:cs="宋体"/>
          <w:color w:val="000000"/>
          <w:kern w:val="0"/>
          <w:sz w:val="32"/>
          <w:szCs w:val="32"/>
        </w:rPr>
        <w:t>同时报送受托管理收费情况。</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第八条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主承销商应当与发行人签订承销协议，</w:t>
      </w:r>
      <w:r>
        <w:rPr>
          <w:rFonts w:ascii="仿宋_GB2312" w:eastAsia="仿宋_GB2312" w:hAnsi="宋体" w:cs="宋体" w:hint="eastAsia"/>
          <w:color w:val="000000"/>
          <w:kern w:val="0"/>
          <w:sz w:val="32"/>
          <w:szCs w:val="32"/>
        </w:rPr>
        <w:t>在</w:t>
      </w:r>
      <w:r w:rsidR="000C3BC7">
        <w:rPr>
          <w:rFonts w:ascii="仿宋_GB2312" w:eastAsia="仿宋_GB2312" w:hAnsi="宋体" w:cs="宋体" w:hint="eastAsia"/>
          <w:color w:val="000000"/>
          <w:kern w:val="0"/>
          <w:sz w:val="32"/>
          <w:szCs w:val="32"/>
        </w:rPr>
        <w:t>承销协议中</w:t>
      </w:r>
      <w:r>
        <w:rPr>
          <w:rFonts w:ascii="仿宋_GB2312" w:eastAsia="仿宋_GB2312" w:hAnsi="宋体" w:cs="宋体" w:hint="eastAsia"/>
          <w:color w:val="000000"/>
          <w:kern w:val="0"/>
          <w:sz w:val="32"/>
          <w:szCs w:val="32"/>
        </w:rPr>
        <w:t>界定双方的权利义务关系，约定明确的承销基数。采用包销方式的，应当明确包销责任。</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组成承销团的承销机构应当签订承销团协议，由主承销商负责组织承销工作。公司债券发行由两家以上承销机构联合主承销的，所有担任主承销商的承销机构应当共同承担主</w:t>
      </w:r>
      <w:r>
        <w:rPr>
          <w:rFonts w:ascii="仿宋_GB2312" w:eastAsia="仿宋_GB2312" w:hAnsi="宋体" w:cs="宋体" w:hint="eastAsia"/>
          <w:color w:val="000000"/>
          <w:kern w:val="0"/>
          <w:sz w:val="32"/>
          <w:szCs w:val="32"/>
        </w:rPr>
        <w:lastRenderedPageBreak/>
        <w:t>承销责任，履行相关义务。承销团由三家以上承销机构组成的，可以设副主承销商，协助主承销商组织承销活动。</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承销团成员应当按照承销团协议及承销协议的约定进行承销活动，不得进行虚假承销。</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第九条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承销机构应当协助发行人协调会计师事务所、律师事务所、资信评级机构（如有）等中</w:t>
      </w:r>
      <w:r>
        <w:rPr>
          <w:rFonts w:ascii="仿宋_GB2312" w:eastAsia="仿宋_GB2312" w:hAnsi="宋体" w:cs="宋体" w:hint="eastAsia"/>
          <w:color w:val="000000"/>
          <w:kern w:val="0"/>
          <w:sz w:val="32"/>
          <w:szCs w:val="32"/>
        </w:rPr>
        <w:t>介机构的相关工作。承销机构不得干涉发行人选取相关中介机构</w:t>
      </w:r>
      <w:r>
        <w:rPr>
          <w:rFonts w:ascii="仿宋_GB2312" w:eastAsia="仿宋_GB2312" w:hAnsi="宋体" w:cs="宋体" w:hint="eastAsia"/>
          <w:color w:val="000000"/>
          <w:kern w:val="0"/>
          <w:sz w:val="32"/>
          <w:szCs w:val="32"/>
        </w:rPr>
        <w:t>。但承销</w:t>
      </w:r>
      <w:r>
        <w:rPr>
          <w:rFonts w:ascii="仿宋_GB2312" w:eastAsia="仿宋_GB2312" w:hAnsi="宋体" w:cs="宋体" w:hint="eastAsia"/>
          <w:color w:val="000000"/>
          <w:kern w:val="0"/>
          <w:sz w:val="32"/>
          <w:szCs w:val="32"/>
        </w:rPr>
        <w:t>机构有充分证据证明证券服务机构及其签字人员不能胜任相关工作</w:t>
      </w:r>
      <w:r>
        <w:rPr>
          <w:rFonts w:ascii="仿宋_GB2312" w:eastAsia="仿宋_GB2312" w:hAnsi="宋体" w:cs="宋体" w:hint="eastAsia"/>
          <w:color w:val="000000"/>
          <w:kern w:val="0"/>
          <w:sz w:val="32"/>
          <w:szCs w:val="32"/>
        </w:rPr>
        <w:t>的</w:t>
      </w:r>
      <w:r>
        <w:rPr>
          <w:rFonts w:ascii="仿宋_GB2312" w:eastAsia="仿宋_GB2312" w:hAnsi="宋体" w:cs="宋体" w:hint="eastAsia"/>
          <w:color w:val="000000"/>
          <w:kern w:val="0"/>
          <w:sz w:val="32"/>
          <w:szCs w:val="32"/>
        </w:rPr>
        <w:t>，可以向发行人提议更换</w:t>
      </w:r>
      <w:r>
        <w:rPr>
          <w:rFonts w:ascii="仿宋_GB2312" w:eastAsia="仿宋_GB2312" w:hAnsi="宋体" w:cs="宋体" w:hint="eastAsia"/>
          <w:color w:val="000000"/>
          <w:kern w:val="0"/>
          <w:sz w:val="32"/>
          <w:szCs w:val="32"/>
        </w:rPr>
        <w:t>。</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第十条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主承销商应当依据相关规定开展尽职调查工作。</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第十一条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主承销商应当向发行人进行有关债券市场的法律法规、基础知识培训</w:t>
      </w:r>
      <w:r w:rsidR="000C3BC7">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使其掌握公司债券申报发行等方面的法律法规和规则，知悉信息披露和履行承诺等方面的责任和义务，树立进入债券市场的法制意识、诚信意识和自律意识。</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第十二条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主承销商应当依据相关法律法规和规则，协助发行人开展发行申请，做好备案等工作。</w:t>
      </w:r>
    </w:p>
    <w:p w:rsidR="005E3DE2" w:rsidRDefault="007A6A76">
      <w:pPr>
        <w:widowControl/>
        <w:shd w:val="clear" w:color="auto" w:fill="FFFFFF"/>
        <w:ind w:firstLineChars="200" w:firstLine="643"/>
        <w:rPr>
          <w:rFonts w:ascii="仿宋_GB2312" w:eastAsia="仿宋_GB2312"/>
          <w:sz w:val="32"/>
          <w:szCs w:val="32"/>
        </w:rPr>
      </w:pPr>
      <w:r>
        <w:rPr>
          <w:rFonts w:ascii="仿宋_GB2312" w:eastAsia="仿宋_GB2312" w:hAnsi="宋体" w:cs="宋体" w:hint="eastAsia"/>
          <w:b/>
          <w:bCs/>
          <w:color w:val="000000"/>
          <w:kern w:val="0"/>
          <w:sz w:val="32"/>
          <w:szCs w:val="32"/>
        </w:rPr>
        <w:t>第十三条</w:t>
      </w:r>
      <w:r>
        <w:rPr>
          <w:rFonts w:ascii="仿宋_GB2312" w:eastAsia="仿宋_GB2312" w:hAnsi="Times New Roman" w:cs="Times New Roman" w:hint="eastAsia"/>
          <w:b/>
          <w:bCs/>
          <w:color w:val="000000"/>
          <w:kern w:val="0"/>
          <w:sz w:val="32"/>
          <w:szCs w:val="32"/>
        </w:rPr>
        <w:t xml:space="preserve">  </w:t>
      </w:r>
      <w:r>
        <w:rPr>
          <w:rFonts w:ascii="仿宋_GB2312" w:eastAsia="仿宋_GB2312" w:hint="eastAsia"/>
          <w:sz w:val="32"/>
          <w:szCs w:val="32"/>
        </w:rPr>
        <w:t>主承销商应当按照合理性、必要性和重要性原则，对公司债券发行文件的真实性、准确性和完整性进行审慎核查，对与本专业相关的业务事项履行特别注意义务，对其他业务事项履行普通注意义务。</w:t>
      </w:r>
    </w:p>
    <w:p w:rsidR="005E3DE2" w:rsidRDefault="007A6A76">
      <w:pPr>
        <w:widowControl/>
        <w:shd w:val="clear" w:color="auto" w:fill="FFFFFF"/>
        <w:ind w:firstLineChars="200" w:firstLine="640"/>
        <w:rPr>
          <w:rFonts w:ascii="仿宋_GB2312" w:eastAsia="仿宋_GB2312"/>
          <w:sz w:val="32"/>
          <w:szCs w:val="32"/>
        </w:rPr>
      </w:pPr>
      <w:r>
        <w:rPr>
          <w:rFonts w:ascii="仿宋_GB2312" w:eastAsia="仿宋_GB2312" w:hint="eastAsia"/>
          <w:sz w:val="32"/>
          <w:szCs w:val="32"/>
        </w:rPr>
        <w:lastRenderedPageBreak/>
        <w:t>对公司债券发行文件中</w:t>
      </w:r>
      <w:r>
        <w:rPr>
          <w:rFonts w:ascii="仿宋_GB2312" w:eastAsia="仿宋_GB2312" w:hint="eastAsia"/>
          <w:sz w:val="32"/>
          <w:szCs w:val="32"/>
        </w:rPr>
        <w:t>包含或引用</w:t>
      </w:r>
      <w:r>
        <w:rPr>
          <w:rFonts w:ascii="仿宋_GB2312" w:eastAsia="仿宋_GB2312" w:hint="eastAsia"/>
          <w:sz w:val="32"/>
          <w:szCs w:val="32"/>
        </w:rPr>
        <w:t>证券服务机构出具专业意见的内容，</w:t>
      </w:r>
      <w:r>
        <w:rPr>
          <w:rFonts w:ascii="仿宋_GB2312" w:eastAsia="仿宋_GB2312" w:hint="eastAsia"/>
          <w:sz w:val="32"/>
          <w:szCs w:val="32"/>
        </w:rPr>
        <w:t>原则上</w:t>
      </w:r>
      <w:r>
        <w:rPr>
          <w:rFonts w:ascii="仿宋_GB2312" w:eastAsia="仿宋_GB2312" w:hint="eastAsia"/>
          <w:sz w:val="32"/>
          <w:szCs w:val="32"/>
        </w:rPr>
        <w:t>主承销商可以在</w:t>
      </w:r>
      <w:r w:rsidR="009D2C98">
        <w:rPr>
          <w:rFonts w:ascii="仿宋_GB2312" w:eastAsia="仿宋_GB2312" w:hint="eastAsia"/>
          <w:sz w:val="32"/>
          <w:szCs w:val="32"/>
        </w:rPr>
        <w:t>履行普通注意义务的基础上进行合理信赖。</w:t>
      </w:r>
      <w:r>
        <w:rPr>
          <w:rFonts w:ascii="仿宋_GB2312" w:eastAsia="仿宋_GB2312" w:hint="eastAsia"/>
          <w:sz w:val="32"/>
          <w:szCs w:val="32"/>
        </w:rPr>
        <w:t>存在</w:t>
      </w:r>
      <w:r>
        <w:rPr>
          <w:rFonts w:ascii="仿宋_GB2312" w:eastAsia="仿宋_GB2312" w:hint="eastAsia"/>
          <w:sz w:val="32"/>
          <w:szCs w:val="32"/>
        </w:rPr>
        <w:t>合理怀疑</w:t>
      </w:r>
      <w:r>
        <w:rPr>
          <w:rFonts w:ascii="仿宋_GB2312" w:eastAsia="仿宋_GB2312" w:hint="eastAsia"/>
          <w:sz w:val="32"/>
          <w:szCs w:val="32"/>
        </w:rPr>
        <w:t>的，主承销商应当履行审慎核查和必要的调查、复核程序，排除合理怀疑。</w:t>
      </w:r>
    </w:p>
    <w:p w:rsidR="005E3DE2" w:rsidRDefault="007A6A76">
      <w:pPr>
        <w:widowControl/>
        <w:shd w:val="clear" w:color="auto" w:fill="FFFFFF"/>
        <w:ind w:firstLineChars="200" w:firstLine="640"/>
        <w:rPr>
          <w:rFonts w:ascii="仿宋_GB2312" w:eastAsia="仿宋_GB2312"/>
          <w:sz w:val="32"/>
          <w:szCs w:val="32"/>
        </w:rPr>
      </w:pPr>
      <w:r>
        <w:rPr>
          <w:rFonts w:ascii="仿宋_GB2312" w:eastAsia="仿宋_GB2312" w:hint="eastAsia"/>
          <w:sz w:val="32"/>
          <w:szCs w:val="32"/>
        </w:rPr>
        <w:t>对公司债券发行文件中无证券服务机构专业意见支持的内容，主承销商应当审慎核查，有合理谨慎的理由确信发行文件披露的信息不存在虚假记载、误导性陈述或者重大遗漏。</w:t>
      </w:r>
    </w:p>
    <w:p w:rsidR="002E477C" w:rsidRDefault="002E477C">
      <w:pPr>
        <w:widowControl/>
        <w:shd w:val="clear" w:color="auto" w:fill="FFFFFF"/>
        <w:ind w:firstLineChars="200" w:firstLine="640"/>
        <w:rPr>
          <w:rFonts w:ascii="仿宋_GB2312" w:eastAsia="仿宋_GB2312" w:hAnsi="宋体" w:cs="宋体" w:hint="eastAsia"/>
          <w:color w:val="000000"/>
          <w:kern w:val="0"/>
          <w:sz w:val="32"/>
          <w:szCs w:val="32"/>
        </w:rPr>
      </w:pPr>
    </w:p>
    <w:p w:rsidR="005E3DE2" w:rsidRDefault="007A6A76">
      <w:pPr>
        <w:pStyle w:val="1"/>
      </w:pPr>
      <w:r>
        <w:rPr>
          <w:rFonts w:hint="eastAsia"/>
        </w:rPr>
        <w:t>第三章</w:t>
      </w:r>
      <w:r w:rsidR="002E477C">
        <w:rPr>
          <w:rFonts w:hint="eastAsia"/>
        </w:rPr>
        <w:t xml:space="preserve">  </w:t>
      </w:r>
      <w:r>
        <w:rPr>
          <w:rFonts w:hint="eastAsia"/>
        </w:rPr>
        <w:t>推介</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第十四条</w:t>
      </w:r>
      <w:r>
        <w:rPr>
          <w:rFonts w:ascii="仿宋_GB2312" w:eastAsia="仿宋_GB2312" w:hAnsi="宋体" w:cs="宋体" w:hint="eastAsia"/>
          <w:b/>
          <w:bCs/>
          <w:color w:val="000000"/>
          <w:kern w:val="0"/>
          <w:sz w:val="32"/>
          <w:szCs w:val="32"/>
        </w:rPr>
        <w:t xml:space="preserve">  </w:t>
      </w:r>
      <w:r>
        <w:rPr>
          <w:rFonts w:ascii="仿宋_GB2312" w:eastAsia="仿宋_GB2312" w:hAnsi="宋体" w:cs="宋体" w:hint="eastAsia"/>
          <w:color w:val="000000"/>
          <w:kern w:val="0"/>
          <w:sz w:val="32"/>
          <w:szCs w:val="32"/>
        </w:rPr>
        <w:t>承销机构可以和发行人采用现场、电话、视频会议、互联网等合法合规的方式进行路演推介。</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采用公开方式进行路演推介的，应当事先披露举行时间、地点和参加方式。在通过互联网方式进行公开路演推介时，不得屏蔽投资者提出的与本次发行相关的问题。</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非公开发行公司债券的，不得采取公开或变相公开方式进行推介。</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第十五条</w:t>
      </w:r>
      <w:r>
        <w:rPr>
          <w:rFonts w:ascii="仿宋_GB2312" w:eastAsia="仿宋_GB2312" w:hAnsi="宋体" w:cs="宋体" w:hint="eastAsia"/>
          <w:b/>
          <w:bCs/>
          <w:color w:val="000000"/>
          <w:kern w:val="0"/>
          <w:sz w:val="32"/>
          <w:szCs w:val="32"/>
        </w:rPr>
        <w:t xml:space="preserve">  </w:t>
      </w:r>
      <w:r>
        <w:rPr>
          <w:rFonts w:ascii="仿宋_GB2312" w:eastAsia="仿宋_GB2312" w:hAnsi="宋体" w:cs="宋体" w:hint="eastAsia"/>
          <w:color w:val="000000"/>
          <w:kern w:val="0"/>
          <w:sz w:val="32"/>
          <w:szCs w:val="32"/>
        </w:rPr>
        <w:t>承销机构和发行人在推介过</w:t>
      </w:r>
      <w:r>
        <w:rPr>
          <w:rFonts w:ascii="仿宋_GB2312" w:eastAsia="仿宋_GB2312" w:hAnsi="宋体" w:cs="宋体" w:hint="eastAsia"/>
          <w:color w:val="000000"/>
          <w:kern w:val="0"/>
          <w:sz w:val="32"/>
          <w:szCs w:val="32"/>
        </w:rPr>
        <w:t>程中不得夸大宣传，或以虚假广告等不正当手段诱导、误导投资者，不得披露除募集说明书</w:t>
      </w:r>
      <w:r>
        <w:rPr>
          <w:rFonts w:ascii="仿宋_GB2312" w:eastAsia="仿宋_GB2312" w:hAnsi="宋体" w:cs="宋体" w:hint="eastAsia"/>
          <w:color w:val="000000"/>
          <w:kern w:val="0"/>
          <w:sz w:val="32"/>
          <w:szCs w:val="32"/>
        </w:rPr>
        <w:t>与</w:t>
      </w:r>
      <w:r>
        <w:rPr>
          <w:rFonts w:ascii="仿宋_GB2312" w:eastAsia="仿宋_GB2312" w:hAnsi="宋体" w:cs="宋体" w:hint="eastAsia"/>
          <w:color w:val="000000"/>
          <w:kern w:val="0"/>
          <w:sz w:val="32"/>
          <w:szCs w:val="32"/>
        </w:rPr>
        <w:t>公开信息以外的发行人其他信息。</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第十六条</w:t>
      </w:r>
      <w:r>
        <w:rPr>
          <w:rFonts w:ascii="仿宋_GB2312" w:eastAsia="仿宋_GB2312" w:hAnsi="宋体" w:cs="宋体" w:hint="eastAsia"/>
          <w:b/>
          <w:bCs/>
          <w:color w:val="000000"/>
          <w:kern w:val="0"/>
          <w:sz w:val="32"/>
          <w:szCs w:val="32"/>
        </w:rPr>
        <w:t xml:space="preserve">  </w:t>
      </w:r>
      <w:r>
        <w:rPr>
          <w:rFonts w:ascii="仿宋_GB2312" w:eastAsia="仿宋_GB2312" w:hAnsi="宋体" w:cs="宋体" w:hint="eastAsia"/>
          <w:color w:val="000000"/>
          <w:kern w:val="0"/>
          <w:sz w:val="32"/>
          <w:szCs w:val="32"/>
        </w:rPr>
        <w:t>承销机构不得自行或与发行人及与本次发行有关的当事人共同以任何方式向投资者发放或变相发放</w:t>
      </w:r>
      <w:r>
        <w:rPr>
          <w:rFonts w:ascii="仿宋_GB2312" w:eastAsia="仿宋_GB2312" w:hAnsi="宋体" w:cs="宋体" w:hint="eastAsia"/>
          <w:color w:val="000000"/>
          <w:kern w:val="0"/>
          <w:sz w:val="32"/>
          <w:szCs w:val="32"/>
        </w:rPr>
        <w:lastRenderedPageBreak/>
        <w:t>礼品、礼金、礼券等，也不得接受投资者的礼品、礼金、礼券等。不得通过其他利益安排诱导投资者，不得向投资者做出任何不当承诺。</w:t>
      </w:r>
    </w:p>
    <w:p w:rsidR="002E477C" w:rsidRDefault="002E477C">
      <w:pPr>
        <w:widowControl/>
        <w:shd w:val="clear" w:color="auto" w:fill="FFFFFF"/>
        <w:ind w:firstLineChars="200" w:firstLine="640"/>
        <w:rPr>
          <w:rFonts w:ascii="仿宋_GB2312" w:eastAsia="仿宋_GB2312" w:hAnsi="宋体" w:cs="宋体" w:hint="eastAsia"/>
          <w:color w:val="000000"/>
          <w:kern w:val="0"/>
          <w:sz w:val="32"/>
          <w:szCs w:val="32"/>
        </w:rPr>
      </w:pPr>
    </w:p>
    <w:p w:rsidR="005E3DE2" w:rsidRDefault="007A6A76">
      <w:pPr>
        <w:pStyle w:val="1"/>
      </w:pPr>
      <w:r>
        <w:rPr>
          <w:rFonts w:hint="eastAsia"/>
        </w:rPr>
        <w:t>第四章</w:t>
      </w:r>
      <w:r>
        <w:rPr>
          <w:rFonts w:hint="eastAsia"/>
        </w:rPr>
        <w:t xml:space="preserve"> </w:t>
      </w:r>
      <w:r>
        <w:rPr>
          <w:rFonts w:hint="eastAsia"/>
        </w:rPr>
        <w:t>定价与配售</w:t>
      </w:r>
    </w:p>
    <w:p w:rsidR="005E3DE2" w:rsidRDefault="007A6A76">
      <w:pPr>
        <w:pStyle w:val="2"/>
      </w:pPr>
      <w:r>
        <w:rPr>
          <w:rFonts w:hint="eastAsia"/>
        </w:rPr>
        <w:t xml:space="preserve">    </w:t>
      </w:r>
      <w:r>
        <w:rPr>
          <w:rFonts w:hint="eastAsia"/>
        </w:rPr>
        <w:t>第一节</w:t>
      </w:r>
      <w:r>
        <w:rPr>
          <w:rFonts w:hint="eastAsia"/>
        </w:rPr>
        <w:t xml:space="preserve"> </w:t>
      </w:r>
      <w:r>
        <w:rPr>
          <w:rFonts w:hint="eastAsia"/>
        </w:rPr>
        <w:t>一般要求</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第十七条</w:t>
      </w:r>
      <w:r>
        <w:rPr>
          <w:rFonts w:ascii="仿宋_GB2312" w:eastAsia="仿宋_GB2312" w:hAnsi="宋体" w:cs="宋体" w:hint="eastAsia"/>
          <w:b/>
          <w:bCs/>
          <w:color w:val="000000"/>
          <w:kern w:val="0"/>
          <w:sz w:val="32"/>
          <w:szCs w:val="32"/>
        </w:rPr>
        <w:t xml:space="preserve">  </w:t>
      </w:r>
      <w:r>
        <w:rPr>
          <w:rFonts w:ascii="仿宋_GB2312" w:eastAsia="仿宋_GB2312" w:hAnsi="宋体" w:cs="宋体" w:hint="eastAsia"/>
          <w:color w:val="000000"/>
          <w:kern w:val="0"/>
          <w:sz w:val="32"/>
          <w:szCs w:val="32"/>
        </w:rPr>
        <w:t>承销机构应当建立集体决策机制，对公司债券定价、配售</w:t>
      </w:r>
      <w:r>
        <w:rPr>
          <w:rFonts w:ascii="仿宋_GB2312" w:eastAsia="仿宋_GB2312" w:hAnsi="宋体" w:cs="宋体" w:hint="eastAsia"/>
          <w:color w:val="000000"/>
          <w:kern w:val="0"/>
          <w:sz w:val="32"/>
          <w:szCs w:val="32"/>
        </w:rPr>
        <w:t>与</w:t>
      </w:r>
      <w:r>
        <w:rPr>
          <w:rFonts w:ascii="仿宋_GB2312" w:eastAsia="仿宋_GB2312" w:hAnsi="宋体" w:cs="宋体" w:hint="eastAsia"/>
          <w:color w:val="000000"/>
          <w:kern w:val="0"/>
          <w:sz w:val="32"/>
          <w:szCs w:val="32"/>
        </w:rPr>
        <w:t>分销安排等重要事项进行决策，参与决策的人数不得少于三名。</w:t>
      </w:r>
      <w:r>
        <w:rPr>
          <w:rFonts w:ascii="仿宋_GB2312" w:eastAsia="仿宋_GB2312" w:hAnsi="宋体" w:cs="宋体" w:hint="eastAsia"/>
          <w:color w:val="000000"/>
          <w:kern w:val="0"/>
          <w:sz w:val="32"/>
          <w:szCs w:val="32"/>
        </w:rPr>
        <w:t>合规或风控部门</w:t>
      </w:r>
      <w:r>
        <w:rPr>
          <w:rFonts w:ascii="仿宋_GB2312" w:eastAsia="仿宋_GB2312" w:hAnsi="宋体" w:cs="宋体" w:hint="eastAsia"/>
          <w:color w:val="000000"/>
          <w:kern w:val="0"/>
          <w:sz w:val="32"/>
          <w:szCs w:val="32"/>
        </w:rPr>
        <w:t>应当对决策过程进行监督，并对决策结果予以书面确认。</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第十八条</w:t>
      </w:r>
      <w:r>
        <w:rPr>
          <w:rFonts w:ascii="仿宋_GB2312" w:eastAsia="仿宋_GB2312" w:hAnsi="宋体" w:cs="宋体" w:hint="eastAsia"/>
          <w:b/>
          <w:bCs/>
          <w:color w:val="000000"/>
          <w:kern w:val="0"/>
          <w:sz w:val="32"/>
          <w:szCs w:val="32"/>
        </w:rPr>
        <w:t xml:space="preserve">  </w:t>
      </w:r>
      <w:r>
        <w:rPr>
          <w:rFonts w:ascii="仿宋_GB2312" w:eastAsia="仿宋_GB2312" w:hAnsi="宋体" w:cs="宋体" w:hint="eastAsia"/>
          <w:color w:val="000000"/>
          <w:kern w:val="0"/>
          <w:sz w:val="32"/>
          <w:szCs w:val="32"/>
        </w:rPr>
        <w:t>承销机构应当依据中国证监会、自律组织规定的投资者适当性制度，建立健全公司债券投资者适当性管理制度，确保投资者符合债券投资者适当性管理相关规定。</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第十九条</w:t>
      </w:r>
      <w:r>
        <w:rPr>
          <w:rFonts w:ascii="仿宋_GB2312" w:eastAsia="仿宋_GB2312" w:hAnsi="宋体" w:cs="宋体" w:hint="eastAsia"/>
          <w:b/>
          <w:bCs/>
          <w:color w:val="000000"/>
          <w:kern w:val="0"/>
          <w:sz w:val="32"/>
          <w:szCs w:val="32"/>
        </w:rPr>
        <w:t xml:space="preserve">  </w:t>
      </w:r>
      <w:r>
        <w:rPr>
          <w:rFonts w:ascii="仿宋_GB2312" w:eastAsia="仿宋_GB2312" w:hAnsi="宋体" w:cs="宋体" w:hint="eastAsia"/>
          <w:color w:val="000000"/>
          <w:kern w:val="0"/>
          <w:sz w:val="32"/>
          <w:szCs w:val="32"/>
        </w:rPr>
        <w:t>承销机构应当对承销和投资交易等业务之间进行有效隔离，在办公场所、业务人员、业务流程、文件流转等方面设立防火墙。</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承销机构及其关联方参与认购其所承销债券的，应当报价公允、程序合规，并在发行结果公告中就认购方、认购规模、报价情况进行披露。</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第二十条</w:t>
      </w:r>
      <w:r>
        <w:rPr>
          <w:rFonts w:ascii="仿宋_GB2312" w:eastAsia="仿宋_GB2312" w:hAnsi="宋体" w:cs="宋体" w:hint="eastAsia"/>
          <w:b/>
          <w:bCs/>
          <w:color w:val="000000"/>
          <w:kern w:val="0"/>
          <w:sz w:val="32"/>
          <w:szCs w:val="32"/>
        </w:rPr>
        <w:t xml:space="preserve">  </w:t>
      </w:r>
      <w:r>
        <w:rPr>
          <w:rFonts w:ascii="仿宋_GB2312" w:eastAsia="仿宋_GB2312" w:hAnsi="宋体" w:cs="宋体" w:hint="eastAsia"/>
          <w:color w:val="000000"/>
          <w:kern w:val="0"/>
          <w:sz w:val="32"/>
          <w:szCs w:val="32"/>
        </w:rPr>
        <w:t>公开发行公司债券的，发行人</w:t>
      </w:r>
      <w:r>
        <w:rPr>
          <w:rFonts w:ascii="仿宋_GB2312" w:eastAsia="仿宋_GB2312" w:hAnsi="宋体" w:cs="宋体" w:hint="eastAsia"/>
          <w:color w:val="000000"/>
          <w:kern w:val="0"/>
          <w:sz w:val="32"/>
          <w:szCs w:val="32"/>
        </w:rPr>
        <w:t>和</w:t>
      </w:r>
      <w:r>
        <w:rPr>
          <w:rFonts w:ascii="仿宋_GB2312" w:eastAsia="仿宋_GB2312" w:hAnsi="宋体" w:cs="宋体" w:hint="eastAsia"/>
          <w:color w:val="000000"/>
          <w:kern w:val="0"/>
          <w:sz w:val="32"/>
          <w:szCs w:val="32"/>
        </w:rPr>
        <w:t>主</w:t>
      </w:r>
      <w:r>
        <w:rPr>
          <w:rFonts w:ascii="仿宋_GB2312" w:eastAsia="仿宋_GB2312" w:hAnsi="宋体" w:cs="宋体" w:hint="eastAsia"/>
          <w:color w:val="000000"/>
          <w:kern w:val="0"/>
          <w:sz w:val="32"/>
          <w:szCs w:val="32"/>
        </w:rPr>
        <w:t>承销商应当聘请律师事务所对发行过程、配售行为、参与认购的投资</w:t>
      </w:r>
      <w:r>
        <w:rPr>
          <w:rFonts w:ascii="仿宋_GB2312" w:eastAsia="仿宋_GB2312" w:hAnsi="宋体" w:cs="宋体" w:hint="eastAsia"/>
          <w:color w:val="000000"/>
          <w:kern w:val="0"/>
          <w:sz w:val="32"/>
          <w:szCs w:val="32"/>
        </w:rPr>
        <w:lastRenderedPageBreak/>
        <w:t>者资质条件、资金划拨等事项进行见证，并出具专项法律意见书。</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第二十一条</w:t>
      </w:r>
      <w:r>
        <w:rPr>
          <w:rFonts w:ascii="仿宋_GB2312" w:eastAsia="仿宋_GB2312" w:hAnsi="宋体" w:cs="宋体" w:hint="eastAsia"/>
          <w:b/>
          <w:bCs/>
          <w:color w:val="000000"/>
          <w:kern w:val="0"/>
          <w:sz w:val="32"/>
          <w:szCs w:val="32"/>
        </w:rPr>
        <w:t xml:space="preserve">  </w:t>
      </w:r>
      <w:r>
        <w:rPr>
          <w:rFonts w:ascii="仿宋_GB2312" w:eastAsia="仿宋_GB2312" w:hAnsi="宋体" w:cs="宋体" w:hint="eastAsia"/>
          <w:color w:val="000000"/>
          <w:kern w:val="0"/>
          <w:sz w:val="32"/>
          <w:szCs w:val="32"/>
        </w:rPr>
        <w:t>承销机构和发行人不得操纵发行定价、暗箱操作；不得以代持、信托等方式谋取不正当利益或向其他相关利益主体输送利益；不得直接或通过其利益相关方向参与认购的投资者提供财务资助；不得有其他违反公平竞争、破坏市场秩序等行为。</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承销机构应当提示发行人不得在发行环节直接或间接认购其发行的公司债券。发行人的董事、监事、高级管理人员、持股比例超过百分之五的股东及其他关联方认购其发行的公司债券的，</w:t>
      </w:r>
      <w:r>
        <w:rPr>
          <w:rFonts w:ascii="仿宋_GB2312" w:eastAsia="仿宋_GB2312" w:hAnsi="宋体" w:cs="宋体" w:hint="eastAsia"/>
          <w:color w:val="000000"/>
          <w:kern w:val="0"/>
          <w:sz w:val="32"/>
          <w:szCs w:val="32"/>
        </w:rPr>
        <w:t>承销机构和发行人应当在发行结果公告中披露。</w:t>
      </w:r>
    </w:p>
    <w:p w:rsidR="005E3DE2" w:rsidRDefault="007A6A76">
      <w:pPr>
        <w:pStyle w:val="2"/>
      </w:pPr>
      <w:r>
        <w:rPr>
          <w:rFonts w:hint="eastAsia"/>
        </w:rPr>
        <w:t>第二节</w:t>
      </w:r>
      <w:r>
        <w:rPr>
          <w:rFonts w:hint="eastAsia"/>
        </w:rPr>
        <w:t xml:space="preserve"> </w:t>
      </w:r>
      <w:r>
        <w:rPr>
          <w:rFonts w:hint="eastAsia"/>
        </w:rPr>
        <w:t>公开发行的定价与配售</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第二十二条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公司债券公开发行的价格或利率以询价或公开招标等市场化方式确定。</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采取询价方式的，承销机构与发行人应当进行询价，并协商确定发行价格或利率区间，以簿记建档方式确定最终发行价格或利率。簿记建档是指承销机构和发行人协商确定价格或利率区间后，向市场公布</w:t>
      </w:r>
      <w:r>
        <w:rPr>
          <w:rFonts w:ascii="仿宋_GB2312" w:eastAsia="仿宋_GB2312" w:hAnsi="宋体" w:cs="宋体" w:hint="eastAsia"/>
          <w:color w:val="000000"/>
          <w:kern w:val="0"/>
          <w:sz w:val="32"/>
          <w:szCs w:val="32"/>
        </w:rPr>
        <w:t>发行文件，由簿记管理人记录网下投资者认购公司债券价格或利率及数量意愿，遵循公平、</w:t>
      </w:r>
      <w:r>
        <w:rPr>
          <w:rFonts w:ascii="仿宋_GB2312" w:eastAsia="仿宋_GB2312" w:hAnsi="宋体" w:cs="宋体" w:hint="eastAsia"/>
          <w:color w:val="000000"/>
          <w:kern w:val="0"/>
          <w:sz w:val="32"/>
          <w:szCs w:val="32"/>
        </w:rPr>
        <w:lastRenderedPageBreak/>
        <w:t>公正、公开原则，按约定的定价和配售方式确定最终发行价格或利率并进行配售的行为。</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采取公开</w:t>
      </w:r>
      <w:r>
        <w:rPr>
          <w:rFonts w:ascii="仿宋_GB2312" w:eastAsia="仿宋_GB2312" w:hAnsi="宋体" w:cs="宋体" w:hint="eastAsia"/>
          <w:color w:val="000000"/>
          <w:kern w:val="0"/>
          <w:sz w:val="32"/>
          <w:szCs w:val="32"/>
        </w:rPr>
        <w:t>招标方式的，承销机构与发行人应当遵守相关部门对公开招标的规定。</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第二十三条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公开发行公司债券可以采用网下询价配售、网上定价发行，以及网上网下相结合的方式。相关法律法规、规章制度、自律规则另有规定的，从其规定。</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第二十四条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公开发行公司债券，主承销商应当和发行人协商确定公开发行的定价与配售方案并予以公告，明确价格或利率确定原则、发行定价流程和配售规则等内容。</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第二十五条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承销机构应当</w:t>
      </w:r>
      <w:r>
        <w:rPr>
          <w:rFonts w:ascii="仿宋_GB2312" w:eastAsia="仿宋_GB2312" w:hAnsi="宋体" w:cs="宋体" w:hint="eastAsia"/>
          <w:color w:val="000000"/>
          <w:kern w:val="0"/>
          <w:sz w:val="32"/>
          <w:szCs w:val="32"/>
        </w:rPr>
        <w:t>督促</w:t>
      </w:r>
      <w:r>
        <w:rPr>
          <w:rFonts w:ascii="仿宋_GB2312" w:eastAsia="仿宋_GB2312" w:hAnsi="宋体" w:cs="宋体" w:hint="eastAsia"/>
          <w:color w:val="000000"/>
          <w:kern w:val="0"/>
          <w:sz w:val="32"/>
          <w:szCs w:val="32"/>
        </w:rPr>
        <w:t>网下投资者遵循独立、客观、诚信的原则进行合理报价，不得协商报价或者故意压低或抬高价格或利率，获得配售后严格履行缴款义务。</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符合条件的网下投资者应当自主决定是否报价，承销机构无正当理由不得拒绝。</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第二十六条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簿记管理人应当本着公平、公正、公开原则，严格按照披露的配售规则组织配售。</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簿记管理人及其相关工作人员在配售过程中，不得有违反公平竞争、进行利益输送、直接或间接谋取不正当利益以及其他破坏市场秩序的行为。簿记管理人与发行人应当合理控制簿记建档时间，簿记</w:t>
      </w:r>
      <w:r>
        <w:rPr>
          <w:rFonts w:ascii="仿宋_GB2312" w:eastAsia="仿宋_GB2312" w:hAnsi="宋体" w:cs="宋体" w:hint="eastAsia"/>
          <w:color w:val="000000"/>
          <w:kern w:val="0"/>
          <w:sz w:val="32"/>
          <w:szCs w:val="32"/>
        </w:rPr>
        <w:t>时间</w:t>
      </w:r>
      <w:r>
        <w:rPr>
          <w:rFonts w:ascii="仿宋_GB2312" w:eastAsia="仿宋_GB2312" w:hAnsi="宋体" w:cs="宋体" w:hint="eastAsia"/>
          <w:color w:val="000000"/>
          <w:kern w:val="0"/>
          <w:sz w:val="32"/>
          <w:szCs w:val="32"/>
        </w:rPr>
        <w:t>不应超过</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小时</w:t>
      </w:r>
      <w:r>
        <w:rPr>
          <w:rFonts w:ascii="仿宋_GB2312" w:eastAsia="仿宋_GB2312" w:hAnsi="宋体" w:cs="宋体" w:hint="eastAsia"/>
          <w:color w:val="000000"/>
          <w:kern w:val="0"/>
          <w:sz w:val="32"/>
          <w:szCs w:val="32"/>
        </w:rPr>
        <w:t>。证券交易场所另有规定的，从其规定。</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簿记管理人应当做好簿记建档全过程的记录留痕工作，建立完善的工作底稿存档制度，妥善保存簿记建档流程各个环节的相关文件和资料，包括但不限于申购订单、簿记建档配售结果等纸质文档，以及邮件、电话录音等电子文档。</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簿记管理人是指受发行人委托，负责簿记建档具体运作的承销机构。</w:t>
      </w:r>
    </w:p>
    <w:p w:rsidR="005E3DE2" w:rsidRDefault="007A6A76">
      <w:pPr>
        <w:pStyle w:val="2"/>
      </w:pPr>
      <w:r>
        <w:rPr>
          <w:rFonts w:hint="eastAsia"/>
        </w:rPr>
        <w:t>第三节</w:t>
      </w:r>
      <w:r>
        <w:rPr>
          <w:rFonts w:hint="eastAsia"/>
        </w:rPr>
        <w:t xml:space="preserve"> </w:t>
      </w:r>
      <w:r>
        <w:rPr>
          <w:rFonts w:hint="eastAsia"/>
        </w:rPr>
        <w:t>非公开发行的定价与配售</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第二十七条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非公开发行公司债券的定价发行方式，由承销机构和发行人协商确定。</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第二十八条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采用簿记建档方式非公开发行公司债券的，参照本规范关于公开发行公司债券簿记建档及配售的相关规定。法律法规、相关规则另有规定的</w:t>
      </w:r>
      <w:r>
        <w:rPr>
          <w:rFonts w:ascii="仿宋_GB2312" w:eastAsia="仿宋_GB2312" w:hAnsi="宋体" w:cs="宋体" w:hint="eastAsia"/>
          <w:color w:val="000000"/>
          <w:kern w:val="0"/>
          <w:sz w:val="32"/>
          <w:szCs w:val="32"/>
        </w:rPr>
        <w:t>，从其规定。</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第二十九条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承销机构应当按照中国证监会、证券自律组织规定的投资者适当性制度，了解和评估投资者对非公开发行公司债券的风险识别和承担能力，确认参与非公开发行公司债券认购的投资者为专业投资者，并充分揭示风险。</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非公开发行公司债券应当向专业投资者发行，每次发行对象不得超过二百人。</w:t>
      </w:r>
    </w:p>
    <w:p w:rsidR="002E477C" w:rsidRDefault="002E477C">
      <w:pPr>
        <w:widowControl/>
        <w:shd w:val="clear" w:color="auto" w:fill="FFFFFF"/>
        <w:ind w:firstLineChars="200" w:firstLine="640"/>
        <w:rPr>
          <w:rFonts w:ascii="仿宋_GB2312" w:eastAsia="仿宋_GB2312" w:hAnsi="宋体" w:cs="宋体" w:hint="eastAsia"/>
          <w:color w:val="000000"/>
          <w:kern w:val="0"/>
          <w:sz w:val="32"/>
          <w:szCs w:val="32"/>
        </w:rPr>
      </w:pPr>
    </w:p>
    <w:p w:rsidR="005E3DE2" w:rsidRDefault="007A6A76">
      <w:pPr>
        <w:pStyle w:val="1"/>
      </w:pPr>
      <w:r>
        <w:rPr>
          <w:rFonts w:hint="eastAsia"/>
        </w:rPr>
        <w:lastRenderedPageBreak/>
        <w:t>第五章</w:t>
      </w:r>
      <w:r>
        <w:rPr>
          <w:rFonts w:hint="eastAsia"/>
        </w:rPr>
        <w:t xml:space="preserve"> </w:t>
      </w:r>
      <w:r>
        <w:rPr>
          <w:rFonts w:hint="eastAsia"/>
        </w:rPr>
        <w:t>信息披露</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第三十条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主承销商在公司债券发行期间应当督促发行人按照相关规定及时、公平地履行信息披露义务，</w:t>
      </w:r>
      <w:r>
        <w:rPr>
          <w:rFonts w:ascii="仿宋_GB2312" w:eastAsia="仿宋_GB2312" w:hAnsi="宋体" w:cs="宋体" w:hint="eastAsia"/>
          <w:color w:val="000000"/>
          <w:kern w:val="0"/>
          <w:sz w:val="32"/>
          <w:szCs w:val="32"/>
        </w:rPr>
        <w:t>并</w:t>
      </w:r>
      <w:r>
        <w:rPr>
          <w:rFonts w:ascii="仿宋_GB2312" w:eastAsia="仿宋_GB2312" w:hAnsi="宋体" w:cs="宋体" w:hint="eastAsia"/>
          <w:color w:val="000000"/>
          <w:kern w:val="0"/>
          <w:sz w:val="32"/>
          <w:szCs w:val="32"/>
        </w:rPr>
        <w:t>对披露信息的真实性、准确性、完整性进行核查，确保信息披露的文件处于有效期内，在不同媒体上披露的信息保持一致</w:t>
      </w:r>
      <w:r>
        <w:rPr>
          <w:rFonts w:ascii="仿宋_GB2312" w:eastAsia="仿宋_GB2312" w:hAnsi="宋体" w:cs="宋体" w:hint="eastAsia"/>
          <w:color w:val="000000"/>
          <w:kern w:val="0"/>
          <w:sz w:val="32"/>
          <w:szCs w:val="32"/>
        </w:rPr>
        <w:t>。</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第三十一条</w:t>
      </w:r>
      <w:r>
        <w:rPr>
          <w:rFonts w:ascii="仿宋_GB2312" w:eastAsia="仿宋_GB2312" w:hAnsi="宋体" w:cs="宋体" w:hint="eastAsia"/>
          <w:b/>
          <w:bCs/>
          <w:color w:val="000000"/>
          <w:kern w:val="0"/>
          <w:sz w:val="32"/>
          <w:szCs w:val="32"/>
        </w:rPr>
        <w:t xml:space="preserve">  </w:t>
      </w:r>
      <w:r>
        <w:rPr>
          <w:rFonts w:ascii="仿宋_GB2312" w:eastAsia="仿宋_GB2312" w:hAnsi="宋体" w:cs="宋体" w:hint="eastAsia"/>
          <w:color w:val="000000"/>
          <w:kern w:val="0"/>
          <w:sz w:val="32"/>
          <w:szCs w:val="32"/>
        </w:rPr>
        <w:t>公开发行公司债券的，主承销商应当督促发行人按照规定披露募集说明书。</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第三十二条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主承销商应当提示发行人将公开发行过程中披露的信息刊登在其债券交易场所的互联网网站和符合中国证监会规定条件的媒体，同时将其置备于公司住所、证券交易场所，供社会公众查阅。</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第三十三条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发行公司债券的，发行申请文件受理后，发行结束前，主承销商应当勤勉履行核查义务。发行人发生重大事项的，发行人、主承销商、证券服务机构应当及时向证券交易所报告。</w:t>
      </w:r>
    </w:p>
    <w:p w:rsidR="005E3DE2" w:rsidRDefault="005E3DE2">
      <w:pPr>
        <w:widowControl/>
        <w:shd w:val="clear" w:color="auto" w:fill="FFFFFF"/>
        <w:ind w:firstLineChars="200" w:firstLine="640"/>
        <w:rPr>
          <w:rFonts w:ascii="仿宋_GB2312" w:eastAsia="仿宋_GB2312" w:hAnsi="宋体" w:cs="宋体"/>
          <w:color w:val="000000"/>
          <w:kern w:val="0"/>
          <w:sz w:val="32"/>
          <w:szCs w:val="32"/>
        </w:rPr>
      </w:pPr>
    </w:p>
    <w:p w:rsidR="005E3DE2" w:rsidRDefault="007A6A76">
      <w:pPr>
        <w:pStyle w:val="1"/>
      </w:pPr>
      <w:r>
        <w:rPr>
          <w:rFonts w:hint="eastAsia"/>
        </w:rPr>
        <w:t>第六章</w:t>
      </w:r>
      <w:r>
        <w:rPr>
          <w:rFonts w:hint="eastAsia"/>
        </w:rPr>
        <w:t xml:space="preserve"> </w:t>
      </w:r>
      <w:r>
        <w:rPr>
          <w:rFonts w:hint="eastAsia"/>
        </w:rPr>
        <w:t>自律管理</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第三十四条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在开展公司债券承销业务活动中，承销机构应当对获得的内幕信息和商业秘密予以保密，不得利用内幕信息和商业秘密获取不当利益。</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第三十五条</w:t>
      </w: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承销机构不得以业务包干等承包方式开展公司债券承销业务，或者以其他形式实施过度激励。</w:t>
      </w:r>
      <w:r>
        <w:rPr>
          <w:rFonts w:ascii="仿宋_GB2312" w:eastAsia="仿宋_GB2312" w:hAnsi="宋体" w:cs="宋体" w:hint="eastAsia"/>
          <w:color w:val="000000"/>
          <w:kern w:val="0"/>
          <w:sz w:val="32"/>
          <w:szCs w:val="32"/>
        </w:rPr>
        <w:t xml:space="preserve"> </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lastRenderedPageBreak/>
        <w:t>第三十六条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承销机构应当配合受托管理人履行受托管理职责，积极提供调查了解所需的资料、信息和相关情况，维护投资者合法权益。</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第三十七条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承销机构应当保留承销过程中的相关资料并存档备查，如实、全面反映承销全过程，相关资料保管时间不得少于债券的债权债务关系终止后五年。</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承销过程中的相关资料包括但不限于项目承接、尽职调查、内部控制、发行申请、推介、定价和配售、信息披露等各个环节中的相关文件和资料。</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第三十八条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协会可以采取现场检查、非现场检查等方式对承销机构进行定期或不定期检查，承销机构应当对协会的检查予以配合，不得以任何理由拒绝、拖延提供有关资料，或者提供不真实、不准确、不完整的资料。</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检查内容包括：</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（一）承销业务制度、决策机制、风险管理和内部控制制度的建立情况；</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（二）项目承接、发行申请、推介、定价、配售等合规情况；</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（三）督促发行人履行信息披露义务情况；</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（四）存</w:t>
      </w:r>
      <w:r>
        <w:rPr>
          <w:rFonts w:ascii="仿宋_GB2312" w:eastAsia="仿宋_GB2312" w:hAnsi="宋体" w:cs="宋体" w:hint="eastAsia"/>
          <w:color w:val="000000"/>
          <w:kern w:val="0"/>
          <w:sz w:val="32"/>
          <w:szCs w:val="32"/>
        </w:rPr>
        <w:t>档备查资料的完备性；</w:t>
      </w:r>
    </w:p>
    <w:p w:rsidR="005E3DE2" w:rsidRDefault="007A6A76">
      <w:pPr>
        <w:widowControl/>
        <w:shd w:val="clear" w:color="auto" w:fill="FFFFFF"/>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（五）协会认为有必要的其他内容。</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lastRenderedPageBreak/>
        <w:t>第三十九条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承销机构及其相关业务人员违反本规范规定</w:t>
      </w:r>
      <w:r w:rsidR="00CD1830">
        <w:rPr>
          <w:rFonts w:ascii="仿宋_GB2312" w:eastAsia="仿宋_GB2312" w:hAnsi="宋体" w:cs="宋体" w:hint="eastAsia"/>
          <w:color w:val="000000"/>
          <w:kern w:val="0"/>
          <w:sz w:val="32"/>
          <w:szCs w:val="32"/>
        </w:rPr>
        <w:t>的</w:t>
      </w:r>
      <w:r>
        <w:rPr>
          <w:rFonts w:ascii="仿宋_GB2312" w:eastAsia="仿宋_GB2312" w:hAnsi="宋体" w:cs="宋体" w:hint="eastAsia"/>
          <w:color w:val="000000"/>
          <w:kern w:val="0"/>
          <w:sz w:val="32"/>
          <w:szCs w:val="32"/>
        </w:rPr>
        <w:t>，协会视情节轻重采取自律措施，记入协会诚信信息管理系统，并与为公司债券提供交易、转让服务的场所共享有关自律措施信息。</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第四十条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承销机构及其相关业务人员违反法律、法规或有关主管部门规定的，</w:t>
      </w:r>
      <w:bookmarkStart w:id="0" w:name="_GoBack"/>
      <w:bookmarkEnd w:id="0"/>
      <w:r>
        <w:rPr>
          <w:rFonts w:ascii="仿宋_GB2312" w:eastAsia="仿宋_GB2312" w:hAnsi="宋体" w:cs="宋体" w:hint="eastAsia"/>
          <w:color w:val="000000"/>
          <w:kern w:val="0"/>
          <w:sz w:val="32"/>
          <w:szCs w:val="32"/>
        </w:rPr>
        <w:t>协会依法移交证监会或其他有权机关查处。</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第四十一条</w:t>
      </w: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相关业务人员因违反公司债券相关规定被采取自律措施、行政监管措施、市场禁入措施、行政处罚、刑事处罚等的，承销机构应当进行内部问责。</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第四十二条</w:t>
      </w:r>
      <w:r>
        <w:rPr>
          <w:rFonts w:ascii="仿宋_GB2312" w:eastAsia="仿宋_GB2312" w:hAnsi="宋体" w:cs="宋体" w:hint="eastAsia"/>
          <w:b/>
          <w:bCs/>
          <w:color w:val="000000"/>
          <w:kern w:val="0"/>
          <w:sz w:val="32"/>
          <w:szCs w:val="32"/>
        </w:rPr>
        <w:t xml:space="preserve">  </w:t>
      </w:r>
      <w:r>
        <w:rPr>
          <w:rFonts w:ascii="仿宋_GB2312" w:eastAsia="仿宋_GB2312" w:hAnsi="宋体" w:cs="宋体" w:hint="eastAsia"/>
          <w:color w:val="000000"/>
          <w:kern w:val="0"/>
          <w:sz w:val="32"/>
          <w:szCs w:val="32"/>
        </w:rPr>
        <w:t>发现承销机构及其</w:t>
      </w:r>
      <w:r>
        <w:rPr>
          <w:rFonts w:ascii="仿宋_GB2312" w:eastAsia="仿宋_GB2312" w:hAnsi="宋体" w:cs="宋体" w:hint="eastAsia"/>
          <w:color w:val="000000"/>
          <w:kern w:val="0"/>
          <w:sz w:val="32"/>
          <w:szCs w:val="32"/>
        </w:rPr>
        <w:t>相关业务人员违反本规范的，可向协会举报或投诉。</w:t>
      </w:r>
    </w:p>
    <w:p w:rsidR="005E3DE2" w:rsidRDefault="005E3DE2">
      <w:pPr>
        <w:widowControl/>
        <w:shd w:val="clear" w:color="auto" w:fill="FFFFFF"/>
        <w:ind w:firstLineChars="200" w:firstLine="640"/>
        <w:rPr>
          <w:rFonts w:ascii="仿宋_GB2312" w:eastAsia="仿宋_GB2312" w:hAnsi="宋体" w:cs="宋体"/>
          <w:color w:val="000000"/>
          <w:kern w:val="0"/>
          <w:sz w:val="32"/>
          <w:szCs w:val="32"/>
        </w:rPr>
      </w:pPr>
    </w:p>
    <w:p w:rsidR="005E3DE2" w:rsidRDefault="007A6A76">
      <w:pPr>
        <w:pStyle w:val="1"/>
      </w:pPr>
      <w:r>
        <w:rPr>
          <w:rFonts w:hint="eastAsia"/>
        </w:rPr>
        <w:t>第七章</w:t>
      </w:r>
      <w:r>
        <w:rPr>
          <w:rFonts w:hint="eastAsia"/>
        </w:rPr>
        <w:t xml:space="preserve"> </w:t>
      </w:r>
      <w:r>
        <w:rPr>
          <w:rFonts w:hint="eastAsia"/>
        </w:rPr>
        <w:t>附则</w:t>
      </w:r>
    </w:p>
    <w:p w:rsidR="005E3DE2" w:rsidRDefault="007A6A76">
      <w:pPr>
        <w:widowControl/>
        <w:shd w:val="clear" w:color="auto" w:fill="FFFFFF"/>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第四十三条</w:t>
      </w:r>
      <w:r>
        <w:rPr>
          <w:rFonts w:ascii="仿宋_GB2312" w:eastAsia="仿宋_GB2312" w:hAnsi="Times New Roman" w:cs="Times New Roman" w:hint="eastAsia"/>
          <w:b/>
          <w:bCs/>
          <w:color w:val="000000"/>
          <w:kern w:val="0"/>
          <w:sz w:val="32"/>
          <w:szCs w:val="32"/>
        </w:rPr>
        <w:t xml:space="preserve">  </w:t>
      </w:r>
      <w:r>
        <w:rPr>
          <w:rFonts w:ascii="仿宋_GB2312" w:eastAsia="仿宋_GB2312" w:hAnsi="宋体" w:cs="宋体" w:hint="eastAsia"/>
          <w:color w:val="000000"/>
          <w:kern w:val="0"/>
          <w:sz w:val="32"/>
          <w:szCs w:val="32"/>
        </w:rPr>
        <w:t>本规范自发布之日起施行。</w:t>
      </w:r>
    </w:p>
    <w:p w:rsidR="005E3DE2" w:rsidRDefault="005E3DE2">
      <w:pPr>
        <w:widowControl/>
        <w:shd w:val="clear" w:color="auto" w:fill="FFFFFF"/>
        <w:ind w:firstLineChars="200" w:firstLine="560"/>
        <w:rPr>
          <w:rFonts w:ascii="仿宋_GB2312" w:eastAsia="仿宋_GB2312" w:hAnsi="宋体" w:cs="宋体"/>
          <w:color w:val="000000"/>
          <w:kern w:val="0"/>
          <w:sz w:val="28"/>
          <w:szCs w:val="28"/>
        </w:rPr>
      </w:pPr>
    </w:p>
    <w:sectPr w:rsidR="005E3DE2">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A76" w:rsidRDefault="007A6A76">
      <w:r>
        <w:separator/>
      </w:r>
    </w:p>
  </w:endnote>
  <w:endnote w:type="continuationSeparator" w:id="0">
    <w:p w:rsidR="007A6A76" w:rsidRDefault="007A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417384"/>
    </w:sdtPr>
    <w:sdtEndPr/>
    <w:sdtContent>
      <w:p w:rsidR="005E3DE2" w:rsidRDefault="007A6A76">
        <w:pPr>
          <w:pStyle w:val="a7"/>
          <w:jc w:val="center"/>
        </w:pPr>
        <w:r>
          <w:fldChar w:fldCharType="begin"/>
        </w:r>
        <w:r>
          <w:instrText>PAGE   \* MERGEFORMAT</w:instrText>
        </w:r>
        <w:r>
          <w:fldChar w:fldCharType="separate"/>
        </w:r>
        <w:r w:rsidR="00CD1830" w:rsidRPr="00CD1830">
          <w:rPr>
            <w:noProof/>
            <w:lang w:val="zh-CN"/>
          </w:rPr>
          <w:t>11</w:t>
        </w:r>
        <w:r>
          <w:fldChar w:fldCharType="end"/>
        </w:r>
      </w:p>
    </w:sdtContent>
  </w:sdt>
  <w:p w:rsidR="005E3DE2" w:rsidRDefault="005E3D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A76" w:rsidRDefault="007A6A76">
      <w:r>
        <w:separator/>
      </w:r>
    </w:p>
  </w:footnote>
  <w:footnote w:type="continuationSeparator" w:id="0">
    <w:p w:rsidR="007A6A76" w:rsidRDefault="007A6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52"/>
    <w:rsid w:val="BB5783AC"/>
    <w:rsid w:val="BFEFB6AE"/>
    <w:rsid w:val="C55D7743"/>
    <w:rsid w:val="D7EF488D"/>
    <w:rsid w:val="DDBDB694"/>
    <w:rsid w:val="DFFF61F0"/>
    <w:rsid w:val="E7BD0575"/>
    <w:rsid w:val="F01B34BF"/>
    <w:rsid w:val="F5E5D3BF"/>
    <w:rsid w:val="F7BB6EA8"/>
    <w:rsid w:val="FE7D0FE3"/>
    <w:rsid w:val="FFF3684E"/>
    <w:rsid w:val="FFF6B26C"/>
    <w:rsid w:val="FFFBF854"/>
    <w:rsid w:val="0000211F"/>
    <w:rsid w:val="000132E3"/>
    <w:rsid w:val="00013B7B"/>
    <w:rsid w:val="0002076D"/>
    <w:rsid w:val="0004582A"/>
    <w:rsid w:val="00051637"/>
    <w:rsid w:val="00053E19"/>
    <w:rsid w:val="000567A6"/>
    <w:rsid w:val="000610A6"/>
    <w:rsid w:val="0006143B"/>
    <w:rsid w:val="00062C7B"/>
    <w:rsid w:val="00065C43"/>
    <w:rsid w:val="00066DDB"/>
    <w:rsid w:val="00077D7A"/>
    <w:rsid w:val="00095676"/>
    <w:rsid w:val="00096C0B"/>
    <w:rsid w:val="000A0132"/>
    <w:rsid w:val="000A2686"/>
    <w:rsid w:val="000A3218"/>
    <w:rsid w:val="000A57C9"/>
    <w:rsid w:val="000B1964"/>
    <w:rsid w:val="000B1C1C"/>
    <w:rsid w:val="000B5BE0"/>
    <w:rsid w:val="000B610D"/>
    <w:rsid w:val="000C0E96"/>
    <w:rsid w:val="000C3BC7"/>
    <w:rsid w:val="000C3D90"/>
    <w:rsid w:val="000D1A1D"/>
    <w:rsid w:val="000D1D21"/>
    <w:rsid w:val="000D25EA"/>
    <w:rsid w:val="000D4C5C"/>
    <w:rsid w:val="000E0253"/>
    <w:rsid w:val="000E56E4"/>
    <w:rsid w:val="000F09C4"/>
    <w:rsid w:val="00103246"/>
    <w:rsid w:val="00104C82"/>
    <w:rsid w:val="0011005A"/>
    <w:rsid w:val="00112AC0"/>
    <w:rsid w:val="00114AEF"/>
    <w:rsid w:val="0011700E"/>
    <w:rsid w:val="0012016D"/>
    <w:rsid w:val="00123970"/>
    <w:rsid w:val="00131108"/>
    <w:rsid w:val="00151F7C"/>
    <w:rsid w:val="001575F6"/>
    <w:rsid w:val="00160720"/>
    <w:rsid w:val="001710B4"/>
    <w:rsid w:val="0017658E"/>
    <w:rsid w:val="0018323E"/>
    <w:rsid w:val="00185446"/>
    <w:rsid w:val="001A5D72"/>
    <w:rsid w:val="001A70A0"/>
    <w:rsid w:val="001B4E4B"/>
    <w:rsid w:val="001C2FFF"/>
    <w:rsid w:val="001C6A7E"/>
    <w:rsid w:val="001C6F90"/>
    <w:rsid w:val="001D4834"/>
    <w:rsid w:val="001D732C"/>
    <w:rsid w:val="001E5D94"/>
    <w:rsid w:val="001F22D0"/>
    <w:rsid w:val="001F2DA2"/>
    <w:rsid w:val="002060F8"/>
    <w:rsid w:val="002169A3"/>
    <w:rsid w:val="002307C9"/>
    <w:rsid w:val="00236341"/>
    <w:rsid w:val="002367A4"/>
    <w:rsid w:val="00240D3C"/>
    <w:rsid w:val="002411D1"/>
    <w:rsid w:val="00254E31"/>
    <w:rsid w:val="00254FA6"/>
    <w:rsid w:val="0026343B"/>
    <w:rsid w:val="0027580E"/>
    <w:rsid w:val="002774E4"/>
    <w:rsid w:val="00281237"/>
    <w:rsid w:val="00281601"/>
    <w:rsid w:val="00282FEA"/>
    <w:rsid w:val="00287F49"/>
    <w:rsid w:val="00294DCD"/>
    <w:rsid w:val="002A2EC8"/>
    <w:rsid w:val="002B0E89"/>
    <w:rsid w:val="002B5649"/>
    <w:rsid w:val="002C3FDF"/>
    <w:rsid w:val="002D72EB"/>
    <w:rsid w:val="002E477C"/>
    <w:rsid w:val="002E6D8A"/>
    <w:rsid w:val="002F59D7"/>
    <w:rsid w:val="002F62C3"/>
    <w:rsid w:val="003110AE"/>
    <w:rsid w:val="00322AE2"/>
    <w:rsid w:val="00322D60"/>
    <w:rsid w:val="003345F1"/>
    <w:rsid w:val="00352540"/>
    <w:rsid w:val="00361441"/>
    <w:rsid w:val="00367BF2"/>
    <w:rsid w:val="00373B0A"/>
    <w:rsid w:val="00376975"/>
    <w:rsid w:val="00380ED1"/>
    <w:rsid w:val="00382E02"/>
    <w:rsid w:val="0038515C"/>
    <w:rsid w:val="0039601F"/>
    <w:rsid w:val="00396A13"/>
    <w:rsid w:val="003A4766"/>
    <w:rsid w:val="003B4A49"/>
    <w:rsid w:val="003B54CD"/>
    <w:rsid w:val="003C0541"/>
    <w:rsid w:val="003C55BE"/>
    <w:rsid w:val="003E207A"/>
    <w:rsid w:val="003F50E1"/>
    <w:rsid w:val="003F5466"/>
    <w:rsid w:val="00400D1D"/>
    <w:rsid w:val="00402FF3"/>
    <w:rsid w:val="00411A9C"/>
    <w:rsid w:val="004213BE"/>
    <w:rsid w:val="0043607E"/>
    <w:rsid w:val="00437C70"/>
    <w:rsid w:val="004404D5"/>
    <w:rsid w:val="00442E1F"/>
    <w:rsid w:val="004445A9"/>
    <w:rsid w:val="004469E3"/>
    <w:rsid w:val="00466A59"/>
    <w:rsid w:val="00475E0C"/>
    <w:rsid w:val="00477426"/>
    <w:rsid w:val="00481549"/>
    <w:rsid w:val="0048377E"/>
    <w:rsid w:val="004858AD"/>
    <w:rsid w:val="00496A81"/>
    <w:rsid w:val="00497D4C"/>
    <w:rsid w:val="004B33A1"/>
    <w:rsid w:val="004B6AE7"/>
    <w:rsid w:val="004E16DD"/>
    <w:rsid w:val="004E55B3"/>
    <w:rsid w:val="004F0E3E"/>
    <w:rsid w:val="004F14D6"/>
    <w:rsid w:val="004F3856"/>
    <w:rsid w:val="004F6DDB"/>
    <w:rsid w:val="00500140"/>
    <w:rsid w:val="005014AD"/>
    <w:rsid w:val="005017B5"/>
    <w:rsid w:val="0050695E"/>
    <w:rsid w:val="0051795E"/>
    <w:rsid w:val="00530CA2"/>
    <w:rsid w:val="00540E14"/>
    <w:rsid w:val="00544C6E"/>
    <w:rsid w:val="0054729F"/>
    <w:rsid w:val="005533AE"/>
    <w:rsid w:val="005563C7"/>
    <w:rsid w:val="00556C84"/>
    <w:rsid w:val="005735EA"/>
    <w:rsid w:val="00574D75"/>
    <w:rsid w:val="005822BE"/>
    <w:rsid w:val="005847B3"/>
    <w:rsid w:val="00587BCB"/>
    <w:rsid w:val="00592B05"/>
    <w:rsid w:val="005954DF"/>
    <w:rsid w:val="00595F78"/>
    <w:rsid w:val="005A5B6A"/>
    <w:rsid w:val="005B19FA"/>
    <w:rsid w:val="005B30AC"/>
    <w:rsid w:val="005C7E1E"/>
    <w:rsid w:val="005D05E9"/>
    <w:rsid w:val="005E3DE2"/>
    <w:rsid w:val="005E5B9B"/>
    <w:rsid w:val="005F595F"/>
    <w:rsid w:val="006028D0"/>
    <w:rsid w:val="0061011E"/>
    <w:rsid w:val="00612FC2"/>
    <w:rsid w:val="00620D53"/>
    <w:rsid w:val="00622FEC"/>
    <w:rsid w:val="00626A17"/>
    <w:rsid w:val="00626E2A"/>
    <w:rsid w:val="00642071"/>
    <w:rsid w:val="0064624D"/>
    <w:rsid w:val="006617B9"/>
    <w:rsid w:val="00663D6D"/>
    <w:rsid w:val="006667BA"/>
    <w:rsid w:val="00674BF3"/>
    <w:rsid w:val="00682161"/>
    <w:rsid w:val="00685384"/>
    <w:rsid w:val="00685B32"/>
    <w:rsid w:val="00685E24"/>
    <w:rsid w:val="00687958"/>
    <w:rsid w:val="00693695"/>
    <w:rsid w:val="00693F83"/>
    <w:rsid w:val="006A73BA"/>
    <w:rsid w:val="006B099B"/>
    <w:rsid w:val="006B19AE"/>
    <w:rsid w:val="006B429A"/>
    <w:rsid w:val="006C5BB8"/>
    <w:rsid w:val="006D623B"/>
    <w:rsid w:val="006D6A42"/>
    <w:rsid w:val="006F4411"/>
    <w:rsid w:val="007000AF"/>
    <w:rsid w:val="00702E7F"/>
    <w:rsid w:val="0070355D"/>
    <w:rsid w:val="00705DAF"/>
    <w:rsid w:val="00711B23"/>
    <w:rsid w:val="00712FD3"/>
    <w:rsid w:val="00716CFF"/>
    <w:rsid w:val="00721B50"/>
    <w:rsid w:val="007235D9"/>
    <w:rsid w:val="00723E37"/>
    <w:rsid w:val="007261A2"/>
    <w:rsid w:val="007332A1"/>
    <w:rsid w:val="00733741"/>
    <w:rsid w:val="00735D4B"/>
    <w:rsid w:val="00735DD0"/>
    <w:rsid w:val="00740765"/>
    <w:rsid w:val="007476BB"/>
    <w:rsid w:val="00752388"/>
    <w:rsid w:val="00752A32"/>
    <w:rsid w:val="007539D9"/>
    <w:rsid w:val="00772E90"/>
    <w:rsid w:val="00781020"/>
    <w:rsid w:val="00791870"/>
    <w:rsid w:val="00792FD0"/>
    <w:rsid w:val="00796790"/>
    <w:rsid w:val="007977E7"/>
    <w:rsid w:val="007A4CE6"/>
    <w:rsid w:val="007A6A76"/>
    <w:rsid w:val="007B2094"/>
    <w:rsid w:val="007B22EA"/>
    <w:rsid w:val="007C3ADF"/>
    <w:rsid w:val="007C5010"/>
    <w:rsid w:val="007C6E61"/>
    <w:rsid w:val="007D0A98"/>
    <w:rsid w:val="007D3C17"/>
    <w:rsid w:val="007D49CF"/>
    <w:rsid w:val="007D65AC"/>
    <w:rsid w:val="007E0961"/>
    <w:rsid w:val="007E4936"/>
    <w:rsid w:val="007E4F69"/>
    <w:rsid w:val="007E6286"/>
    <w:rsid w:val="007F6CD8"/>
    <w:rsid w:val="00800CFF"/>
    <w:rsid w:val="008178D7"/>
    <w:rsid w:val="00820529"/>
    <w:rsid w:val="008226F0"/>
    <w:rsid w:val="00832D8D"/>
    <w:rsid w:val="00846676"/>
    <w:rsid w:val="0085535B"/>
    <w:rsid w:val="00860D3E"/>
    <w:rsid w:val="0086178F"/>
    <w:rsid w:val="00862E91"/>
    <w:rsid w:val="00866D6A"/>
    <w:rsid w:val="008714B7"/>
    <w:rsid w:val="00871C1B"/>
    <w:rsid w:val="00881474"/>
    <w:rsid w:val="00890EFD"/>
    <w:rsid w:val="008928E2"/>
    <w:rsid w:val="008977D1"/>
    <w:rsid w:val="008A0742"/>
    <w:rsid w:val="008A4539"/>
    <w:rsid w:val="008A4BAC"/>
    <w:rsid w:val="008A68D8"/>
    <w:rsid w:val="008B33C7"/>
    <w:rsid w:val="008B4212"/>
    <w:rsid w:val="008C5F66"/>
    <w:rsid w:val="008D0594"/>
    <w:rsid w:val="008D121F"/>
    <w:rsid w:val="008D1EE0"/>
    <w:rsid w:val="008D73E2"/>
    <w:rsid w:val="008F034C"/>
    <w:rsid w:val="008F07B5"/>
    <w:rsid w:val="008F1E5A"/>
    <w:rsid w:val="008F46C1"/>
    <w:rsid w:val="008F4C38"/>
    <w:rsid w:val="008F7713"/>
    <w:rsid w:val="00903B26"/>
    <w:rsid w:val="00904E45"/>
    <w:rsid w:val="00914A25"/>
    <w:rsid w:val="00917031"/>
    <w:rsid w:val="00922227"/>
    <w:rsid w:val="009234AD"/>
    <w:rsid w:val="0092489B"/>
    <w:rsid w:val="00925AF8"/>
    <w:rsid w:val="00930502"/>
    <w:rsid w:val="00932AC2"/>
    <w:rsid w:val="0094056E"/>
    <w:rsid w:val="00940AD7"/>
    <w:rsid w:val="0094181A"/>
    <w:rsid w:val="00953F5D"/>
    <w:rsid w:val="00960860"/>
    <w:rsid w:val="00961FF7"/>
    <w:rsid w:val="00962427"/>
    <w:rsid w:val="00965763"/>
    <w:rsid w:val="00966BEE"/>
    <w:rsid w:val="009720E4"/>
    <w:rsid w:val="00975F00"/>
    <w:rsid w:val="009800B2"/>
    <w:rsid w:val="00981394"/>
    <w:rsid w:val="009908A0"/>
    <w:rsid w:val="00994AEA"/>
    <w:rsid w:val="00994FFF"/>
    <w:rsid w:val="009A14D7"/>
    <w:rsid w:val="009A2686"/>
    <w:rsid w:val="009A3B6D"/>
    <w:rsid w:val="009A3BA7"/>
    <w:rsid w:val="009A4E30"/>
    <w:rsid w:val="009C0DEF"/>
    <w:rsid w:val="009C4975"/>
    <w:rsid w:val="009D2146"/>
    <w:rsid w:val="009D2979"/>
    <w:rsid w:val="009D2C98"/>
    <w:rsid w:val="009D4E52"/>
    <w:rsid w:val="009E023C"/>
    <w:rsid w:val="009E2484"/>
    <w:rsid w:val="009E28AC"/>
    <w:rsid w:val="009E3A91"/>
    <w:rsid w:val="009E4B81"/>
    <w:rsid w:val="009E6392"/>
    <w:rsid w:val="009E6985"/>
    <w:rsid w:val="009F6080"/>
    <w:rsid w:val="00A1338D"/>
    <w:rsid w:val="00A14345"/>
    <w:rsid w:val="00A457CD"/>
    <w:rsid w:val="00A474BF"/>
    <w:rsid w:val="00A5299F"/>
    <w:rsid w:val="00A53958"/>
    <w:rsid w:val="00A557F8"/>
    <w:rsid w:val="00A61073"/>
    <w:rsid w:val="00A669DC"/>
    <w:rsid w:val="00A746FC"/>
    <w:rsid w:val="00A76FE7"/>
    <w:rsid w:val="00A85B3B"/>
    <w:rsid w:val="00A9424D"/>
    <w:rsid w:val="00AA09BB"/>
    <w:rsid w:val="00AA359B"/>
    <w:rsid w:val="00AA39D5"/>
    <w:rsid w:val="00AB1D8D"/>
    <w:rsid w:val="00AB70B8"/>
    <w:rsid w:val="00AD45DA"/>
    <w:rsid w:val="00AD7F7D"/>
    <w:rsid w:val="00AE129C"/>
    <w:rsid w:val="00AE22AC"/>
    <w:rsid w:val="00AF2AE4"/>
    <w:rsid w:val="00AF39E6"/>
    <w:rsid w:val="00AF4669"/>
    <w:rsid w:val="00AF62A0"/>
    <w:rsid w:val="00B00E95"/>
    <w:rsid w:val="00B11E5C"/>
    <w:rsid w:val="00B12178"/>
    <w:rsid w:val="00B1583F"/>
    <w:rsid w:val="00B16E57"/>
    <w:rsid w:val="00B22308"/>
    <w:rsid w:val="00B238A0"/>
    <w:rsid w:val="00B23A62"/>
    <w:rsid w:val="00B34005"/>
    <w:rsid w:val="00B40DAD"/>
    <w:rsid w:val="00B42C58"/>
    <w:rsid w:val="00B513FF"/>
    <w:rsid w:val="00B52A34"/>
    <w:rsid w:val="00B54101"/>
    <w:rsid w:val="00B716C0"/>
    <w:rsid w:val="00B83351"/>
    <w:rsid w:val="00B83CDA"/>
    <w:rsid w:val="00B843EF"/>
    <w:rsid w:val="00B845A5"/>
    <w:rsid w:val="00BA4526"/>
    <w:rsid w:val="00BA45B4"/>
    <w:rsid w:val="00BB0184"/>
    <w:rsid w:val="00BB564D"/>
    <w:rsid w:val="00BC0371"/>
    <w:rsid w:val="00BC16F8"/>
    <w:rsid w:val="00BC3922"/>
    <w:rsid w:val="00BD290D"/>
    <w:rsid w:val="00BD453B"/>
    <w:rsid w:val="00BE02FF"/>
    <w:rsid w:val="00BE281A"/>
    <w:rsid w:val="00C021DF"/>
    <w:rsid w:val="00C14B7D"/>
    <w:rsid w:val="00C20A02"/>
    <w:rsid w:val="00C240CB"/>
    <w:rsid w:val="00C2636A"/>
    <w:rsid w:val="00C30A2B"/>
    <w:rsid w:val="00C31D28"/>
    <w:rsid w:val="00C35774"/>
    <w:rsid w:val="00C517FC"/>
    <w:rsid w:val="00C55915"/>
    <w:rsid w:val="00C638F7"/>
    <w:rsid w:val="00C76A62"/>
    <w:rsid w:val="00C877FC"/>
    <w:rsid w:val="00C97ABD"/>
    <w:rsid w:val="00CA60FB"/>
    <w:rsid w:val="00CB5614"/>
    <w:rsid w:val="00CC2A3F"/>
    <w:rsid w:val="00CC496E"/>
    <w:rsid w:val="00CC679D"/>
    <w:rsid w:val="00CD1830"/>
    <w:rsid w:val="00CD514C"/>
    <w:rsid w:val="00CE6AF3"/>
    <w:rsid w:val="00D12C5C"/>
    <w:rsid w:val="00D21B7B"/>
    <w:rsid w:val="00D24C3A"/>
    <w:rsid w:val="00D24C45"/>
    <w:rsid w:val="00D256BB"/>
    <w:rsid w:val="00D259C9"/>
    <w:rsid w:val="00D317A6"/>
    <w:rsid w:val="00D31FBE"/>
    <w:rsid w:val="00D34A20"/>
    <w:rsid w:val="00D42AB2"/>
    <w:rsid w:val="00D46637"/>
    <w:rsid w:val="00D51226"/>
    <w:rsid w:val="00D5250E"/>
    <w:rsid w:val="00D61710"/>
    <w:rsid w:val="00D72627"/>
    <w:rsid w:val="00D8703F"/>
    <w:rsid w:val="00DA5F09"/>
    <w:rsid w:val="00DA6732"/>
    <w:rsid w:val="00DA7E66"/>
    <w:rsid w:val="00DB09A5"/>
    <w:rsid w:val="00DB319A"/>
    <w:rsid w:val="00DC3967"/>
    <w:rsid w:val="00DC6A5E"/>
    <w:rsid w:val="00DD17FA"/>
    <w:rsid w:val="00DD25B5"/>
    <w:rsid w:val="00DE1CD0"/>
    <w:rsid w:val="00DE1F1F"/>
    <w:rsid w:val="00DE6542"/>
    <w:rsid w:val="00DF059E"/>
    <w:rsid w:val="00DF5E3E"/>
    <w:rsid w:val="00E1242D"/>
    <w:rsid w:val="00E1453C"/>
    <w:rsid w:val="00E17EFA"/>
    <w:rsid w:val="00E206D2"/>
    <w:rsid w:val="00E329B8"/>
    <w:rsid w:val="00E331B2"/>
    <w:rsid w:val="00E35C48"/>
    <w:rsid w:val="00E37B11"/>
    <w:rsid w:val="00E421E5"/>
    <w:rsid w:val="00E467B9"/>
    <w:rsid w:val="00E70235"/>
    <w:rsid w:val="00E757E7"/>
    <w:rsid w:val="00E8508C"/>
    <w:rsid w:val="00E92119"/>
    <w:rsid w:val="00E93854"/>
    <w:rsid w:val="00EA53E7"/>
    <w:rsid w:val="00EA7A47"/>
    <w:rsid w:val="00EB43E8"/>
    <w:rsid w:val="00EB54D3"/>
    <w:rsid w:val="00EF0E3C"/>
    <w:rsid w:val="00EF5376"/>
    <w:rsid w:val="00F0572B"/>
    <w:rsid w:val="00F107B7"/>
    <w:rsid w:val="00F113A2"/>
    <w:rsid w:val="00F14356"/>
    <w:rsid w:val="00F1571F"/>
    <w:rsid w:val="00F17B0D"/>
    <w:rsid w:val="00F27C4C"/>
    <w:rsid w:val="00F33F8D"/>
    <w:rsid w:val="00F354F0"/>
    <w:rsid w:val="00F53945"/>
    <w:rsid w:val="00F568C7"/>
    <w:rsid w:val="00F65F69"/>
    <w:rsid w:val="00F6626B"/>
    <w:rsid w:val="00F662FF"/>
    <w:rsid w:val="00F73C0A"/>
    <w:rsid w:val="00F83E52"/>
    <w:rsid w:val="00F86528"/>
    <w:rsid w:val="00FA2865"/>
    <w:rsid w:val="00FB37B2"/>
    <w:rsid w:val="00FC1415"/>
    <w:rsid w:val="00FC5830"/>
    <w:rsid w:val="00FD476E"/>
    <w:rsid w:val="00FE4FD0"/>
    <w:rsid w:val="00FF3CB1"/>
    <w:rsid w:val="00FF7517"/>
    <w:rsid w:val="2F9D6590"/>
    <w:rsid w:val="3D1DA235"/>
    <w:rsid w:val="3FFFA5E6"/>
    <w:rsid w:val="49C2109D"/>
    <w:rsid w:val="50C71E6E"/>
    <w:rsid w:val="58CFEB4A"/>
    <w:rsid w:val="5BB60D6F"/>
    <w:rsid w:val="5DA70D4F"/>
    <w:rsid w:val="5FEF310D"/>
    <w:rsid w:val="6BFF2C36"/>
    <w:rsid w:val="6CFFCD59"/>
    <w:rsid w:val="6F9C8477"/>
    <w:rsid w:val="6FDF8045"/>
    <w:rsid w:val="7497BBC6"/>
    <w:rsid w:val="77EEFEBC"/>
    <w:rsid w:val="7E2F26C0"/>
    <w:rsid w:val="7F638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BC59A"/>
  <w15:docId w15:val="{96FF4AF8-CBC8-439C-8810-BF2EEB55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ind w:firstLineChars="200" w:firstLine="643"/>
      <w:jc w:val="center"/>
      <w:outlineLvl w:val="0"/>
    </w:pPr>
    <w:rPr>
      <w:rFonts w:ascii="仿宋_GB2312" w:eastAsia="仿宋_GB2312" w:hAnsi="华文中宋"/>
      <w:b/>
      <w:bCs/>
      <w:kern w:val="44"/>
      <w:sz w:val="32"/>
      <w:szCs w:val="32"/>
    </w:rPr>
  </w:style>
  <w:style w:type="paragraph" w:styleId="2">
    <w:name w:val="heading 2"/>
    <w:basedOn w:val="a"/>
    <w:next w:val="a"/>
    <w:link w:val="20"/>
    <w:uiPriority w:val="9"/>
    <w:unhideWhenUsed/>
    <w:qFormat/>
    <w:pPr>
      <w:keepNext/>
      <w:keepLines/>
      <w:spacing w:before="260" w:after="260" w:line="416" w:lineRule="auto"/>
      <w:jc w:val="center"/>
      <w:outlineLvl w:val="1"/>
    </w:pPr>
    <w:rPr>
      <w:rFonts w:ascii="仿宋_GB2312" w:eastAsia="仿宋_GB2312"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Pr>
      <w:rFonts w:eastAsia="仿宋_GB2312"/>
      <w:sz w:val="28"/>
    </w:rPr>
  </w:style>
  <w:style w:type="paragraph" w:styleId="ab">
    <w:name w:val="footnote text"/>
    <w:basedOn w:val="a"/>
    <w:link w:val="ac"/>
    <w:uiPriority w:val="99"/>
    <w:semiHidden/>
    <w:unhideWhenUsed/>
    <w:qFormat/>
    <w:pPr>
      <w:snapToGrid w:val="0"/>
      <w:jc w:val="left"/>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b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character" w:styleId="af3">
    <w:name w:val="footnote reference"/>
    <w:basedOn w:val="a0"/>
    <w:uiPriority w:val="99"/>
    <w:semiHidden/>
    <w:unhideWhenUsed/>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rFonts w:ascii="仿宋_GB2312" w:eastAsia="仿宋_GB2312" w:hAnsi="华文中宋"/>
      <w:b/>
      <w:bCs/>
      <w:kern w:val="44"/>
      <w:sz w:val="32"/>
      <w:szCs w:val="32"/>
    </w:rPr>
  </w:style>
  <w:style w:type="character" w:customStyle="1" w:styleId="ac">
    <w:name w:val="脚注文本 字符"/>
    <w:basedOn w:val="a0"/>
    <w:link w:val="ab"/>
    <w:uiPriority w:val="99"/>
    <w:semiHidden/>
    <w:qFormat/>
    <w:rPr>
      <w:sz w:val="18"/>
      <w:szCs w:val="18"/>
    </w:rPr>
  </w:style>
  <w:style w:type="paragraph" w:styleId="af4">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02parties">
    <w:name w:val="02parties"/>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ustomunionstyle">
    <w:name w:val="custom_unionstyle"/>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2">
    <w:name w:val="1"/>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20">
    <w:name w:val="标题 2 字符"/>
    <w:basedOn w:val="a0"/>
    <w:link w:val="2"/>
    <w:uiPriority w:val="9"/>
    <w:qFormat/>
    <w:rPr>
      <w:rFonts w:ascii="仿宋_GB2312" w:eastAsia="仿宋_GB2312"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顾秀娟</cp:lastModifiedBy>
  <cp:revision>387</cp:revision>
  <cp:lastPrinted>2021-07-11T10:31:00Z</cp:lastPrinted>
  <dcterms:created xsi:type="dcterms:W3CDTF">2021-07-06T11:38:00Z</dcterms:created>
  <dcterms:modified xsi:type="dcterms:W3CDTF">2022-04-28T09:38:00Z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2A85D5A69D9943D184661BA6CBA4B1DA</vt:lpwstr>
  </property>
</Properties>
</file>