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6AA" w:rsidRDefault="00CB46AA" w:rsidP="00CB46AA">
      <w:pPr>
        <w:spacing w:line="540" w:lineRule="exact"/>
        <w:rPr>
          <w:rFonts w:ascii="仿宋_GB2312" w:eastAsia="仿宋_GB2312" w:hint="eastAsia"/>
          <w:b/>
          <w:sz w:val="30"/>
          <w:szCs w:val="30"/>
        </w:rPr>
      </w:pPr>
      <w:r>
        <w:rPr>
          <w:rFonts w:ascii="仿宋_GB2312" w:eastAsia="仿宋_GB2312" w:hint="eastAsia"/>
          <w:b/>
          <w:sz w:val="30"/>
          <w:szCs w:val="30"/>
        </w:rPr>
        <w:t>附件2</w:t>
      </w:r>
    </w:p>
    <w:p w:rsidR="00CB46AA" w:rsidRDefault="00CB46AA" w:rsidP="00CB46AA">
      <w:pPr>
        <w:spacing w:line="540" w:lineRule="exact"/>
        <w:rPr>
          <w:rFonts w:ascii="仿宋_GB2312" w:eastAsia="仿宋_GB2312" w:hint="eastAsia"/>
          <w:b/>
          <w:sz w:val="30"/>
          <w:szCs w:val="30"/>
        </w:rPr>
      </w:pPr>
    </w:p>
    <w:p w:rsidR="00CB46AA" w:rsidRDefault="00CB46AA" w:rsidP="00CB46AA">
      <w:pPr>
        <w:spacing w:line="600" w:lineRule="exact"/>
        <w:ind w:leftChars="150" w:left="315"/>
        <w:jc w:val="center"/>
        <w:rPr>
          <w:rFonts w:ascii="方正大标宋简体" w:eastAsia="方正大标宋简体" w:hint="eastAsia"/>
          <w:sz w:val="42"/>
          <w:szCs w:val="42"/>
        </w:rPr>
      </w:pPr>
      <w:r w:rsidRPr="008926E9">
        <w:rPr>
          <w:rFonts w:ascii="方正大标宋简体" w:eastAsia="方正大标宋简体" w:hint="eastAsia"/>
          <w:sz w:val="42"/>
          <w:szCs w:val="42"/>
        </w:rPr>
        <w:t>上海证券交易所交易规则</w:t>
      </w:r>
    </w:p>
    <w:p w:rsidR="00CB46AA" w:rsidRPr="008926E9" w:rsidRDefault="00CB46AA" w:rsidP="00CB46AA">
      <w:pPr>
        <w:spacing w:line="600" w:lineRule="exact"/>
        <w:ind w:leftChars="150" w:left="315"/>
        <w:jc w:val="center"/>
        <w:rPr>
          <w:rFonts w:ascii="方正大标宋简体" w:eastAsia="方正大标宋简体" w:hint="eastAsia"/>
          <w:sz w:val="42"/>
          <w:szCs w:val="42"/>
        </w:rPr>
      </w:pPr>
      <w:r w:rsidRPr="008926E9">
        <w:rPr>
          <w:rFonts w:ascii="方正大标宋简体" w:eastAsia="方正大标宋简体" w:hint="eastAsia"/>
          <w:sz w:val="42"/>
          <w:szCs w:val="42"/>
        </w:rPr>
        <w:t>（2020年第二次修订）修订条文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662"/>
        <w:gridCol w:w="7884"/>
      </w:tblGrid>
      <w:tr w:rsidR="00CB46AA" w:rsidRPr="008926E9" w:rsidTr="0040376F">
        <w:trPr>
          <w:trHeight w:val="284"/>
        </w:trPr>
        <w:tc>
          <w:tcPr>
            <w:tcW w:w="0" w:type="auto"/>
            <w:shd w:val="clear" w:color="auto" w:fill="FFFFFF"/>
            <w:noWrap/>
            <w:tcMar>
              <w:top w:w="90" w:type="dxa"/>
              <w:left w:w="120" w:type="dxa"/>
              <w:bottom w:w="90" w:type="dxa"/>
              <w:right w:w="120" w:type="dxa"/>
            </w:tcMar>
            <w:vAlign w:val="center"/>
            <w:hideMark/>
          </w:tcPr>
          <w:p w:rsidR="00CB46AA" w:rsidRPr="008926E9" w:rsidRDefault="00CB46AA" w:rsidP="0040376F">
            <w:pPr>
              <w:snapToGrid w:val="0"/>
              <w:jc w:val="center"/>
              <w:rPr>
                <w:rFonts w:ascii="仿宋_GB2312" w:eastAsia="仿宋_GB2312" w:hint="eastAsia"/>
                <w:b/>
              </w:rPr>
            </w:pPr>
            <w:r w:rsidRPr="008926E9">
              <w:rPr>
                <w:rFonts w:ascii="仿宋_GB2312" w:eastAsia="仿宋_GB2312" w:hint="eastAsia"/>
                <w:b/>
              </w:rPr>
              <w:t>序号</w:t>
            </w:r>
          </w:p>
        </w:tc>
        <w:tc>
          <w:tcPr>
            <w:tcW w:w="0" w:type="auto"/>
            <w:shd w:val="clear" w:color="auto" w:fill="FFFFFF"/>
            <w:noWrap/>
            <w:tcMar>
              <w:top w:w="90" w:type="dxa"/>
              <w:left w:w="120" w:type="dxa"/>
              <w:bottom w:w="90" w:type="dxa"/>
              <w:right w:w="120" w:type="dxa"/>
            </w:tcMar>
            <w:vAlign w:val="center"/>
            <w:hideMark/>
          </w:tcPr>
          <w:p w:rsidR="00CB46AA" w:rsidRPr="008926E9" w:rsidRDefault="00CB46AA" w:rsidP="0040376F">
            <w:pPr>
              <w:snapToGrid w:val="0"/>
              <w:jc w:val="center"/>
              <w:rPr>
                <w:rFonts w:ascii="仿宋_GB2312" w:eastAsia="仿宋_GB2312" w:hint="eastAsia"/>
                <w:b/>
              </w:rPr>
            </w:pPr>
            <w:r w:rsidRPr="008926E9">
              <w:rPr>
                <w:rFonts w:ascii="仿宋_GB2312" w:eastAsia="仿宋_GB2312" w:hint="eastAsia"/>
                <w:b/>
              </w:rPr>
              <w:t>修订内容</w:t>
            </w:r>
          </w:p>
        </w:tc>
      </w:tr>
      <w:tr w:rsidR="00CB46AA" w:rsidRPr="008926E9" w:rsidTr="0040376F">
        <w:trPr>
          <w:trHeight w:val="284"/>
        </w:trPr>
        <w:tc>
          <w:tcPr>
            <w:tcW w:w="0" w:type="auto"/>
            <w:shd w:val="clear" w:color="auto" w:fill="FFFFFF"/>
            <w:tcMar>
              <w:top w:w="90" w:type="dxa"/>
              <w:left w:w="75" w:type="dxa"/>
              <w:bottom w:w="90" w:type="dxa"/>
              <w:right w:w="75" w:type="dxa"/>
            </w:tcMar>
            <w:vAlign w:val="center"/>
            <w:hideMark/>
          </w:tcPr>
          <w:p w:rsidR="00CB46AA" w:rsidRPr="008926E9" w:rsidRDefault="00CB46AA" w:rsidP="0040376F">
            <w:pPr>
              <w:snapToGrid w:val="0"/>
              <w:jc w:val="center"/>
              <w:rPr>
                <w:rFonts w:ascii="仿宋_GB2312" w:eastAsia="仿宋_GB2312" w:hint="eastAsia"/>
              </w:rPr>
            </w:pPr>
            <w:r w:rsidRPr="008926E9">
              <w:rPr>
                <w:rFonts w:ascii="仿宋_GB2312" w:eastAsia="仿宋_GB2312" w:hint="eastAsia"/>
              </w:rPr>
              <w:t>1</w:t>
            </w:r>
          </w:p>
        </w:tc>
        <w:tc>
          <w:tcPr>
            <w:tcW w:w="0" w:type="auto"/>
            <w:shd w:val="clear" w:color="auto" w:fill="FFFFFF"/>
            <w:tcMar>
              <w:top w:w="90" w:type="dxa"/>
              <w:left w:w="75" w:type="dxa"/>
              <w:bottom w:w="90" w:type="dxa"/>
              <w:right w:w="75" w:type="dxa"/>
            </w:tcMar>
            <w:vAlign w:val="center"/>
            <w:hideMark/>
          </w:tcPr>
          <w:p w:rsidR="00CB46AA" w:rsidRPr="008926E9" w:rsidRDefault="00CB46AA" w:rsidP="0040376F">
            <w:pPr>
              <w:snapToGrid w:val="0"/>
              <w:rPr>
                <w:rFonts w:ascii="仿宋_GB2312" w:eastAsia="仿宋_GB2312" w:hint="eastAsia"/>
              </w:rPr>
            </w:pPr>
            <w:r w:rsidRPr="008926E9">
              <w:rPr>
                <w:rFonts w:ascii="仿宋_GB2312" w:eastAsia="仿宋_GB2312" w:hint="eastAsia"/>
              </w:rPr>
              <w:t>2.3 下列证券可以在本所市场挂牌交易：</w:t>
            </w:r>
          </w:p>
          <w:p w:rsidR="00CB46AA" w:rsidRPr="008926E9" w:rsidRDefault="00CB46AA" w:rsidP="0040376F">
            <w:pPr>
              <w:snapToGrid w:val="0"/>
              <w:ind w:firstLine="420"/>
              <w:rPr>
                <w:rFonts w:ascii="仿宋_GB2312" w:eastAsia="仿宋_GB2312" w:hint="eastAsia"/>
              </w:rPr>
            </w:pPr>
            <w:r w:rsidRPr="008926E9">
              <w:rPr>
                <w:rFonts w:ascii="仿宋_GB2312" w:eastAsia="仿宋_GB2312" w:hint="eastAsia"/>
              </w:rPr>
              <w:t>（一）股票；</w:t>
            </w:r>
          </w:p>
          <w:p w:rsidR="00CB46AA" w:rsidRPr="008926E9" w:rsidRDefault="00CB46AA" w:rsidP="0040376F">
            <w:pPr>
              <w:snapToGrid w:val="0"/>
              <w:ind w:firstLine="420"/>
              <w:rPr>
                <w:rFonts w:ascii="仿宋_GB2312" w:eastAsia="仿宋_GB2312" w:hint="eastAsia"/>
              </w:rPr>
            </w:pPr>
            <w:r w:rsidRPr="008926E9">
              <w:rPr>
                <w:rFonts w:ascii="仿宋_GB2312" w:eastAsia="仿宋_GB2312" w:hint="eastAsia"/>
              </w:rPr>
              <w:t>（二）基金；</w:t>
            </w:r>
          </w:p>
          <w:p w:rsidR="00CB46AA" w:rsidRPr="008926E9" w:rsidRDefault="00CB46AA" w:rsidP="0040376F">
            <w:pPr>
              <w:snapToGrid w:val="0"/>
              <w:ind w:firstLine="420"/>
              <w:rPr>
                <w:rFonts w:ascii="仿宋_GB2312" w:eastAsia="仿宋_GB2312" w:hint="eastAsia"/>
              </w:rPr>
            </w:pPr>
            <w:r w:rsidRPr="008926E9">
              <w:rPr>
                <w:rFonts w:ascii="仿宋_GB2312" w:eastAsia="仿宋_GB2312" w:hint="eastAsia"/>
              </w:rPr>
              <w:t>（三）债券；</w:t>
            </w:r>
          </w:p>
          <w:p w:rsidR="00CB46AA" w:rsidRPr="008926E9" w:rsidRDefault="00CB46AA" w:rsidP="0040376F">
            <w:pPr>
              <w:snapToGrid w:val="0"/>
              <w:ind w:firstLine="420"/>
              <w:rPr>
                <w:rFonts w:ascii="仿宋_GB2312" w:eastAsia="仿宋_GB2312" w:hint="eastAsia"/>
              </w:rPr>
            </w:pPr>
            <w:r w:rsidRPr="008926E9">
              <w:rPr>
                <w:rFonts w:ascii="仿宋_GB2312" w:eastAsia="仿宋_GB2312" w:hint="eastAsia"/>
              </w:rPr>
              <w:t>（四）债券回购；</w:t>
            </w:r>
          </w:p>
          <w:p w:rsidR="00CB46AA" w:rsidRPr="008926E9" w:rsidRDefault="00CB46AA" w:rsidP="0040376F">
            <w:pPr>
              <w:snapToGrid w:val="0"/>
              <w:ind w:firstLine="420"/>
              <w:rPr>
                <w:rFonts w:ascii="仿宋_GB2312" w:eastAsia="仿宋_GB2312" w:hint="eastAsia"/>
              </w:rPr>
            </w:pPr>
            <w:r w:rsidRPr="008926E9">
              <w:rPr>
                <w:rFonts w:ascii="仿宋_GB2312" w:eastAsia="仿宋_GB2312" w:hint="eastAsia"/>
              </w:rPr>
              <w:t>（五）权证；</w:t>
            </w:r>
          </w:p>
          <w:p w:rsidR="00CB46AA" w:rsidRPr="008926E9" w:rsidRDefault="00CB46AA" w:rsidP="0040376F">
            <w:pPr>
              <w:snapToGrid w:val="0"/>
              <w:ind w:firstLine="420"/>
              <w:rPr>
                <w:rFonts w:ascii="仿宋_GB2312" w:eastAsia="仿宋_GB2312" w:hint="eastAsia"/>
              </w:rPr>
            </w:pPr>
            <w:r w:rsidRPr="008926E9">
              <w:rPr>
                <w:rFonts w:ascii="仿宋_GB2312" w:eastAsia="仿宋_GB2312" w:hint="eastAsia"/>
              </w:rPr>
              <w:t>（六）存托凭证；</w:t>
            </w:r>
          </w:p>
          <w:p w:rsidR="00CB46AA" w:rsidRPr="008926E9" w:rsidRDefault="00CB46AA" w:rsidP="0040376F">
            <w:pPr>
              <w:snapToGrid w:val="0"/>
              <w:ind w:firstLine="420"/>
              <w:rPr>
                <w:rFonts w:ascii="仿宋_GB2312" w:eastAsia="仿宋_GB2312" w:hint="eastAsia"/>
              </w:rPr>
            </w:pPr>
            <w:r w:rsidRPr="008926E9">
              <w:rPr>
                <w:rFonts w:ascii="仿宋_GB2312" w:eastAsia="仿宋_GB2312" w:hint="eastAsia"/>
              </w:rPr>
              <w:t>（七）经证监会批准的其他交易品种。</w:t>
            </w:r>
          </w:p>
        </w:tc>
      </w:tr>
      <w:tr w:rsidR="00CB46AA" w:rsidRPr="008926E9" w:rsidTr="0040376F">
        <w:trPr>
          <w:trHeight w:val="284"/>
        </w:trPr>
        <w:tc>
          <w:tcPr>
            <w:tcW w:w="0" w:type="auto"/>
            <w:shd w:val="clear" w:color="auto" w:fill="FFFFFF"/>
            <w:tcMar>
              <w:top w:w="90" w:type="dxa"/>
              <w:left w:w="75" w:type="dxa"/>
              <w:bottom w:w="90" w:type="dxa"/>
              <w:right w:w="75" w:type="dxa"/>
            </w:tcMar>
            <w:vAlign w:val="center"/>
            <w:hideMark/>
          </w:tcPr>
          <w:p w:rsidR="00CB46AA" w:rsidRPr="008926E9" w:rsidRDefault="00CB46AA" w:rsidP="0040376F">
            <w:pPr>
              <w:snapToGrid w:val="0"/>
              <w:jc w:val="center"/>
              <w:rPr>
                <w:rFonts w:ascii="仿宋_GB2312" w:eastAsia="仿宋_GB2312" w:hint="eastAsia"/>
              </w:rPr>
            </w:pPr>
            <w:r w:rsidRPr="008926E9">
              <w:rPr>
                <w:rFonts w:ascii="仿宋_GB2312" w:eastAsia="仿宋_GB2312" w:hint="eastAsia"/>
              </w:rPr>
              <w:t>2</w:t>
            </w:r>
          </w:p>
        </w:tc>
        <w:tc>
          <w:tcPr>
            <w:tcW w:w="0" w:type="auto"/>
            <w:shd w:val="clear" w:color="auto" w:fill="FFFFFF"/>
            <w:tcMar>
              <w:top w:w="90" w:type="dxa"/>
              <w:left w:w="75" w:type="dxa"/>
              <w:bottom w:w="90" w:type="dxa"/>
              <w:right w:w="75" w:type="dxa"/>
            </w:tcMar>
            <w:vAlign w:val="center"/>
            <w:hideMark/>
          </w:tcPr>
          <w:p w:rsidR="00CB46AA" w:rsidRPr="008926E9" w:rsidRDefault="00CB46AA" w:rsidP="0040376F">
            <w:pPr>
              <w:snapToGrid w:val="0"/>
              <w:rPr>
                <w:rFonts w:ascii="仿宋_GB2312" w:eastAsia="仿宋_GB2312" w:hint="eastAsia"/>
              </w:rPr>
            </w:pPr>
            <w:r w:rsidRPr="008926E9">
              <w:rPr>
                <w:rFonts w:ascii="仿宋_GB2312" w:eastAsia="仿宋_GB2312" w:hint="eastAsia"/>
              </w:rPr>
              <w:t>5.1.1 本所每个交易日实时发布证券交易即时行情、证券指数，并发布证券交易公开信息等交易信息。</w:t>
            </w:r>
          </w:p>
        </w:tc>
      </w:tr>
      <w:tr w:rsidR="00CB46AA" w:rsidRPr="008926E9" w:rsidTr="0040376F">
        <w:trPr>
          <w:trHeight w:val="284"/>
        </w:trPr>
        <w:tc>
          <w:tcPr>
            <w:tcW w:w="0" w:type="auto"/>
            <w:shd w:val="clear" w:color="auto" w:fill="FFFFFF"/>
            <w:tcMar>
              <w:top w:w="90" w:type="dxa"/>
              <w:left w:w="75" w:type="dxa"/>
              <w:bottom w:w="90" w:type="dxa"/>
              <w:right w:w="75" w:type="dxa"/>
            </w:tcMar>
            <w:vAlign w:val="center"/>
            <w:hideMark/>
          </w:tcPr>
          <w:p w:rsidR="00CB46AA" w:rsidRPr="008926E9" w:rsidRDefault="00CB46AA" w:rsidP="0040376F">
            <w:pPr>
              <w:snapToGrid w:val="0"/>
              <w:jc w:val="center"/>
              <w:rPr>
                <w:rFonts w:ascii="仿宋_GB2312" w:eastAsia="仿宋_GB2312" w:hint="eastAsia"/>
              </w:rPr>
            </w:pPr>
            <w:r w:rsidRPr="008926E9">
              <w:rPr>
                <w:rFonts w:ascii="仿宋_GB2312" w:eastAsia="仿宋_GB2312" w:hint="eastAsia"/>
              </w:rPr>
              <w:t>3</w:t>
            </w:r>
          </w:p>
        </w:tc>
        <w:tc>
          <w:tcPr>
            <w:tcW w:w="0" w:type="auto"/>
            <w:shd w:val="clear" w:color="auto" w:fill="FFFFFF"/>
            <w:tcMar>
              <w:top w:w="90" w:type="dxa"/>
              <w:left w:w="75" w:type="dxa"/>
              <w:bottom w:w="90" w:type="dxa"/>
              <w:right w:w="75" w:type="dxa"/>
            </w:tcMar>
            <w:vAlign w:val="center"/>
            <w:hideMark/>
          </w:tcPr>
          <w:p w:rsidR="00CB46AA" w:rsidRPr="008926E9" w:rsidRDefault="00CB46AA" w:rsidP="0040376F">
            <w:pPr>
              <w:snapToGrid w:val="0"/>
              <w:rPr>
                <w:rFonts w:ascii="仿宋_GB2312" w:eastAsia="仿宋_GB2312" w:hint="eastAsia"/>
              </w:rPr>
            </w:pPr>
            <w:r w:rsidRPr="008926E9">
              <w:rPr>
                <w:rFonts w:ascii="仿宋_GB2312" w:eastAsia="仿宋_GB2312" w:hint="eastAsia"/>
              </w:rPr>
              <w:t>7.1 因下列突发性事件，导致部分或全部证券交易不能正常进行的，为维护证券交易正常秩序和市场公平，本所可以决定采取技术性停牌、临时停市等处置措施：</w:t>
            </w:r>
          </w:p>
          <w:p w:rsidR="00CB46AA" w:rsidRPr="008926E9" w:rsidRDefault="00CB46AA" w:rsidP="0040376F">
            <w:pPr>
              <w:snapToGrid w:val="0"/>
              <w:ind w:firstLine="420"/>
              <w:rPr>
                <w:rFonts w:ascii="仿宋_GB2312" w:eastAsia="仿宋_GB2312" w:hint="eastAsia"/>
              </w:rPr>
            </w:pPr>
            <w:r w:rsidRPr="008926E9">
              <w:rPr>
                <w:rFonts w:ascii="仿宋_GB2312" w:eastAsia="仿宋_GB2312" w:hint="eastAsia"/>
              </w:rPr>
              <w:t>（一）不可抗力；</w:t>
            </w:r>
          </w:p>
          <w:p w:rsidR="00CB46AA" w:rsidRPr="008926E9" w:rsidRDefault="00CB46AA" w:rsidP="0040376F">
            <w:pPr>
              <w:snapToGrid w:val="0"/>
              <w:ind w:firstLine="420"/>
              <w:rPr>
                <w:rFonts w:ascii="仿宋_GB2312" w:eastAsia="仿宋_GB2312" w:hint="eastAsia"/>
              </w:rPr>
            </w:pPr>
            <w:r w:rsidRPr="008926E9">
              <w:rPr>
                <w:rFonts w:ascii="仿宋_GB2312" w:eastAsia="仿宋_GB2312" w:hint="eastAsia"/>
              </w:rPr>
              <w:t>（二）意外事件；</w:t>
            </w:r>
          </w:p>
          <w:p w:rsidR="00CB46AA" w:rsidRPr="008926E9" w:rsidRDefault="00CB46AA" w:rsidP="0040376F">
            <w:pPr>
              <w:snapToGrid w:val="0"/>
              <w:ind w:firstLine="420"/>
              <w:rPr>
                <w:rFonts w:ascii="仿宋_GB2312" w:eastAsia="仿宋_GB2312" w:hint="eastAsia"/>
              </w:rPr>
            </w:pPr>
            <w:r w:rsidRPr="008926E9">
              <w:rPr>
                <w:rFonts w:ascii="仿宋_GB2312" w:eastAsia="仿宋_GB2312" w:hint="eastAsia"/>
              </w:rPr>
              <w:t>（三）重大技术故障</w:t>
            </w:r>
            <w:r>
              <w:rPr>
                <w:rFonts w:ascii="仿宋_GB2312" w:eastAsia="仿宋_GB2312" w:hint="eastAsia"/>
              </w:rPr>
              <w:t>；</w:t>
            </w:r>
          </w:p>
          <w:p w:rsidR="00CB46AA" w:rsidRPr="008926E9" w:rsidRDefault="00CB46AA" w:rsidP="0040376F">
            <w:pPr>
              <w:snapToGrid w:val="0"/>
              <w:ind w:firstLine="420"/>
              <w:rPr>
                <w:rFonts w:ascii="仿宋_GB2312" w:eastAsia="仿宋_GB2312" w:hint="eastAsia"/>
              </w:rPr>
            </w:pPr>
            <w:r w:rsidRPr="008926E9">
              <w:rPr>
                <w:rFonts w:ascii="仿宋_GB2312" w:eastAsia="仿宋_GB2312" w:hint="eastAsia"/>
              </w:rPr>
              <w:t>（四）重大人为差错；</w:t>
            </w:r>
          </w:p>
          <w:p w:rsidR="00CB46AA" w:rsidRPr="008926E9" w:rsidRDefault="00CB46AA" w:rsidP="0040376F">
            <w:pPr>
              <w:snapToGrid w:val="0"/>
              <w:ind w:firstLine="420"/>
              <w:rPr>
                <w:rFonts w:ascii="仿宋_GB2312" w:eastAsia="仿宋_GB2312" w:hint="eastAsia"/>
              </w:rPr>
            </w:pPr>
            <w:r w:rsidRPr="008926E9">
              <w:rPr>
                <w:rFonts w:ascii="仿宋_GB2312" w:eastAsia="仿宋_GB2312" w:hint="eastAsia"/>
              </w:rPr>
              <w:t>（五）本所认定的其他异常情况。</w:t>
            </w:r>
          </w:p>
          <w:p w:rsidR="00CB46AA" w:rsidRPr="008926E9" w:rsidRDefault="00CB46AA" w:rsidP="0040376F">
            <w:pPr>
              <w:snapToGrid w:val="0"/>
              <w:ind w:firstLine="420"/>
              <w:rPr>
                <w:rFonts w:ascii="仿宋_GB2312" w:eastAsia="仿宋_GB2312" w:hint="eastAsia"/>
              </w:rPr>
            </w:pPr>
            <w:r w:rsidRPr="008926E9">
              <w:rPr>
                <w:rFonts w:ascii="仿宋_GB2312" w:eastAsia="仿宋_GB2312" w:hint="eastAsia"/>
              </w:rPr>
              <w:t>因前款规定的突发性事件导致证券交易结果出现重大异常，按交易结果进行交收将对证券交易正常秩序和市场公平造成重大影响的，本所可以采取取消交易、通知证券登记结算机构暂缓交收等措施。</w:t>
            </w:r>
          </w:p>
        </w:tc>
      </w:tr>
      <w:tr w:rsidR="00CB46AA" w:rsidRPr="008926E9" w:rsidTr="0040376F">
        <w:trPr>
          <w:trHeight w:val="284"/>
        </w:trPr>
        <w:tc>
          <w:tcPr>
            <w:tcW w:w="0" w:type="auto"/>
            <w:shd w:val="clear" w:color="auto" w:fill="FFFFFF"/>
            <w:tcMar>
              <w:top w:w="90" w:type="dxa"/>
              <w:left w:w="75" w:type="dxa"/>
              <w:bottom w:w="90" w:type="dxa"/>
              <w:right w:w="75" w:type="dxa"/>
            </w:tcMar>
            <w:vAlign w:val="center"/>
            <w:hideMark/>
          </w:tcPr>
          <w:p w:rsidR="00CB46AA" w:rsidRPr="008926E9" w:rsidRDefault="00CB46AA" w:rsidP="0040376F">
            <w:pPr>
              <w:snapToGrid w:val="0"/>
              <w:jc w:val="center"/>
              <w:rPr>
                <w:rFonts w:ascii="仿宋_GB2312" w:eastAsia="仿宋_GB2312" w:hint="eastAsia"/>
              </w:rPr>
            </w:pPr>
            <w:r w:rsidRPr="008926E9">
              <w:rPr>
                <w:rFonts w:ascii="仿宋_GB2312" w:eastAsia="仿宋_GB2312" w:hint="eastAsia"/>
              </w:rPr>
              <w:t>4</w:t>
            </w:r>
          </w:p>
        </w:tc>
        <w:tc>
          <w:tcPr>
            <w:tcW w:w="0" w:type="auto"/>
            <w:shd w:val="clear" w:color="auto" w:fill="FFFFFF"/>
            <w:tcMar>
              <w:top w:w="90" w:type="dxa"/>
              <w:left w:w="75" w:type="dxa"/>
              <w:bottom w:w="90" w:type="dxa"/>
              <w:right w:w="75" w:type="dxa"/>
            </w:tcMar>
            <w:vAlign w:val="center"/>
            <w:hideMark/>
          </w:tcPr>
          <w:p w:rsidR="00CB46AA" w:rsidRPr="008926E9" w:rsidRDefault="00CB46AA" w:rsidP="0040376F">
            <w:pPr>
              <w:snapToGrid w:val="0"/>
              <w:rPr>
                <w:rFonts w:ascii="仿宋_GB2312" w:eastAsia="仿宋_GB2312" w:hint="eastAsia"/>
              </w:rPr>
            </w:pPr>
            <w:r w:rsidRPr="008926E9">
              <w:rPr>
                <w:rFonts w:ascii="仿宋_GB2312" w:eastAsia="仿宋_GB2312" w:hint="eastAsia"/>
              </w:rPr>
              <w:t>7.4 本所对技术性停牌、临时停市、取消交易、通知证券登记结算机构暂缓交收的决定予以公告，并及时向中国证监会报告。</w:t>
            </w:r>
          </w:p>
        </w:tc>
      </w:tr>
      <w:tr w:rsidR="00CB46AA" w:rsidRPr="008926E9" w:rsidTr="0040376F">
        <w:trPr>
          <w:trHeight w:val="284"/>
        </w:trPr>
        <w:tc>
          <w:tcPr>
            <w:tcW w:w="0" w:type="auto"/>
            <w:shd w:val="clear" w:color="auto" w:fill="FFFFFF"/>
            <w:tcMar>
              <w:top w:w="90" w:type="dxa"/>
              <w:left w:w="75" w:type="dxa"/>
              <w:bottom w:w="90" w:type="dxa"/>
              <w:right w:w="75" w:type="dxa"/>
            </w:tcMar>
            <w:vAlign w:val="center"/>
            <w:hideMark/>
          </w:tcPr>
          <w:p w:rsidR="00CB46AA" w:rsidRPr="008926E9" w:rsidRDefault="00CB46AA" w:rsidP="0040376F">
            <w:pPr>
              <w:snapToGrid w:val="0"/>
              <w:jc w:val="center"/>
              <w:rPr>
                <w:rFonts w:ascii="仿宋_GB2312" w:eastAsia="仿宋_GB2312" w:hint="eastAsia"/>
              </w:rPr>
            </w:pPr>
            <w:r w:rsidRPr="008926E9">
              <w:rPr>
                <w:rFonts w:ascii="仿宋_GB2312" w:eastAsia="仿宋_GB2312" w:hint="eastAsia"/>
              </w:rPr>
              <w:t>5</w:t>
            </w:r>
          </w:p>
        </w:tc>
        <w:tc>
          <w:tcPr>
            <w:tcW w:w="0" w:type="auto"/>
            <w:shd w:val="clear" w:color="auto" w:fill="FFFFFF"/>
            <w:tcMar>
              <w:top w:w="90" w:type="dxa"/>
              <w:left w:w="75" w:type="dxa"/>
              <w:bottom w:w="90" w:type="dxa"/>
              <w:right w:w="75" w:type="dxa"/>
            </w:tcMar>
            <w:vAlign w:val="center"/>
            <w:hideMark/>
          </w:tcPr>
          <w:p w:rsidR="00CB46AA" w:rsidRPr="008926E9" w:rsidRDefault="00CB46AA" w:rsidP="0040376F">
            <w:pPr>
              <w:snapToGrid w:val="0"/>
              <w:rPr>
                <w:rFonts w:ascii="仿宋_GB2312" w:eastAsia="仿宋_GB2312" w:hint="eastAsia"/>
              </w:rPr>
            </w:pPr>
            <w:r w:rsidRPr="008926E9">
              <w:rPr>
                <w:rFonts w:ascii="仿宋_GB2312" w:eastAsia="仿宋_GB2312" w:hint="eastAsia"/>
              </w:rPr>
              <w:t>7.6 本所对证券交易进行风险监测。出现重大异常波动的，本所可以采取限制交易、强制停牌等处置措施，并向证监会报告；严重影响证券市场稳定的，本所可以采取临时停市等处置措施并公告。具体办法由本所另行规定。</w:t>
            </w:r>
          </w:p>
        </w:tc>
      </w:tr>
      <w:tr w:rsidR="00CB46AA" w:rsidRPr="008926E9" w:rsidTr="0040376F">
        <w:trPr>
          <w:trHeight w:val="284"/>
        </w:trPr>
        <w:tc>
          <w:tcPr>
            <w:tcW w:w="0" w:type="auto"/>
            <w:shd w:val="clear" w:color="auto" w:fill="FFFFFF"/>
            <w:tcMar>
              <w:top w:w="90" w:type="dxa"/>
              <w:left w:w="75" w:type="dxa"/>
              <w:bottom w:w="90" w:type="dxa"/>
              <w:right w:w="75" w:type="dxa"/>
            </w:tcMar>
            <w:vAlign w:val="center"/>
            <w:hideMark/>
          </w:tcPr>
          <w:p w:rsidR="00CB46AA" w:rsidRPr="008926E9" w:rsidRDefault="00CB46AA" w:rsidP="0040376F">
            <w:pPr>
              <w:snapToGrid w:val="0"/>
              <w:jc w:val="center"/>
              <w:rPr>
                <w:rFonts w:ascii="仿宋_GB2312" w:eastAsia="仿宋_GB2312" w:hint="eastAsia"/>
              </w:rPr>
            </w:pPr>
            <w:r w:rsidRPr="008926E9">
              <w:rPr>
                <w:rFonts w:ascii="仿宋_GB2312" w:eastAsia="仿宋_GB2312" w:hint="eastAsia"/>
              </w:rPr>
              <w:t>6</w:t>
            </w:r>
          </w:p>
        </w:tc>
        <w:tc>
          <w:tcPr>
            <w:tcW w:w="0" w:type="auto"/>
            <w:shd w:val="clear" w:color="auto" w:fill="FFFFFF"/>
            <w:tcMar>
              <w:top w:w="90" w:type="dxa"/>
              <w:left w:w="75" w:type="dxa"/>
              <w:bottom w:w="90" w:type="dxa"/>
              <w:right w:w="75" w:type="dxa"/>
            </w:tcMar>
            <w:vAlign w:val="center"/>
            <w:hideMark/>
          </w:tcPr>
          <w:p w:rsidR="00CB46AA" w:rsidRPr="008926E9" w:rsidRDefault="00CB46AA" w:rsidP="0040376F">
            <w:pPr>
              <w:snapToGrid w:val="0"/>
              <w:rPr>
                <w:rFonts w:ascii="仿宋_GB2312" w:eastAsia="仿宋_GB2312" w:hint="eastAsia"/>
              </w:rPr>
            </w:pPr>
            <w:r w:rsidRPr="008926E9">
              <w:rPr>
                <w:rFonts w:ascii="仿宋_GB2312" w:eastAsia="仿宋_GB2312" w:hint="eastAsia"/>
              </w:rPr>
              <w:t>7.8 交易异常情况、重大异常波动及本所采取的相应措施造成的损失，本所不承担民事赔偿责任，但存在重大过错的除外。</w:t>
            </w:r>
          </w:p>
        </w:tc>
      </w:tr>
    </w:tbl>
    <w:p w:rsidR="00050A32" w:rsidRPr="00CB46AA" w:rsidRDefault="00050A32"/>
    <w:sectPr w:rsidR="00050A32" w:rsidRPr="00CB46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0A32" w:rsidRDefault="00050A32" w:rsidP="00CB46AA">
      <w:r>
        <w:separator/>
      </w:r>
    </w:p>
  </w:endnote>
  <w:endnote w:type="continuationSeparator" w:id="1">
    <w:p w:rsidR="00050A32" w:rsidRDefault="00050A32" w:rsidP="00CB46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大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0A32" w:rsidRDefault="00050A32" w:rsidP="00CB46AA">
      <w:r>
        <w:separator/>
      </w:r>
    </w:p>
  </w:footnote>
  <w:footnote w:type="continuationSeparator" w:id="1">
    <w:p w:rsidR="00050A32" w:rsidRDefault="00050A32" w:rsidP="00CB46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46AA"/>
    <w:rsid w:val="00050A32"/>
    <w:rsid w:val="00CB46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6A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46A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B46AA"/>
    <w:rPr>
      <w:sz w:val="18"/>
      <w:szCs w:val="18"/>
    </w:rPr>
  </w:style>
  <w:style w:type="paragraph" w:styleId="a4">
    <w:name w:val="footer"/>
    <w:basedOn w:val="a"/>
    <w:link w:val="Char0"/>
    <w:uiPriority w:val="99"/>
    <w:semiHidden/>
    <w:unhideWhenUsed/>
    <w:rsid w:val="00CB46A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B46A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Company>Hewlett-Packard Company</Company>
  <LinksUpToDate>false</LinksUpToDate>
  <CharactersWithSpaces>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2020-03-13T09:26:00Z</dcterms:created>
  <dcterms:modified xsi:type="dcterms:W3CDTF">2020-03-13T09:26:00Z</dcterms:modified>
</cp:coreProperties>
</file>