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A4E" w:rsidRPr="00BF1059" w:rsidRDefault="000C6A4E" w:rsidP="000C6A4E">
      <w:pPr>
        <w:spacing w:line="560" w:lineRule="exact"/>
        <w:rPr>
          <w:rFonts w:ascii="Times New Roman" w:eastAsia="仿宋" w:hAnsi="Times New Roman" w:cs="Times New Roman"/>
          <w:sz w:val="32"/>
          <w:szCs w:val="32"/>
        </w:rPr>
      </w:pPr>
      <w:r w:rsidRPr="00BF1059">
        <w:rPr>
          <w:rFonts w:ascii="Times New Roman" w:eastAsia="仿宋" w:hAnsi="Times New Roman" w:cs="Times New Roman"/>
          <w:sz w:val="32"/>
          <w:szCs w:val="32"/>
        </w:rPr>
        <w:t>附件</w:t>
      </w:r>
      <w:r w:rsidRPr="00BF1059">
        <w:rPr>
          <w:rFonts w:ascii="Times New Roman" w:eastAsia="仿宋" w:hAnsi="Times New Roman" w:cs="Times New Roman" w:hint="eastAsia"/>
          <w:sz w:val="32"/>
          <w:szCs w:val="32"/>
        </w:rPr>
        <w:t>4</w:t>
      </w:r>
      <w:r w:rsidRPr="00BF1059">
        <w:rPr>
          <w:rFonts w:ascii="Times New Roman" w:eastAsia="仿宋" w:hAnsi="Times New Roman" w:cs="Times New Roman"/>
          <w:sz w:val="32"/>
          <w:szCs w:val="32"/>
        </w:rPr>
        <w:t>：</w:t>
      </w:r>
    </w:p>
    <w:p w:rsidR="000C6A4E" w:rsidRPr="00BF1059" w:rsidRDefault="000C6A4E" w:rsidP="000C6A4E">
      <w:pPr>
        <w:adjustRightInd w:val="0"/>
        <w:snapToGrid w:val="0"/>
        <w:spacing w:line="560" w:lineRule="exact"/>
        <w:jc w:val="center"/>
        <w:rPr>
          <w:rFonts w:ascii="Times New Roman" w:eastAsia="黑体" w:hAnsi="Times New Roman" w:cs="Times New Roman"/>
          <w:b/>
          <w:sz w:val="32"/>
          <w:szCs w:val="32"/>
        </w:rPr>
      </w:pPr>
      <w:r w:rsidRPr="00BF1059">
        <w:rPr>
          <w:rFonts w:ascii="Times New Roman" w:eastAsia="黑体" w:hAnsi="Times New Roman" w:cs="Times New Roman" w:hint="eastAsia"/>
          <w:b/>
          <w:sz w:val="32"/>
          <w:szCs w:val="32"/>
        </w:rPr>
        <w:t>违约处置（协议转让）报告</w:t>
      </w:r>
    </w:p>
    <w:p w:rsidR="000C6A4E" w:rsidRPr="00BF1059" w:rsidRDefault="000C6A4E" w:rsidP="000C6A4E">
      <w:pPr>
        <w:adjustRightInd w:val="0"/>
        <w:snapToGrid w:val="0"/>
        <w:spacing w:line="400" w:lineRule="exact"/>
        <w:jc w:val="left"/>
        <w:rPr>
          <w:rFonts w:ascii="方正小标宋简体" w:eastAsia="方正小标宋简体"/>
          <w:sz w:val="36"/>
          <w:szCs w:val="30"/>
        </w:rPr>
      </w:pPr>
    </w:p>
    <w:tbl>
      <w:tblPr>
        <w:tblW w:w="8946" w:type="dxa"/>
        <w:tblInd w:w="93" w:type="dxa"/>
        <w:tblLook w:val="04A0" w:firstRow="1" w:lastRow="0" w:firstColumn="1" w:lastColumn="0" w:noHBand="0" w:noVBand="1"/>
      </w:tblPr>
      <w:tblGrid>
        <w:gridCol w:w="1078"/>
        <w:gridCol w:w="1062"/>
        <w:gridCol w:w="1417"/>
        <w:gridCol w:w="144"/>
        <w:gridCol w:w="1132"/>
        <w:gridCol w:w="1136"/>
        <w:gridCol w:w="140"/>
        <w:gridCol w:w="1275"/>
        <w:gridCol w:w="569"/>
        <w:gridCol w:w="993"/>
      </w:tblGrid>
      <w:tr w:rsidR="000C6A4E" w:rsidRPr="00BF1059" w:rsidTr="00365097">
        <w:trPr>
          <w:trHeight w:val="285"/>
        </w:trPr>
        <w:tc>
          <w:tcPr>
            <w:tcW w:w="1078" w:type="dxa"/>
            <w:vMerge w:val="restart"/>
            <w:tcBorders>
              <w:top w:val="single" w:sz="8" w:space="0" w:color="auto"/>
              <w:left w:val="single" w:sz="8" w:space="0" w:color="auto"/>
              <w:bottom w:val="nil"/>
              <w:right w:val="single" w:sz="8"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交易信息</w:t>
            </w: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初始交易合同序号</w:t>
            </w:r>
          </w:p>
        </w:tc>
        <w:tc>
          <w:tcPr>
            <w:tcW w:w="5245" w:type="dxa"/>
            <w:gridSpan w:val="6"/>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r w:rsidRPr="00BF1059">
              <w:rPr>
                <w:rFonts w:ascii="Times New Roman" w:eastAsia="方正仿宋简体" w:hAnsi="Times New Roman" w:cs="Times New Roman" w:hint="eastAsia"/>
                <w:szCs w:val="21"/>
              </w:rPr>
              <w:t>22</w:t>
            </w:r>
            <w:r w:rsidRPr="00BF1059">
              <w:rPr>
                <w:rFonts w:ascii="Times New Roman" w:eastAsia="方正仿宋简体" w:hAnsi="Times New Roman" w:cs="Times New Roman" w:hint="eastAsia"/>
                <w:szCs w:val="21"/>
              </w:rPr>
              <w:t>位或</w:t>
            </w:r>
            <w:r w:rsidRPr="00BF1059">
              <w:rPr>
                <w:rFonts w:ascii="Times New Roman" w:eastAsia="方正仿宋简体" w:hAnsi="Times New Roman" w:cs="Times New Roman" w:hint="eastAsia"/>
                <w:szCs w:val="21"/>
              </w:rPr>
              <w:t>24</w:t>
            </w:r>
            <w:r w:rsidRPr="00BF1059">
              <w:rPr>
                <w:rFonts w:ascii="Times New Roman" w:eastAsia="方正仿宋简体" w:hAnsi="Times New Roman" w:cs="Times New Roman" w:hint="eastAsia"/>
                <w:szCs w:val="21"/>
              </w:rPr>
              <w:t>位）</w:t>
            </w:r>
          </w:p>
        </w:tc>
      </w:tr>
      <w:tr w:rsidR="000C6A4E" w:rsidRPr="00BF1059" w:rsidTr="00365097">
        <w:trPr>
          <w:trHeight w:val="510"/>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补充质押合同序号（如有）</w:t>
            </w:r>
          </w:p>
        </w:tc>
        <w:tc>
          <w:tcPr>
            <w:tcW w:w="5245" w:type="dxa"/>
            <w:gridSpan w:val="6"/>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r w:rsidRPr="00BF1059">
              <w:rPr>
                <w:rFonts w:ascii="Times New Roman" w:eastAsia="方正仿宋简体" w:hAnsi="Times New Roman" w:cs="Times New Roman" w:hint="eastAsia"/>
                <w:szCs w:val="21"/>
              </w:rPr>
              <w:t>22</w:t>
            </w:r>
            <w:r w:rsidRPr="00BF1059">
              <w:rPr>
                <w:rFonts w:ascii="Times New Roman" w:eastAsia="方正仿宋简体" w:hAnsi="Times New Roman" w:cs="Times New Roman" w:hint="eastAsia"/>
                <w:szCs w:val="21"/>
              </w:rPr>
              <w:t>位或</w:t>
            </w:r>
            <w:r w:rsidRPr="00BF1059">
              <w:rPr>
                <w:rFonts w:ascii="Times New Roman" w:eastAsia="方正仿宋简体" w:hAnsi="Times New Roman" w:cs="Times New Roman" w:hint="eastAsia"/>
                <w:szCs w:val="21"/>
              </w:rPr>
              <w:t>24</w:t>
            </w:r>
            <w:r w:rsidRPr="00BF1059">
              <w:rPr>
                <w:rFonts w:ascii="Times New Roman" w:eastAsia="方正仿宋简体" w:hAnsi="Times New Roman" w:cs="Times New Roman" w:hint="eastAsia"/>
                <w:szCs w:val="21"/>
              </w:rPr>
              <w:t>位）</w:t>
            </w: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初始交易日期</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初始交易金额</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履约保障比例</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融资余额</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预警线</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平仓线</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347"/>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回购期限</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到期购回日</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质押标的证券代码</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质押标的证券简称</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000000" w:fill="FFFFFF"/>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股份性质</w:t>
            </w:r>
          </w:p>
        </w:tc>
        <w:tc>
          <w:tcPr>
            <w:tcW w:w="2268" w:type="dxa"/>
            <w:gridSpan w:val="2"/>
            <w:tcBorders>
              <w:top w:val="single" w:sz="8" w:space="0" w:color="auto"/>
              <w:left w:val="nil"/>
              <w:bottom w:val="single" w:sz="8" w:space="0" w:color="auto"/>
              <w:right w:val="single" w:sz="8" w:space="0" w:color="000000"/>
            </w:tcBorders>
            <w:shd w:val="clear" w:color="000000" w:fill="FFFFFF"/>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000000" w:fill="FFFFFF"/>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质押标的证券数量</w:t>
            </w:r>
          </w:p>
        </w:tc>
        <w:tc>
          <w:tcPr>
            <w:tcW w:w="993" w:type="dxa"/>
            <w:tcBorders>
              <w:top w:val="single" w:sz="8" w:space="0" w:color="auto"/>
              <w:left w:val="nil"/>
              <w:bottom w:val="single" w:sz="8" w:space="0" w:color="auto"/>
              <w:right w:val="single" w:sz="8" w:space="0" w:color="000000"/>
            </w:tcBorders>
            <w:shd w:val="clear" w:color="000000" w:fill="FFFFFF"/>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510"/>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质押数量占总股本比例</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资金用途</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融出方证券账户号码</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融出方名称</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融出方类别</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自有</w:t>
            </w:r>
            <w:r w:rsidRPr="00BF1059">
              <w:rPr>
                <w:rFonts w:ascii="Times New Roman" w:eastAsia="方正仿宋简体" w:hAnsi="Times New Roman" w:cs="Times New Roman" w:hint="eastAsia"/>
                <w:szCs w:val="21"/>
              </w:rPr>
              <w:t>/</w:t>
            </w:r>
            <w:r w:rsidRPr="00BF1059">
              <w:rPr>
                <w:rFonts w:ascii="Times New Roman" w:eastAsia="方正仿宋简体" w:hAnsi="Times New Roman" w:cs="Times New Roman" w:hint="eastAsia"/>
                <w:szCs w:val="21"/>
              </w:rPr>
              <w:t>集合</w:t>
            </w:r>
            <w:r w:rsidRPr="00BF1059">
              <w:rPr>
                <w:rFonts w:ascii="Times New Roman" w:eastAsia="方正仿宋简体" w:hAnsi="Times New Roman" w:cs="Times New Roman" w:hint="eastAsia"/>
                <w:szCs w:val="21"/>
              </w:rPr>
              <w:t>/</w:t>
            </w:r>
            <w:r w:rsidRPr="00BF1059">
              <w:rPr>
                <w:rFonts w:ascii="Times New Roman" w:eastAsia="方正仿宋简体" w:hAnsi="Times New Roman" w:cs="Times New Roman" w:hint="eastAsia"/>
                <w:szCs w:val="21"/>
              </w:rPr>
              <w:t>单一</w:t>
            </w:r>
            <w:r w:rsidRPr="00BF1059">
              <w:rPr>
                <w:rFonts w:ascii="Times New Roman" w:eastAsia="方正仿宋简体" w:hAnsi="Times New Roman" w:cs="Times New Roman" w:hint="eastAsia"/>
                <w:szCs w:val="21"/>
              </w:rPr>
              <w:t>/</w:t>
            </w:r>
            <w:r w:rsidRPr="00BF1059">
              <w:rPr>
                <w:rFonts w:ascii="Times New Roman" w:eastAsia="方正仿宋简体" w:hAnsi="Times New Roman" w:cs="Times New Roman" w:hint="eastAsia"/>
                <w:szCs w:val="21"/>
              </w:rPr>
              <w:t>定向</w:t>
            </w:r>
          </w:p>
        </w:tc>
        <w:tc>
          <w:tcPr>
            <w:tcW w:w="1984" w:type="dxa"/>
            <w:gridSpan w:val="3"/>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质权人名称</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285"/>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融入方证券账户号码</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融入方名称</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510"/>
        </w:trPr>
        <w:tc>
          <w:tcPr>
            <w:tcW w:w="1078" w:type="dxa"/>
            <w:vMerge/>
            <w:tcBorders>
              <w:top w:val="single" w:sz="8" w:space="0" w:color="auto"/>
              <w:left w:val="single" w:sz="8" w:space="0" w:color="auto"/>
              <w:bottom w:val="nil"/>
              <w:right w:val="single" w:sz="8"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2623"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融入方持股数量占公司总股本比例</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融入方股东身份</w:t>
            </w:r>
          </w:p>
        </w:tc>
        <w:tc>
          <w:tcPr>
            <w:tcW w:w="993" w:type="dxa"/>
            <w:tcBorders>
              <w:top w:val="single" w:sz="8" w:space="0" w:color="auto"/>
              <w:left w:val="nil"/>
              <w:bottom w:val="single" w:sz="8" w:space="0" w:color="auto"/>
              <w:right w:val="single" w:sz="8" w:space="0" w:color="000000"/>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p>
        </w:tc>
      </w:tr>
      <w:tr w:rsidR="000C6A4E" w:rsidRPr="00BF1059" w:rsidTr="00365097">
        <w:trPr>
          <w:trHeight w:val="674"/>
        </w:trPr>
        <w:tc>
          <w:tcPr>
            <w:tcW w:w="107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6A4E" w:rsidRPr="00BF1059" w:rsidRDefault="000C6A4E" w:rsidP="00365097">
            <w:pPr>
              <w:widowControl/>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违约情形</w:t>
            </w:r>
          </w:p>
        </w:tc>
        <w:tc>
          <w:tcPr>
            <w:tcW w:w="7868" w:type="dxa"/>
            <w:gridSpan w:val="9"/>
            <w:tcBorders>
              <w:top w:val="single" w:sz="8" w:space="0" w:color="auto"/>
              <w:left w:val="nil"/>
              <w:bottom w:val="single" w:sz="8" w:space="0" w:color="auto"/>
              <w:right w:val="single" w:sz="8" w:space="0" w:color="000000"/>
            </w:tcBorders>
            <w:shd w:val="clear" w:color="auto" w:fill="auto"/>
            <w:vAlign w:val="center"/>
            <w:hideMark/>
          </w:tcPr>
          <w:p w:rsidR="000C6A4E" w:rsidRPr="00BF1059" w:rsidRDefault="000C6A4E" w:rsidP="00365097">
            <w:pPr>
              <w:widowControl/>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r>
      <w:tr w:rsidR="000C6A4E" w:rsidRPr="00BF1059" w:rsidTr="00365097">
        <w:trPr>
          <w:trHeight w:val="510"/>
        </w:trPr>
        <w:tc>
          <w:tcPr>
            <w:tcW w:w="1078" w:type="dxa"/>
            <w:vMerge w:val="restart"/>
            <w:tcBorders>
              <w:left w:val="single" w:sz="8"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协议转让安排</w:t>
            </w:r>
          </w:p>
        </w:tc>
        <w:tc>
          <w:tcPr>
            <w:tcW w:w="1062"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冻结序号（</w:t>
            </w:r>
            <w:r w:rsidRPr="00BF1059">
              <w:rPr>
                <w:rFonts w:ascii="Times New Roman" w:eastAsia="方正仿宋简体" w:hAnsi="Times New Roman" w:cs="Times New Roman" w:hint="eastAsia"/>
                <w:szCs w:val="21"/>
              </w:rPr>
              <w:t>22</w:t>
            </w:r>
            <w:r w:rsidRPr="00BF1059">
              <w:rPr>
                <w:rFonts w:ascii="Times New Roman" w:eastAsia="方正仿宋简体" w:hAnsi="Times New Roman" w:cs="Times New Roman" w:hint="eastAsia"/>
                <w:szCs w:val="21"/>
              </w:rPr>
              <w:t>位或</w:t>
            </w:r>
            <w:r w:rsidRPr="00BF1059">
              <w:rPr>
                <w:rFonts w:ascii="Times New Roman" w:eastAsia="方正仿宋简体" w:hAnsi="Times New Roman" w:cs="Times New Roman" w:hint="eastAsia"/>
                <w:szCs w:val="21"/>
              </w:rPr>
              <w:t>24</w:t>
            </w:r>
            <w:r w:rsidRPr="00BF1059">
              <w:rPr>
                <w:rFonts w:ascii="Times New Roman" w:eastAsia="方正仿宋简体" w:hAnsi="Times New Roman" w:cs="Times New Roman" w:hint="eastAsia"/>
                <w:szCs w:val="21"/>
              </w:rPr>
              <w:t>位）</w:t>
            </w:r>
          </w:p>
        </w:tc>
        <w:tc>
          <w:tcPr>
            <w:tcW w:w="1417" w:type="dxa"/>
            <w:tcBorders>
              <w:top w:val="nil"/>
              <w:left w:val="nil"/>
              <w:bottom w:val="single" w:sz="4" w:space="0" w:color="auto"/>
              <w:right w:val="single" w:sz="4" w:space="0" w:color="auto"/>
            </w:tcBorders>
            <w:shd w:val="clear" w:color="auto" w:fill="auto"/>
            <w:vAlign w:val="center"/>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质押登记日期</w:t>
            </w: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受让人名称</w:t>
            </w: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拟转让数量</w:t>
            </w:r>
          </w:p>
        </w:tc>
        <w:tc>
          <w:tcPr>
            <w:tcW w:w="1275"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拟转让数量占总股本比例</w:t>
            </w:r>
          </w:p>
        </w:tc>
        <w:tc>
          <w:tcPr>
            <w:tcW w:w="1562" w:type="dxa"/>
            <w:gridSpan w:val="2"/>
            <w:tcBorders>
              <w:top w:val="nil"/>
              <w:left w:val="nil"/>
              <w:bottom w:val="single" w:sz="4" w:space="0" w:color="auto"/>
              <w:right w:val="single" w:sz="8" w:space="0" w:color="000000"/>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拟转让价格与协议签署日前一交易日公司股份收盘价的</w:t>
            </w:r>
            <w:r w:rsidRPr="00BF1059">
              <w:rPr>
                <w:rFonts w:ascii="Times New Roman" w:eastAsia="方正仿宋简体" w:hAnsi="Times New Roman" w:cs="Times New Roman" w:hint="eastAsia"/>
                <w:szCs w:val="21"/>
              </w:rPr>
              <w:lastRenderedPageBreak/>
              <w:t>比值</w:t>
            </w:r>
          </w:p>
        </w:tc>
      </w:tr>
      <w:tr w:rsidR="000C6A4E" w:rsidRPr="00BF1059" w:rsidTr="00365097">
        <w:trPr>
          <w:trHeight w:val="270"/>
        </w:trPr>
        <w:tc>
          <w:tcPr>
            <w:tcW w:w="1078" w:type="dxa"/>
            <w:vMerge/>
            <w:tcBorders>
              <w:left w:val="single" w:sz="8" w:space="0" w:color="auto"/>
              <w:right w:val="single" w:sz="4"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1062"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p>
        </w:tc>
        <w:tc>
          <w:tcPr>
            <w:tcW w:w="1417" w:type="dxa"/>
            <w:tcBorders>
              <w:top w:val="nil"/>
              <w:left w:val="nil"/>
              <w:bottom w:val="single" w:sz="4" w:space="0" w:color="auto"/>
              <w:right w:val="single" w:sz="4" w:space="0" w:color="auto"/>
            </w:tcBorders>
            <w:shd w:val="clear" w:color="auto" w:fill="auto"/>
            <w:vAlign w:val="center"/>
          </w:tcPr>
          <w:p w:rsidR="000C6A4E" w:rsidRPr="00BF1059" w:rsidRDefault="000C6A4E" w:rsidP="00365097">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8" w:space="0" w:color="000000"/>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r>
      <w:tr w:rsidR="000C6A4E" w:rsidRPr="00BF1059" w:rsidTr="00365097">
        <w:trPr>
          <w:trHeight w:val="270"/>
        </w:trPr>
        <w:tc>
          <w:tcPr>
            <w:tcW w:w="1078" w:type="dxa"/>
            <w:vMerge/>
            <w:tcBorders>
              <w:left w:val="single" w:sz="8" w:space="0" w:color="auto"/>
              <w:right w:val="single" w:sz="4"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1062"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p>
        </w:tc>
        <w:tc>
          <w:tcPr>
            <w:tcW w:w="1417" w:type="dxa"/>
            <w:tcBorders>
              <w:top w:val="nil"/>
              <w:left w:val="nil"/>
              <w:bottom w:val="single" w:sz="4" w:space="0" w:color="auto"/>
              <w:right w:val="single" w:sz="4" w:space="0" w:color="auto"/>
            </w:tcBorders>
            <w:shd w:val="clear" w:color="auto" w:fill="auto"/>
            <w:vAlign w:val="center"/>
          </w:tcPr>
          <w:p w:rsidR="000C6A4E" w:rsidRPr="00BF1059" w:rsidRDefault="000C6A4E" w:rsidP="00365097">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8" w:space="0" w:color="000000"/>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r>
      <w:tr w:rsidR="000C6A4E" w:rsidRPr="00BF1059" w:rsidTr="00365097">
        <w:trPr>
          <w:trHeight w:val="270"/>
        </w:trPr>
        <w:tc>
          <w:tcPr>
            <w:tcW w:w="1078" w:type="dxa"/>
            <w:vMerge/>
            <w:tcBorders>
              <w:left w:val="single" w:sz="8" w:space="0" w:color="auto"/>
              <w:right w:val="single" w:sz="4"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1062"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p>
        </w:tc>
        <w:tc>
          <w:tcPr>
            <w:tcW w:w="1417" w:type="dxa"/>
            <w:tcBorders>
              <w:top w:val="nil"/>
              <w:left w:val="nil"/>
              <w:bottom w:val="single" w:sz="4" w:space="0" w:color="auto"/>
              <w:right w:val="single" w:sz="4" w:space="0" w:color="auto"/>
            </w:tcBorders>
            <w:shd w:val="clear" w:color="auto" w:fill="auto"/>
            <w:vAlign w:val="center"/>
          </w:tcPr>
          <w:p w:rsidR="000C6A4E" w:rsidRPr="00BF1059" w:rsidRDefault="000C6A4E" w:rsidP="00365097">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8" w:space="0" w:color="000000"/>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r>
      <w:tr w:rsidR="000C6A4E" w:rsidRPr="00BF1059" w:rsidTr="00365097">
        <w:trPr>
          <w:trHeight w:val="270"/>
        </w:trPr>
        <w:tc>
          <w:tcPr>
            <w:tcW w:w="1078" w:type="dxa"/>
            <w:vMerge/>
            <w:tcBorders>
              <w:left w:val="single" w:sz="8" w:space="0" w:color="auto"/>
              <w:right w:val="single" w:sz="4"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1062" w:type="dxa"/>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p>
        </w:tc>
        <w:tc>
          <w:tcPr>
            <w:tcW w:w="1417" w:type="dxa"/>
            <w:tcBorders>
              <w:top w:val="nil"/>
              <w:left w:val="nil"/>
              <w:bottom w:val="single" w:sz="4" w:space="0" w:color="auto"/>
              <w:right w:val="single" w:sz="4" w:space="0" w:color="auto"/>
            </w:tcBorders>
            <w:shd w:val="clear" w:color="auto" w:fill="auto"/>
            <w:vAlign w:val="center"/>
          </w:tcPr>
          <w:p w:rsidR="000C6A4E" w:rsidRPr="00BF1059" w:rsidRDefault="000C6A4E" w:rsidP="00365097">
            <w:pPr>
              <w:ind w:left="69"/>
              <w:jc w:val="center"/>
              <w:rPr>
                <w:rFonts w:ascii="Times New Roman" w:eastAsia="方正仿宋简体" w:hAnsi="Times New Roman" w:cs="Times New Roman"/>
                <w:szCs w:val="21"/>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c>
          <w:tcPr>
            <w:tcW w:w="156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C6A4E" w:rsidRPr="00BF1059" w:rsidRDefault="000C6A4E" w:rsidP="00365097">
            <w:pPr>
              <w:widowControl/>
              <w:jc w:val="center"/>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w:t>
            </w:r>
          </w:p>
        </w:tc>
      </w:tr>
      <w:tr w:rsidR="000C6A4E" w:rsidRPr="00BF1059" w:rsidTr="00365097">
        <w:trPr>
          <w:trHeight w:val="270"/>
        </w:trPr>
        <w:tc>
          <w:tcPr>
            <w:tcW w:w="1078" w:type="dxa"/>
            <w:vMerge/>
            <w:tcBorders>
              <w:left w:val="single" w:sz="8" w:space="0" w:color="auto"/>
              <w:bottom w:val="single" w:sz="4" w:space="0" w:color="auto"/>
              <w:right w:val="single" w:sz="4" w:space="0" w:color="auto"/>
            </w:tcBorders>
            <w:vAlign w:val="center"/>
            <w:hideMark/>
          </w:tcPr>
          <w:p w:rsidR="000C6A4E" w:rsidRPr="00BF1059" w:rsidRDefault="000C6A4E" w:rsidP="00365097">
            <w:pPr>
              <w:widowControl/>
              <w:jc w:val="left"/>
              <w:rPr>
                <w:rFonts w:ascii="Times New Roman" w:eastAsia="方正仿宋简体" w:hAnsi="Times New Roman" w:cs="Times New Roman"/>
                <w:szCs w:val="21"/>
              </w:rPr>
            </w:pPr>
          </w:p>
        </w:tc>
        <w:tc>
          <w:tcPr>
            <w:tcW w:w="7868" w:type="dxa"/>
            <w:gridSpan w:val="9"/>
            <w:tcBorders>
              <w:top w:val="single" w:sz="4" w:space="0" w:color="auto"/>
              <w:left w:val="nil"/>
              <w:bottom w:val="single" w:sz="4" w:space="0" w:color="auto"/>
              <w:right w:val="single" w:sz="8" w:space="0" w:color="000000"/>
            </w:tcBorders>
            <w:shd w:val="clear" w:color="auto" w:fill="auto"/>
            <w:noWrap/>
            <w:vAlign w:val="center"/>
            <w:hideMark/>
          </w:tcPr>
          <w:p w:rsidR="000C6A4E" w:rsidRPr="00BF1059" w:rsidRDefault="000C6A4E" w:rsidP="00365097">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其他需要说明的协议转让安排：</w:t>
            </w:r>
          </w:p>
        </w:tc>
      </w:tr>
      <w:tr w:rsidR="000C6A4E" w:rsidRPr="00BF1059" w:rsidTr="00365097">
        <w:trPr>
          <w:trHeight w:val="60"/>
        </w:trPr>
        <w:tc>
          <w:tcPr>
            <w:tcW w:w="8946"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0C6A4E" w:rsidRPr="00BF1059" w:rsidRDefault="000C6A4E" w:rsidP="00365097">
            <w:pPr>
              <w:ind w:firstLineChars="171" w:firstLine="359"/>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我公司承诺</w:t>
            </w:r>
            <w:r w:rsidRPr="00BF1059">
              <w:rPr>
                <w:rFonts w:ascii="Times New Roman" w:eastAsia="方正仿宋简体" w:hAnsi="Times New Roman" w:cs="Times New Roman"/>
                <w:szCs w:val="21"/>
              </w:rPr>
              <w:t>已核查该协议转让符合</w:t>
            </w:r>
            <w:r w:rsidRPr="00BF1059">
              <w:rPr>
                <w:rFonts w:ascii="Times New Roman" w:eastAsia="方正仿宋简体" w:hAnsi="Times New Roman" w:cs="Times New Roman" w:hint="eastAsia"/>
                <w:szCs w:val="21"/>
              </w:rPr>
              <w:t>《关于通过协议转让方式进行股票质押式回购交易违约处置相关事项的通知》</w:t>
            </w:r>
            <w:r w:rsidRPr="00BF1059">
              <w:rPr>
                <w:rFonts w:ascii="Times New Roman" w:eastAsia="方正仿宋简体" w:hAnsi="Times New Roman" w:cs="Times New Roman"/>
                <w:szCs w:val="21"/>
              </w:rPr>
              <w:t>的要求，协议转让申请</w:t>
            </w:r>
            <w:r w:rsidRPr="00BF1059">
              <w:rPr>
                <w:rFonts w:ascii="Times New Roman" w:eastAsia="方正仿宋简体" w:hAnsi="Times New Roman" w:cs="Times New Roman" w:hint="eastAsia"/>
                <w:szCs w:val="21"/>
              </w:rPr>
              <w:t>及本报告内容</w:t>
            </w:r>
            <w:r w:rsidRPr="00BF1059">
              <w:rPr>
                <w:rFonts w:ascii="Times New Roman" w:eastAsia="方正仿宋简体" w:hAnsi="Times New Roman" w:cs="Times New Roman"/>
                <w:szCs w:val="21"/>
              </w:rPr>
              <w:t>真实、合法、合规</w:t>
            </w:r>
            <w:r w:rsidRPr="00BF1059">
              <w:rPr>
                <w:rFonts w:ascii="Times New Roman" w:eastAsia="方正仿宋简体" w:hAnsi="Times New Roman" w:cs="Times New Roman" w:hint="eastAsia"/>
                <w:szCs w:val="21"/>
              </w:rPr>
              <w:t>。</w:t>
            </w:r>
          </w:p>
          <w:p w:rsidR="000C6A4E" w:rsidRPr="00BF1059" w:rsidRDefault="000C6A4E" w:rsidP="00365097">
            <w:pPr>
              <w:rPr>
                <w:rFonts w:ascii="Times New Roman" w:eastAsia="方正仿宋简体" w:hAnsi="Times New Roman" w:cs="Times New Roman"/>
                <w:szCs w:val="21"/>
              </w:rPr>
            </w:pPr>
          </w:p>
          <w:p w:rsidR="000C6A4E" w:rsidRPr="00BF1059" w:rsidRDefault="000C6A4E" w:rsidP="00365097">
            <w:pPr>
              <w:tabs>
                <w:tab w:val="left" w:pos="5580"/>
              </w:tabs>
              <w:ind w:left="2520" w:firstLineChars="1321" w:firstLine="2774"/>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证券公司：（公章）</w:t>
            </w:r>
          </w:p>
          <w:p w:rsidR="000C6A4E" w:rsidRPr="00BF1059" w:rsidRDefault="000C6A4E" w:rsidP="00365097">
            <w:pPr>
              <w:tabs>
                <w:tab w:val="left" w:pos="5580"/>
              </w:tabs>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联系人：</w:t>
            </w:r>
            <w:r w:rsidRPr="00BF1059">
              <w:rPr>
                <w:rFonts w:ascii="Times New Roman" w:eastAsia="方正仿宋简体" w:hAnsi="Times New Roman" w:cs="Times New Roman" w:hint="eastAsia"/>
                <w:szCs w:val="21"/>
              </w:rPr>
              <w:t xml:space="preserve">            </w:t>
            </w:r>
            <w:r w:rsidRPr="00BF1059">
              <w:rPr>
                <w:rFonts w:ascii="Times New Roman" w:eastAsia="方正仿宋简体" w:hAnsi="Times New Roman" w:cs="Times New Roman" w:hint="eastAsia"/>
                <w:szCs w:val="21"/>
              </w:rPr>
              <w:t>联系电话：</w:t>
            </w:r>
          </w:p>
          <w:p w:rsidR="000C6A4E" w:rsidRPr="00BF1059" w:rsidRDefault="000C6A4E" w:rsidP="00365097">
            <w:pPr>
              <w:tabs>
                <w:tab w:val="left" w:pos="5580"/>
              </w:tabs>
              <w:rPr>
                <w:rFonts w:ascii="Times New Roman" w:eastAsia="方正仿宋简体" w:hAnsi="Times New Roman" w:cs="Times New Roman"/>
                <w:szCs w:val="21"/>
              </w:rPr>
            </w:pPr>
          </w:p>
          <w:p w:rsidR="000C6A4E" w:rsidRPr="00BF1059" w:rsidRDefault="000C6A4E" w:rsidP="00365097">
            <w:pPr>
              <w:widowControl/>
              <w:ind w:right="105"/>
              <w:jc w:val="righ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 xml:space="preserve">                                             ______</w:t>
            </w:r>
            <w:r w:rsidRPr="00BF1059">
              <w:rPr>
                <w:rFonts w:ascii="Times New Roman" w:eastAsia="方正仿宋简体" w:hAnsi="Times New Roman" w:cs="Times New Roman" w:hint="eastAsia"/>
                <w:szCs w:val="21"/>
              </w:rPr>
              <w:t>年</w:t>
            </w:r>
            <w:r w:rsidRPr="00BF1059">
              <w:rPr>
                <w:rFonts w:ascii="Times New Roman" w:eastAsia="方正仿宋简体" w:hAnsi="Times New Roman" w:cs="Times New Roman" w:hint="eastAsia"/>
                <w:szCs w:val="21"/>
              </w:rPr>
              <w:t>____</w:t>
            </w:r>
            <w:r w:rsidRPr="00BF1059">
              <w:rPr>
                <w:rFonts w:ascii="Times New Roman" w:eastAsia="方正仿宋简体" w:hAnsi="Times New Roman" w:cs="Times New Roman" w:hint="eastAsia"/>
                <w:szCs w:val="21"/>
              </w:rPr>
              <w:t>月</w:t>
            </w:r>
            <w:r w:rsidRPr="00BF1059">
              <w:rPr>
                <w:rFonts w:ascii="Times New Roman" w:eastAsia="方正仿宋简体" w:hAnsi="Times New Roman" w:cs="Times New Roman" w:hint="eastAsia"/>
                <w:szCs w:val="21"/>
              </w:rPr>
              <w:t>____</w:t>
            </w:r>
            <w:r w:rsidRPr="00BF1059">
              <w:rPr>
                <w:rFonts w:ascii="Times New Roman" w:eastAsia="方正仿宋简体" w:hAnsi="Times New Roman" w:cs="Times New Roman" w:hint="eastAsia"/>
                <w:szCs w:val="21"/>
              </w:rPr>
              <w:t>日</w:t>
            </w:r>
          </w:p>
        </w:tc>
      </w:tr>
    </w:tbl>
    <w:p w:rsidR="000C6A4E" w:rsidRPr="003F1011" w:rsidRDefault="000C6A4E" w:rsidP="000C6A4E">
      <w:pPr>
        <w:widowControl/>
        <w:jc w:val="left"/>
        <w:rPr>
          <w:rFonts w:ascii="Times New Roman" w:eastAsia="方正仿宋简体" w:hAnsi="Times New Roman" w:cs="Times New Roman"/>
          <w:szCs w:val="21"/>
        </w:rPr>
      </w:pPr>
      <w:r w:rsidRPr="00BF1059">
        <w:rPr>
          <w:rFonts w:ascii="Times New Roman" w:eastAsia="方正仿宋简体" w:hAnsi="Times New Roman" w:cs="Times New Roman" w:hint="eastAsia"/>
          <w:szCs w:val="21"/>
        </w:rPr>
        <w:t>注：“融入方股东身份”处填写融入方是否为上市公司控股股东及其一致行动人、持股</w:t>
      </w:r>
      <w:r w:rsidRPr="00BF1059">
        <w:rPr>
          <w:rFonts w:ascii="Times New Roman" w:eastAsia="方正仿宋简体" w:hAnsi="Times New Roman" w:cs="Times New Roman" w:hint="eastAsia"/>
          <w:szCs w:val="21"/>
        </w:rPr>
        <w:t>5%</w:t>
      </w:r>
      <w:r w:rsidRPr="00BF1059">
        <w:rPr>
          <w:rFonts w:ascii="Times New Roman" w:eastAsia="方正仿宋简体" w:hAnsi="Times New Roman" w:cs="Times New Roman" w:hint="eastAsia"/>
          <w:szCs w:val="21"/>
        </w:rPr>
        <w:t>以上股东及其一致行动人、董事、监事、高级管理人员或特定股东。“特定股东”定义参考《深圳证券交易所上市公司股东及董事、监事、高级管理人员减持股份实施细则》相关规定。</w:t>
      </w:r>
    </w:p>
    <w:p w:rsidR="007F53B9" w:rsidRPr="000C6A4E" w:rsidRDefault="007F53B9">
      <w:bookmarkStart w:id="0" w:name="_GoBack"/>
      <w:bookmarkEnd w:id="0"/>
    </w:p>
    <w:sectPr w:rsidR="007F53B9" w:rsidRPr="000C6A4E" w:rsidSect="00FA7514">
      <w:footerReference w:type="default" r:id="rId5"/>
      <w:pgSz w:w="11907" w:h="16839" w:code="9"/>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02923"/>
      <w:docPartObj>
        <w:docPartGallery w:val="Page Numbers (Bottom of Page)"/>
        <w:docPartUnique/>
      </w:docPartObj>
    </w:sdtPr>
    <w:sdtEndPr/>
    <w:sdtContent>
      <w:p w:rsidR="00F40DBC" w:rsidRDefault="000C6A4E">
        <w:pPr>
          <w:pStyle w:val="a3"/>
          <w:jc w:val="center"/>
        </w:pPr>
        <w:r>
          <w:fldChar w:fldCharType="begin"/>
        </w:r>
        <w:r>
          <w:instrText>PAGE   \* MERGEFORMAT</w:instrText>
        </w:r>
        <w:r>
          <w:fldChar w:fldCharType="separate"/>
        </w:r>
        <w:r w:rsidRPr="000C6A4E">
          <w:rPr>
            <w:noProof/>
            <w:lang w:val="zh-CN"/>
          </w:rPr>
          <w:t>1</w:t>
        </w:r>
        <w:r>
          <w:fldChar w:fldCharType="end"/>
        </w:r>
      </w:p>
    </w:sdtContent>
  </w:sdt>
  <w:p w:rsidR="00F40DBC" w:rsidRDefault="000C6A4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4E"/>
    <w:rsid w:val="000C6A4E"/>
    <w:rsid w:val="007F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6A4E"/>
    <w:pPr>
      <w:tabs>
        <w:tab w:val="center" w:pos="4153"/>
        <w:tab w:val="right" w:pos="8306"/>
      </w:tabs>
      <w:snapToGrid w:val="0"/>
      <w:jc w:val="left"/>
    </w:pPr>
    <w:rPr>
      <w:sz w:val="18"/>
      <w:szCs w:val="18"/>
    </w:rPr>
  </w:style>
  <w:style w:type="character" w:customStyle="1" w:styleId="Char">
    <w:name w:val="页脚 Char"/>
    <w:basedOn w:val="a0"/>
    <w:link w:val="a3"/>
    <w:uiPriority w:val="99"/>
    <w:rsid w:val="000C6A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6A4E"/>
    <w:pPr>
      <w:tabs>
        <w:tab w:val="center" w:pos="4153"/>
        <w:tab w:val="right" w:pos="8306"/>
      </w:tabs>
      <w:snapToGrid w:val="0"/>
      <w:jc w:val="left"/>
    </w:pPr>
    <w:rPr>
      <w:sz w:val="18"/>
      <w:szCs w:val="18"/>
    </w:rPr>
  </w:style>
  <w:style w:type="character" w:customStyle="1" w:styleId="Char">
    <w:name w:val="页脚 Char"/>
    <w:basedOn w:val="a0"/>
    <w:link w:val="a3"/>
    <w:uiPriority w:val="99"/>
    <w:rsid w:val="000C6A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LocalAccount</dc:creator>
  <cp:lastModifiedBy>LocalAccount</cp:lastModifiedBy>
  <cp:revision>1</cp:revision>
  <dcterms:created xsi:type="dcterms:W3CDTF">2020-07-24T10:53:00Z</dcterms:created>
  <dcterms:modified xsi:type="dcterms:W3CDTF">2020-07-24T10:53:00Z</dcterms:modified>
</cp:coreProperties>
</file>