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713B0" w14:textId="3093535B" w:rsidR="000018A2" w:rsidRPr="006D56E7" w:rsidRDefault="000018A2" w:rsidP="00441F99">
      <w:pPr>
        <w:spacing w:line="600" w:lineRule="exact"/>
        <w:jc w:val="left"/>
        <w:rPr>
          <w:rFonts w:eastAsia="黑体"/>
          <w:color w:val="000000"/>
          <w:sz w:val="32"/>
          <w:szCs w:val="32"/>
        </w:rPr>
      </w:pPr>
      <w:r w:rsidRPr="006D56E7">
        <w:rPr>
          <w:rFonts w:eastAsia="黑体"/>
          <w:color w:val="000000"/>
          <w:sz w:val="32"/>
          <w:szCs w:val="32"/>
        </w:rPr>
        <w:t>股</w:t>
      </w:r>
      <w:proofErr w:type="gramStart"/>
      <w:r w:rsidRPr="006D56E7">
        <w:rPr>
          <w:rFonts w:eastAsia="黑体"/>
          <w:color w:val="000000"/>
          <w:sz w:val="32"/>
          <w:szCs w:val="32"/>
        </w:rPr>
        <w:t>转系统</w:t>
      </w:r>
      <w:proofErr w:type="gramEnd"/>
      <w:r w:rsidRPr="006D56E7">
        <w:rPr>
          <w:rFonts w:eastAsia="黑体"/>
          <w:color w:val="000000"/>
          <w:sz w:val="32"/>
          <w:szCs w:val="32"/>
        </w:rPr>
        <w:t>公告〔</w:t>
      </w:r>
      <w:r w:rsidRPr="006D56E7">
        <w:rPr>
          <w:rFonts w:eastAsia="黑体"/>
          <w:color w:val="000000"/>
          <w:sz w:val="32"/>
          <w:szCs w:val="32"/>
        </w:rPr>
        <w:t>2020</w:t>
      </w:r>
      <w:r w:rsidRPr="006D56E7">
        <w:rPr>
          <w:rFonts w:eastAsia="黑体"/>
          <w:color w:val="000000"/>
          <w:sz w:val="32"/>
          <w:szCs w:val="32"/>
        </w:rPr>
        <w:t>〕</w:t>
      </w:r>
      <w:r w:rsidRPr="006D56E7">
        <w:rPr>
          <w:rFonts w:eastAsia="黑体"/>
          <w:color w:val="000000"/>
          <w:sz w:val="32"/>
          <w:szCs w:val="32"/>
        </w:rPr>
        <w:t>816</w:t>
      </w:r>
      <w:r w:rsidRPr="006D56E7">
        <w:rPr>
          <w:rFonts w:eastAsia="黑体"/>
          <w:color w:val="000000"/>
          <w:sz w:val="32"/>
          <w:szCs w:val="32"/>
        </w:rPr>
        <w:t>号附件</w:t>
      </w:r>
      <w:r w:rsidRPr="006D56E7">
        <w:rPr>
          <w:rFonts w:eastAsia="黑体"/>
          <w:color w:val="000000"/>
          <w:sz w:val="32"/>
          <w:szCs w:val="32"/>
        </w:rPr>
        <w:t>2</w:t>
      </w:r>
    </w:p>
    <w:p w14:paraId="37CB2AAB" w14:textId="77777777" w:rsidR="000018A2" w:rsidRPr="006D56E7" w:rsidRDefault="000018A2" w:rsidP="00441F99">
      <w:pPr>
        <w:spacing w:line="600" w:lineRule="exact"/>
        <w:jc w:val="center"/>
        <w:rPr>
          <w:rFonts w:eastAsia="方正大标宋简体"/>
          <w:color w:val="000000"/>
          <w:sz w:val="44"/>
          <w:szCs w:val="42"/>
        </w:rPr>
      </w:pPr>
    </w:p>
    <w:p w14:paraId="028BA874" w14:textId="77777777" w:rsidR="00CE278E" w:rsidRPr="006D56E7" w:rsidRDefault="00CE278E" w:rsidP="00441F99">
      <w:pPr>
        <w:spacing w:line="600" w:lineRule="exact"/>
        <w:jc w:val="center"/>
        <w:rPr>
          <w:rFonts w:eastAsia="方正大标宋简体"/>
          <w:color w:val="000000"/>
          <w:sz w:val="44"/>
          <w:szCs w:val="42"/>
        </w:rPr>
      </w:pPr>
      <w:r w:rsidRPr="006D56E7">
        <w:rPr>
          <w:rFonts w:eastAsia="方正大标宋简体"/>
          <w:color w:val="000000"/>
          <w:sz w:val="44"/>
          <w:szCs w:val="42"/>
        </w:rPr>
        <w:t>全国中小企业股份转让系统挂牌公司</w:t>
      </w:r>
    </w:p>
    <w:p w14:paraId="1F6B2C84" w14:textId="67F72136" w:rsidR="00CE278E" w:rsidRPr="006D56E7" w:rsidRDefault="00CE278E" w:rsidP="00441F99">
      <w:pPr>
        <w:spacing w:line="600" w:lineRule="exact"/>
        <w:jc w:val="center"/>
        <w:rPr>
          <w:rFonts w:eastAsia="方正大标宋简体"/>
          <w:color w:val="000000"/>
          <w:sz w:val="44"/>
          <w:szCs w:val="42"/>
        </w:rPr>
      </w:pPr>
      <w:r w:rsidRPr="006D56E7">
        <w:rPr>
          <w:rFonts w:eastAsia="方正大标宋简体"/>
          <w:color w:val="000000"/>
          <w:sz w:val="44"/>
          <w:szCs w:val="42"/>
        </w:rPr>
        <w:t>信息披露指引</w:t>
      </w:r>
      <w:r w:rsidRPr="006D56E7">
        <w:rPr>
          <w:rFonts w:eastAsia="方正大标宋简体"/>
          <w:color w:val="000000"/>
          <w:sz w:val="44"/>
          <w:szCs w:val="42"/>
        </w:rPr>
        <w:t>——</w:t>
      </w:r>
      <w:r w:rsidRPr="006D56E7">
        <w:rPr>
          <w:rFonts w:eastAsia="方正大标宋简体"/>
          <w:color w:val="000000"/>
          <w:sz w:val="44"/>
          <w:szCs w:val="42"/>
        </w:rPr>
        <w:t>建筑公司</w:t>
      </w:r>
    </w:p>
    <w:p w14:paraId="14A7935A" w14:textId="77777777" w:rsidR="00E8498C" w:rsidRPr="006D56E7" w:rsidRDefault="00E8498C" w:rsidP="00441F99">
      <w:pPr>
        <w:spacing w:line="600" w:lineRule="exact"/>
        <w:jc w:val="center"/>
        <w:rPr>
          <w:rFonts w:eastAsia="黑体"/>
          <w:b/>
          <w:color w:val="000000"/>
          <w:sz w:val="36"/>
          <w:szCs w:val="36"/>
        </w:rPr>
      </w:pPr>
    </w:p>
    <w:p w14:paraId="7BCC972B" w14:textId="3863009C" w:rsidR="00E8498C" w:rsidRPr="006D56E7" w:rsidRDefault="00E8498C" w:rsidP="003A1C3E">
      <w:pPr>
        <w:pStyle w:val="a9"/>
        <w:widowControl/>
        <w:numPr>
          <w:ilvl w:val="0"/>
          <w:numId w:val="3"/>
        </w:numPr>
        <w:snapToGrid w:val="0"/>
        <w:spacing w:line="600" w:lineRule="exact"/>
        <w:ind w:left="0" w:firstLineChars="0" w:firstLine="0"/>
        <w:jc w:val="center"/>
        <w:rPr>
          <w:rFonts w:eastAsia="黑体"/>
          <w:kern w:val="0"/>
          <w:sz w:val="32"/>
          <w:szCs w:val="32"/>
        </w:rPr>
      </w:pPr>
      <w:r w:rsidRPr="006D56E7">
        <w:rPr>
          <w:rFonts w:eastAsia="黑体"/>
          <w:color w:val="000000"/>
          <w:kern w:val="0"/>
          <w:sz w:val="32"/>
          <w:szCs w:val="32"/>
        </w:rPr>
        <w:t>总则</w:t>
      </w:r>
    </w:p>
    <w:p w14:paraId="0BF35E7C" w14:textId="77777777" w:rsidR="001D7098" w:rsidRPr="006D56E7" w:rsidRDefault="001D7098" w:rsidP="00441F99">
      <w:pPr>
        <w:pStyle w:val="a9"/>
        <w:widowControl/>
        <w:snapToGrid w:val="0"/>
        <w:spacing w:line="600" w:lineRule="exact"/>
        <w:ind w:left="1350" w:firstLineChars="0" w:firstLine="0"/>
        <w:rPr>
          <w:rFonts w:eastAsia="黑体"/>
          <w:b/>
          <w:kern w:val="0"/>
          <w:sz w:val="32"/>
          <w:szCs w:val="32"/>
        </w:rPr>
      </w:pPr>
    </w:p>
    <w:p w14:paraId="72D044A7" w14:textId="0EC612D8" w:rsidR="00E8498C" w:rsidRPr="006D56E7" w:rsidRDefault="00E8498C" w:rsidP="00441F99">
      <w:pPr>
        <w:widowControl/>
        <w:snapToGrid w:val="0"/>
        <w:spacing w:line="600" w:lineRule="exact"/>
        <w:rPr>
          <w:rFonts w:eastAsia="仿宋"/>
          <w:sz w:val="32"/>
          <w:szCs w:val="32"/>
        </w:rPr>
      </w:pPr>
      <w:r w:rsidRPr="006D56E7">
        <w:rPr>
          <w:rFonts w:eastAsia="仿宋"/>
          <w:sz w:val="32"/>
          <w:szCs w:val="32"/>
        </w:rPr>
        <w:t xml:space="preserve">  </w:t>
      </w:r>
      <w:r w:rsidRPr="006D56E7">
        <w:rPr>
          <w:rFonts w:eastAsia="仿宋"/>
          <w:color w:val="FF0000"/>
          <w:sz w:val="32"/>
          <w:szCs w:val="32"/>
        </w:rPr>
        <w:t xml:space="preserve">  </w:t>
      </w:r>
      <w:r w:rsidR="00A06A8E" w:rsidRPr="006D56E7">
        <w:rPr>
          <w:rFonts w:eastAsia="黑体"/>
          <w:sz w:val="32"/>
          <w:szCs w:val="32"/>
        </w:rPr>
        <w:t>第一条</w:t>
      </w:r>
      <w:r w:rsidR="00A06A8E" w:rsidRPr="006D56E7">
        <w:rPr>
          <w:rFonts w:eastAsia="仿宋"/>
          <w:sz w:val="32"/>
          <w:szCs w:val="32"/>
        </w:rPr>
        <w:t xml:space="preserve"> </w:t>
      </w:r>
      <w:r w:rsidR="00BA5089" w:rsidRPr="006D56E7">
        <w:rPr>
          <w:rFonts w:eastAsia="仿宋"/>
          <w:sz w:val="32"/>
          <w:szCs w:val="32"/>
        </w:rPr>
        <w:t xml:space="preserve"> </w:t>
      </w:r>
      <w:r w:rsidRPr="006D56E7">
        <w:rPr>
          <w:rFonts w:eastAsia="仿宋"/>
          <w:sz w:val="32"/>
          <w:szCs w:val="32"/>
        </w:rPr>
        <w:t>为</w:t>
      </w:r>
      <w:r w:rsidR="00CE278E" w:rsidRPr="006D56E7">
        <w:rPr>
          <w:rFonts w:eastAsia="仿宋"/>
          <w:sz w:val="32"/>
          <w:szCs w:val="32"/>
        </w:rPr>
        <w:t>了</w:t>
      </w:r>
      <w:r w:rsidRPr="006D56E7">
        <w:rPr>
          <w:rFonts w:eastAsia="仿宋"/>
          <w:sz w:val="32"/>
          <w:szCs w:val="32"/>
        </w:rPr>
        <w:t>满足差异化信息披露要求，规范</w:t>
      </w:r>
      <w:r w:rsidR="00024FF0" w:rsidRPr="006D56E7">
        <w:rPr>
          <w:rFonts w:eastAsia="仿宋"/>
          <w:sz w:val="32"/>
          <w:szCs w:val="32"/>
        </w:rPr>
        <w:t>建筑</w:t>
      </w:r>
      <w:r w:rsidRPr="006D56E7">
        <w:rPr>
          <w:rFonts w:eastAsia="仿宋"/>
          <w:sz w:val="32"/>
          <w:szCs w:val="32"/>
        </w:rPr>
        <w:t>行业挂牌公司的持续信息披露行为，提高信息披露针对性和有效性，保障投资者的合法权益，根据《全国中小企业股份转让系统业务规则（试行）》《全国中小企业股份转让系统信息披露</w:t>
      </w:r>
      <w:r w:rsidR="00024FF0" w:rsidRPr="006D56E7">
        <w:rPr>
          <w:rFonts w:eastAsia="仿宋"/>
          <w:sz w:val="32"/>
          <w:szCs w:val="32"/>
        </w:rPr>
        <w:t>规则</w:t>
      </w:r>
      <w:r w:rsidRPr="006D56E7">
        <w:rPr>
          <w:rFonts w:eastAsia="仿宋"/>
          <w:sz w:val="32"/>
          <w:szCs w:val="32"/>
        </w:rPr>
        <w:t>》等业务规则，制定本指引。</w:t>
      </w:r>
    </w:p>
    <w:p w14:paraId="3AE6BA92" w14:textId="5FCD8FBB" w:rsidR="00E8498C" w:rsidRPr="006D56E7" w:rsidRDefault="00A06A8E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黑体"/>
          <w:sz w:val="32"/>
          <w:szCs w:val="32"/>
        </w:rPr>
        <w:t>第二条</w:t>
      </w:r>
      <w:r w:rsidRPr="006D56E7">
        <w:rPr>
          <w:rFonts w:eastAsia="仿宋"/>
          <w:sz w:val="32"/>
          <w:szCs w:val="32"/>
        </w:rPr>
        <w:t xml:space="preserve"> </w:t>
      </w:r>
      <w:r w:rsidR="00BA5089" w:rsidRPr="006D56E7">
        <w:rPr>
          <w:rFonts w:eastAsia="仿宋"/>
          <w:sz w:val="32"/>
          <w:szCs w:val="32"/>
        </w:rPr>
        <w:t xml:space="preserve"> </w:t>
      </w:r>
      <w:r w:rsidR="00024FF0" w:rsidRPr="006D56E7">
        <w:rPr>
          <w:rFonts w:eastAsia="仿宋"/>
          <w:sz w:val="32"/>
          <w:szCs w:val="32"/>
        </w:rPr>
        <w:t>建筑</w:t>
      </w:r>
      <w:r w:rsidR="00E8498C" w:rsidRPr="006D56E7">
        <w:rPr>
          <w:rFonts w:eastAsia="仿宋"/>
          <w:sz w:val="32"/>
          <w:szCs w:val="32"/>
        </w:rPr>
        <w:t>行业挂牌公司（以下简称公司）在年度报告和临时报告中披露行业经营性信息，适用本指引的规定。</w:t>
      </w:r>
    </w:p>
    <w:p w14:paraId="40904F47" w14:textId="72EED3CF" w:rsidR="00E8498C" w:rsidRPr="006D56E7" w:rsidRDefault="00E8498C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仿宋"/>
          <w:sz w:val="32"/>
          <w:szCs w:val="32"/>
        </w:rPr>
        <w:t>本指引所称</w:t>
      </w:r>
      <w:r w:rsidR="00024FF0" w:rsidRPr="006D56E7">
        <w:rPr>
          <w:rFonts w:eastAsia="仿宋"/>
          <w:sz w:val="32"/>
          <w:szCs w:val="32"/>
        </w:rPr>
        <w:t>建筑</w:t>
      </w:r>
      <w:r w:rsidRPr="006D56E7">
        <w:rPr>
          <w:rFonts w:eastAsia="仿宋"/>
          <w:sz w:val="32"/>
          <w:szCs w:val="32"/>
        </w:rPr>
        <w:t>行业挂牌公司是指根据全国中小企业股份转让系统有限责任公司（以下简称全国股转公司）制定并发布的《挂牌公司管理型行业分类指引》规定的行业分类，属于</w:t>
      </w:r>
      <w:r w:rsidR="0049543A" w:rsidRPr="006D56E7">
        <w:rPr>
          <w:rFonts w:eastAsia="仿宋"/>
          <w:sz w:val="32"/>
          <w:szCs w:val="32"/>
        </w:rPr>
        <w:t>建筑业</w:t>
      </w:r>
      <w:r w:rsidRPr="006D56E7">
        <w:rPr>
          <w:rFonts w:eastAsia="仿宋"/>
          <w:sz w:val="32"/>
          <w:szCs w:val="32"/>
        </w:rPr>
        <w:t>的</w:t>
      </w:r>
      <w:r w:rsidR="00A1566F" w:rsidRPr="006D56E7">
        <w:rPr>
          <w:rFonts w:eastAsia="仿宋"/>
          <w:sz w:val="32"/>
          <w:szCs w:val="32"/>
        </w:rPr>
        <w:t>挂牌</w:t>
      </w:r>
      <w:r w:rsidRPr="006D56E7">
        <w:rPr>
          <w:rFonts w:eastAsia="仿宋"/>
          <w:sz w:val="32"/>
          <w:szCs w:val="32"/>
        </w:rPr>
        <w:t>公司。</w:t>
      </w:r>
    </w:p>
    <w:p w14:paraId="7B3E2145" w14:textId="6C0FD9AA" w:rsidR="00E8498C" w:rsidRPr="006D56E7" w:rsidRDefault="00A06A8E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黑体"/>
          <w:sz w:val="32"/>
          <w:szCs w:val="32"/>
        </w:rPr>
        <w:t>第三条</w:t>
      </w:r>
      <w:r w:rsidRPr="006D56E7">
        <w:rPr>
          <w:rFonts w:eastAsia="仿宋"/>
          <w:sz w:val="32"/>
          <w:szCs w:val="32"/>
        </w:rPr>
        <w:t xml:space="preserve"> </w:t>
      </w:r>
      <w:r w:rsidR="00BA5089" w:rsidRPr="006D56E7">
        <w:rPr>
          <w:rFonts w:eastAsia="仿宋"/>
          <w:sz w:val="32"/>
          <w:szCs w:val="32"/>
        </w:rPr>
        <w:t xml:space="preserve"> </w:t>
      </w:r>
      <w:r w:rsidR="00E8498C" w:rsidRPr="006D56E7">
        <w:rPr>
          <w:rFonts w:eastAsia="仿宋"/>
          <w:sz w:val="32"/>
          <w:szCs w:val="32"/>
        </w:rPr>
        <w:t>公司在适用本指引时，还应当同时遵循法律法规、中国证券监督管理委员会</w:t>
      </w:r>
      <w:r w:rsidR="00DF52E8" w:rsidRPr="006D56E7">
        <w:rPr>
          <w:rFonts w:eastAsia="仿宋"/>
          <w:sz w:val="32"/>
          <w:szCs w:val="32"/>
        </w:rPr>
        <w:t>（以下简称中国证监会）</w:t>
      </w:r>
      <w:r w:rsidR="00E8498C" w:rsidRPr="006D56E7">
        <w:rPr>
          <w:rFonts w:eastAsia="仿宋"/>
          <w:sz w:val="32"/>
          <w:szCs w:val="32"/>
        </w:rPr>
        <w:t>关于信息披露的相关规定、《全国中小企业股份转让系统业务规则（试行）》《全国中小企业股份转让系统挂牌公司信息披露</w:t>
      </w:r>
      <w:r w:rsidR="00024FF0" w:rsidRPr="006D56E7">
        <w:rPr>
          <w:rFonts w:eastAsia="仿宋"/>
          <w:sz w:val="32"/>
          <w:szCs w:val="32"/>
        </w:rPr>
        <w:t>规则</w:t>
      </w:r>
      <w:r w:rsidR="00E8498C" w:rsidRPr="006D56E7">
        <w:rPr>
          <w:rFonts w:eastAsia="仿宋"/>
          <w:sz w:val="32"/>
          <w:szCs w:val="32"/>
        </w:rPr>
        <w:t>》及全国股转公司关于信息披露的其他规定。</w:t>
      </w:r>
    </w:p>
    <w:p w14:paraId="198F430A" w14:textId="657D3723" w:rsidR="00E8498C" w:rsidRPr="006D56E7" w:rsidRDefault="00DC6A80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仿宋"/>
          <w:sz w:val="32"/>
          <w:szCs w:val="32"/>
        </w:rPr>
        <w:lastRenderedPageBreak/>
        <w:t>如本指引与上述规定要求披露的部分内容相同的，公司可以采取索引的方式披露，避免重复。</w:t>
      </w:r>
      <w:r w:rsidR="008B0F53" w:rsidRPr="006D56E7">
        <w:rPr>
          <w:rFonts w:eastAsia="仿宋"/>
          <w:sz w:val="32"/>
          <w:szCs w:val="32"/>
        </w:rPr>
        <w:t>由于国家秘密、商业秘密等特殊原因导致本</w:t>
      </w:r>
      <w:r w:rsidR="00DF172C" w:rsidRPr="006D56E7">
        <w:rPr>
          <w:rFonts w:eastAsia="仿宋"/>
          <w:sz w:val="32"/>
          <w:szCs w:val="32"/>
        </w:rPr>
        <w:t>指引</w:t>
      </w:r>
      <w:r w:rsidR="008B0F53" w:rsidRPr="006D56E7">
        <w:rPr>
          <w:rFonts w:eastAsia="仿宋"/>
          <w:sz w:val="32"/>
          <w:szCs w:val="32"/>
        </w:rPr>
        <w:t>规定的某些信息确实不便披露的，公司可以不予披露，</w:t>
      </w:r>
      <w:r w:rsidR="00E8498C" w:rsidRPr="006D56E7">
        <w:rPr>
          <w:rFonts w:eastAsia="仿宋"/>
          <w:sz w:val="32"/>
          <w:szCs w:val="32"/>
        </w:rPr>
        <w:t>但应当</w:t>
      </w:r>
      <w:r w:rsidR="00DF172C" w:rsidRPr="006D56E7">
        <w:rPr>
          <w:rFonts w:eastAsia="仿宋"/>
          <w:sz w:val="32"/>
          <w:szCs w:val="32"/>
        </w:rPr>
        <w:t>说明未按规定</w:t>
      </w:r>
      <w:r w:rsidR="00E8498C" w:rsidRPr="006D56E7">
        <w:rPr>
          <w:rFonts w:eastAsia="仿宋"/>
          <w:sz w:val="32"/>
          <w:szCs w:val="32"/>
        </w:rPr>
        <w:t>进行披露的原因。</w:t>
      </w:r>
      <w:r w:rsidR="00DF52E8" w:rsidRPr="006D56E7">
        <w:rPr>
          <w:rFonts w:eastAsia="仿宋"/>
          <w:sz w:val="32"/>
          <w:szCs w:val="32"/>
        </w:rPr>
        <w:t>中国证监会、全国股转公司认为需要披露的，公司应当披露。</w:t>
      </w:r>
    </w:p>
    <w:p w14:paraId="280B8A8F" w14:textId="371E3BB4" w:rsidR="00E8498C" w:rsidRPr="006D56E7" w:rsidRDefault="00A06A8E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黑体"/>
          <w:sz w:val="32"/>
          <w:szCs w:val="32"/>
        </w:rPr>
        <w:t>第四条</w:t>
      </w:r>
      <w:r w:rsidRPr="006D56E7">
        <w:rPr>
          <w:rFonts w:eastAsia="仿宋"/>
          <w:sz w:val="32"/>
          <w:szCs w:val="32"/>
        </w:rPr>
        <w:t xml:space="preserve"> </w:t>
      </w:r>
      <w:r w:rsidR="00BA5089" w:rsidRPr="006D56E7">
        <w:rPr>
          <w:rFonts w:eastAsia="仿宋"/>
          <w:sz w:val="32"/>
          <w:szCs w:val="32"/>
        </w:rPr>
        <w:t xml:space="preserve"> </w:t>
      </w:r>
      <w:r w:rsidR="00C91398" w:rsidRPr="006D56E7">
        <w:rPr>
          <w:rFonts w:eastAsia="仿宋"/>
          <w:sz w:val="32"/>
          <w:szCs w:val="32"/>
        </w:rPr>
        <w:t>公司披露行业经营性信息时，应当对行业专业术语、专业背景、行业知识等进行必要的介绍和解释说明，便于投资者理解公司实际经营状况和风险信息。</w:t>
      </w:r>
    </w:p>
    <w:p w14:paraId="5DCF6511" w14:textId="77777777" w:rsidR="00E8498C" w:rsidRPr="006D56E7" w:rsidRDefault="00E8498C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仿宋"/>
          <w:sz w:val="32"/>
          <w:szCs w:val="32"/>
        </w:rPr>
        <w:t>公司在披露行业经营性信息时引用相关数据、资料的，应当保证引用内容充分可靠、客观权威，并注明其来源。</w:t>
      </w:r>
    </w:p>
    <w:p w14:paraId="0AF5C1BB" w14:textId="77777777" w:rsidR="001D7098" w:rsidRPr="006D56E7" w:rsidRDefault="001D7098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</w:p>
    <w:p w14:paraId="78652433" w14:textId="3ED71DF4" w:rsidR="00E8498C" w:rsidRPr="006D56E7" w:rsidRDefault="00E8498C" w:rsidP="003A1C3E">
      <w:pPr>
        <w:pStyle w:val="a9"/>
        <w:widowControl/>
        <w:numPr>
          <w:ilvl w:val="0"/>
          <w:numId w:val="3"/>
        </w:numPr>
        <w:snapToGrid w:val="0"/>
        <w:spacing w:line="600" w:lineRule="exact"/>
        <w:ind w:left="0" w:firstLineChars="0" w:firstLine="0"/>
        <w:jc w:val="center"/>
        <w:rPr>
          <w:rFonts w:eastAsia="黑体"/>
          <w:color w:val="000000"/>
          <w:kern w:val="0"/>
          <w:sz w:val="32"/>
          <w:szCs w:val="32"/>
        </w:rPr>
      </w:pPr>
      <w:r w:rsidRPr="006D56E7">
        <w:rPr>
          <w:rFonts w:eastAsia="黑体"/>
          <w:color w:val="000000"/>
          <w:kern w:val="0"/>
          <w:sz w:val="32"/>
          <w:szCs w:val="32"/>
        </w:rPr>
        <w:t>年度报告</w:t>
      </w:r>
    </w:p>
    <w:p w14:paraId="70DDE060" w14:textId="77777777" w:rsidR="001D7098" w:rsidRPr="006D56E7" w:rsidRDefault="001D7098" w:rsidP="00441F99">
      <w:pPr>
        <w:pStyle w:val="a9"/>
        <w:widowControl/>
        <w:snapToGrid w:val="0"/>
        <w:spacing w:line="600" w:lineRule="exact"/>
        <w:ind w:left="1350" w:firstLineChars="0" w:firstLine="0"/>
        <w:rPr>
          <w:rFonts w:eastAsia="黑体"/>
          <w:color w:val="000000"/>
          <w:kern w:val="0"/>
          <w:sz w:val="32"/>
          <w:szCs w:val="32"/>
        </w:rPr>
      </w:pPr>
    </w:p>
    <w:p w14:paraId="5B2AAF5D" w14:textId="1DE5466E" w:rsidR="00E8498C" w:rsidRPr="006D56E7" w:rsidRDefault="00A06A8E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黑体"/>
          <w:sz w:val="32"/>
          <w:szCs w:val="32"/>
        </w:rPr>
        <w:t>第五条</w:t>
      </w:r>
      <w:r w:rsidRPr="006D56E7">
        <w:rPr>
          <w:rFonts w:eastAsia="仿宋"/>
          <w:sz w:val="32"/>
          <w:szCs w:val="32"/>
        </w:rPr>
        <w:t xml:space="preserve"> </w:t>
      </w:r>
      <w:r w:rsidR="00BA5089" w:rsidRPr="006D56E7">
        <w:rPr>
          <w:rFonts w:eastAsia="仿宋"/>
          <w:sz w:val="32"/>
          <w:szCs w:val="32"/>
        </w:rPr>
        <w:t xml:space="preserve"> </w:t>
      </w:r>
      <w:r w:rsidR="00E8498C" w:rsidRPr="006D56E7">
        <w:rPr>
          <w:rFonts w:eastAsia="仿宋"/>
          <w:sz w:val="32"/>
          <w:szCs w:val="32"/>
        </w:rPr>
        <w:t>公司根据</w:t>
      </w:r>
      <w:r w:rsidR="00844190" w:rsidRPr="006D56E7">
        <w:rPr>
          <w:rFonts w:eastAsia="仿宋"/>
          <w:sz w:val="32"/>
          <w:szCs w:val="32"/>
        </w:rPr>
        <w:t>中国证监会</w:t>
      </w:r>
      <w:r w:rsidR="00DF52E8" w:rsidRPr="006D56E7">
        <w:rPr>
          <w:rFonts w:eastAsia="仿宋"/>
          <w:sz w:val="32"/>
          <w:szCs w:val="32"/>
        </w:rPr>
        <w:t>非上市公众公司</w:t>
      </w:r>
      <w:r w:rsidR="00DF172C" w:rsidRPr="006D56E7">
        <w:rPr>
          <w:rFonts w:eastAsia="仿宋"/>
          <w:sz w:val="32"/>
          <w:szCs w:val="32"/>
        </w:rPr>
        <w:t>信息披露</w:t>
      </w:r>
      <w:r w:rsidR="00E8498C" w:rsidRPr="006D56E7">
        <w:rPr>
          <w:rFonts w:eastAsia="仿宋"/>
          <w:sz w:val="32"/>
          <w:szCs w:val="32"/>
        </w:rPr>
        <w:t>内容与格式</w:t>
      </w:r>
      <w:r w:rsidR="00A22831" w:rsidRPr="006D56E7">
        <w:rPr>
          <w:rFonts w:eastAsia="仿宋"/>
          <w:sz w:val="32"/>
          <w:szCs w:val="32"/>
        </w:rPr>
        <w:t>准则</w:t>
      </w:r>
      <w:r w:rsidR="00E8498C" w:rsidRPr="006D56E7">
        <w:rPr>
          <w:rFonts w:eastAsia="仿宋"/>
          <w:sz w:val="32"/>
          <w:szCs w:val="32"/>
        </w:rPr>
        <w:t>要求披露年度报告时，应当同时按照本章要求履行信息披露义务。</w:t>
      </w:r>
    </w:p>
    <w:p w14:paraId="0F965FED" w14:textId="7FCB9BDC" w:rsidR="00E8498C" w:rsidRPr="006D56E7" w:rsidRDefault="00A06A8E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黑体"/>
          <w:sz w:val="32"/>
          <w:szCs w:val="32"/>
        </w:rPr>
        <w:t>第六条</w:t>
      </w:r>
      <w:r w:rsidRPr="006D56E7">
        <w:rPr>
          <w:rFonts w:eastAsia="仿宋"/>
          <w:sz w:val="32"/>
          <w:szCs w:val="32"/>
        </w:rPr>
        <w:t xml:space="preserve"> </w:t>
      </w:r>
      <w:r w:rsidR="00BA5089" w:rsidRPr="006D56E7">
        <w:rPr>
          <w:rFonts w:eastAsia="仿宋"/>
          <w:sz w:val="32"/>
          <w:szCs w:val="32"/>
        </w:rPr>
        <w:t xml:space="preserve"> </w:t>
      </w:r>
      <w:r w:rsidR="00E8498C" w:rsidRPr="006D56E7">
        <w:rPr>
          <w:rFonts w:eastAsia="仿宋"/>
          <w:sz w:val="32"/>
          <w:szCs w:val="32"/>
        </w:rPr>
        <w:t>公司应针对</w:t>
      </w:r>
      <w:r w:rsidR="007841E3" w:rsidRPr="006D56E7">
        <w:rPr>
          <w:rFonts w:eastAsia="仿宋"/>
          <w:sz w:val="32"/>
          <w:szCs w:val="32"/>
        </w:rPr>
        <w:t>所处建筑细分</w:t>
      </w:r>
      <w:r w:rsidR="00E8498C" w:rsidRPr="006D56E7">
        <w:rPr>
          <w:rFonts w:eastAsia="仿宋"/>
          <w:sz w:val="32"/>
          <w:szCs w:val="32"/>
        </w:rPr>
        <w:t>行业和自身</w:t>
      </w:r>
      <w:r w:rsidR="007841E3" w:rsidRPr="006D56E7">
        <w:rPr>
          <w:rFonts w:eastAsia="仿宋"/>
          <w:sz w:val="32"/>
          <w:szCs w:val="32"/>
        </w:rPr>
        <w:t>业务</w:t>
      </w:r>
      <w:r w:rsidR="00E8498C" w:rsidRPr="006D56E7">
        <w:rPr>
          <w:rFonts w:eastAsia="仿宋"/>
          <w:sz w:val="32"/>
          <w:szCs w:val="32"/>
        </w:rPr>
        <w:t>特点，遵循相关性和重要性原则，充分披露影响其业务经营活动的行业重大风险</w:t>
      </w:r>
      <w:r w:rsidR="00804CDF" w:rsidRPr="006D56E7">
        <w:rPr>
          <w:rFonts w:eastAsia="仿宋"/>
          <w:sz w:val="32"/>
          <w:szCs w:val="32"/>
        </w:rPr>
        <w:t>因素</w:t>
      </w:r>
      <w:r w:rsidR="008E5BA3" w:rsidRPr="006D56E7">
        <w:rPr>
          <w:rFonts w:eastAsia="仿宋"/>
          <w:sz w:val="32"/>
          <w:szCs w:val="32"/>
        </w:rPr>
        <w:t>及变动情况</w:t>
      </w:r>
      <w:r w:rsidR="00E8498C" w:rsidRPr="006D56E7">
        <w:rPr>
          <w:rFonts w:eastAsia="仿宋"/>
          <w:sz w:val="32"/>
          <w:szCs w:val="32"/>
        </w:rPr>
        <w:t>，如</w:t>
      </w:r>
      <w:r w:rsidR="00051250" w:rsidRPr="006D56E7">
        <w:rPr>
          <w:rFonts w:eastAsia="仿宋"/>
          <w:sz w:val="32"/>
          <w:szCs w:val="32"/>
        </w:rPr>
        <w:t>行业政策变化风险、下游行业需求变化风险、市场竞争风险、安全生产风险、</w:t>
      </w:r>
      <w:r w:rsidR="0079021F" w:rsidRPr="006D56E7">
        <w:rPr>
          <w:rFonts w:eastAsia="仿宋"/>
          <w:sz w:val="32"/>
          <w:szCs w:val="32"/>
        </w:rPr>
        <w:t>工程</w:t>
      </w:r>
      <w:r w:rsidR="00051250" w:rsidRPr="006D56E7">
        <w:rPr>
          <w:rFonts w:eastAsia="仿宋"/>
          <w:sz w:val="32"/>
          <w:szCs w:val="32"/>
        </w:rPr>
        <w:t>分包风险、应收账款</w:t>
      </w:r>
      <w:r w:rsidR="00C91398" w:rsidRPr="006D56E7">
        <w:rPr>
          <w:rFonts w:eastAsia="仿宋"/>
          <w:sz w:val="32"/>
          <w:szCs w:val="32"/>
        </w:rPr>
        <w:t>坏账</w:t>
      </w:r>
      <w:r w:rsidR="00051250" w:rsidRPr="006D56E7">
        <w:rPr>
          <w:rFonts w:eastAsia="仿宋"/>
          <w:sz w:val="32"/>
          <w:szCs w:val="32"/>
        </w:rPr>
        <w:t>风险、境外业务风险、项目管理风险等</w:t>
      </w:r>
      <w:r w:rsidR="00E8498C" w:rsidRPr="006D56E7">
        <w:rPr>
          <w:rFonts w:eastAsia="仿宋"/>
          <w:sz w:val="32"/>
          <w:szCs w:val="32"/>
        </w:rPr>
        <w:t>。</w:t>
      </w:r>
    </w:p>
    <w:p w14:paraId="793F8683" w14:textId="41274613" w:rsidR="00024FF0" w:rsidRPr="006D56E7" w:rsidRDefault="00A06A8E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黑体"/>
          <w:sz w:val="32"/>
          <w:szCs w:val="32"/>
        </w:rPr>
        <w:lastRenderedPageBreak/>
        <w:t>第七条</w:t>
      </w:r>
      <w:r w:rsidRPr="006D56E7">
        <w:rPr>
          <w:rFonts w:eastAsia="仿宋"/>
          <w:sz w:val="32"/>
          <w:szCs w:val="32"/>
        </w:rPr>
        <w:t xml:space="preserve"> </w:t>
      </w:r>
      <w:r w:rsidR="00BA5089" w:rsidRPr="006D56E7">
        <w:rPr>
          <w:rFonts w:eastAsia="仿宋"/>
          <w:sz w:val="32"/>
          <w:szCs w:val="32"/>
        </w:rPr>
        <w:t xml:space="preserve"> </w:t>
      </w:r>
      <w:r w:rsidR="00024FF0" w:rsidRPr="006D56E7">
        <w:rPr>
          <w:rFonts w:eastAsia="仿宋"/>
          <w:sz w:val="32"/>
          <w:szCs w:val="32"/>
        </w:rPr>
        <w:t>公司应披露报告期内对</w:t>
      </w:r>
      <w:r w:rsidR="008E5BA3" w:rsidRPr="006D56E7">
        <w:rPr>
          <w:rFonts w:eastAsia="仿宋"/>
          <w:sz w:val="32"/>
          <w:szCs w:val="32"/>
        </w:rPr>
        <w:t>所属</w:t>
      </w:r>
      <w:r w:rsidR="00024FF0" w:rsidRPr="006D56E7">
        <w:rPr>
          <w:rFonts w:eastAsia="仿宋"/>
          <w:sz w:val="32"/>
          <w:szCs w:val="32"/>
        </w:rPr>
        <w:t>建筑</w:t>
      </w:r>
      <w:r w:rsidR="008E5BA3" w:rsidRPr="006D56E7">
        <w:rPr>
          <w:rFonts w:eastAsia="仿宋"/>
          <w:sz w:val="32"/>
          <w:szCs w:val="32"/>
        </w:rPr>
        <w:t>细分行业</w:t>
      </w:r>
      <w:r w:rsidR="00024FF0" w:rsidRPr="006D56E7">
        <w:rPr>
          <w:rFonts w:eastAsia="仿宋"/>
          <w:sz w:val="32"/>
          <w:szCs w:val="32"/>
        </w:rPr>
        <w:t>具有重大影响的</w:t>
      </w:r>
      <w:r w:rsidR="00565426" w:rsidRPr="006D56E7">
        <w:rPr>
          <w:rFonts w:eastAsia="仿宋"/>
          <w:sz w:val="32"/>
          <w:szCs w:val="32"/>
        </w:rPr>
        <w:t>宏观经济形势、财政税收政策</w:t>
      </w:r>
      <w:r w:rsidR="00024FF0" w:rsidRPr="006D56E7">
        <w:rPr>
          <w:rFonts w:eastAsia="仿宋"/>
          <w:sz w:val="32"/>
          <w:szCs w:val="32"/>
        </w:rPr>
        <w:t>、</w:t>
      </w:r>
      <w:r w:rsidR="008E5BA3" w:rsidRPr="006D56E7">
        <w:rPr>
          <w:rFonts w:eastAsia="仿宋"/>
          <w:sz w:val="32"/>
          <w:szCs w:val="32"/>
        </w:rPr>
        <w:t>行业</w:t>
      </w:r>
      <w:r w:rsidR="00024FF0" w:rsidRPr="006D56E7">
        <w:rPr>
          <w:rFonts w:eastAsia="仿宋"/>
          <w:sz w:val="32"/>
          <w:szCs w:val="32"/>
        </w:rPr>
        <w:t>监管政策、工程建设资质及招投标管理政策等外部因素的变化情况，并说明可能对公司当期运营和未来发展的具体影响，以及公司已经或计划采取的应对措施。</w:t>
      </w:r>
    </w:p>
    <w:p w14:paraId="3DE8B503" w14:textId="1AB82A2F" w:rsidR="00E8498C" w:rsidRPr="006D56E7" w:rsidRDefault="00A06A8E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黑体"/>
          <w:sz w:val="32"/>
          <w:szCs w:val="32"/>
        </w:rPr>
        <w:t>第八条</w:t>
      </w:r>
      <w:r w:rsidRPr="006D56E7">
        <w:rPr>
          <w:rFonts w:eastAsia="仿宋"/>
          <w:sz w:val="32"/>
          <w:szCs w:val="32"/>
        </w:rPr>
        <w:t xml:space="preserve"> </w:t>
      </w:r>
      <w:r w:rsidR="00BA5089" w:rsidRPr="006D56E7">
        <w:rPr>
          <w:rFonts w:eastAsia="仿宋"/>
          <w:sz w:val="32"/>
          <w:szCs w:val="32"/>
        </w:rPr>
        <w:t xml:space="preserve"> </w:t>
      </w:r>
      <w:r w:rsidR="00024FF0" w:rsidRPr="006D56E7">
        <w:rPr>
          <w:rFonts w:eastAsia="仿宋"/>
          <w:sz w:val="32"/>
          <w:szCs w:val="32"/>
        </w:rPr>
        <w:t>公司应按照</w:t>
      </w:r>
      <w:r w:rsidR="004437F7" w:rsidRPr="006D56E7">
        <w:rPr>
          <w:rFonts w:eastAsia="仿宋"/>
          <w:sz w:val="32"/>
          <w:szCs w:val="32"/>
        </w:rPr>
        <w:t>所属</w:t>
      </w:r>
      <w:r w:rsidR="008E5BA3" w:rsidRPr="006D56E7">
        <w:rPr>
          <w:rFonts w:eastAsia="仿宋"/>
          <w:sz w:val="32"/>
          <w:szCs w:val="32"/>
        </w:rPr>
        <w:t>建筑</w:t>
      </w:r>
      <w:r w:rsidR="00024FF0" w:rsidRPr="006D56E7">
        <w:rPr>
          <w:rFonts w:eastAsia="仿宋"/>
          <w:sz w:val="32"/>
          <w:szCs w:val="32"/>
        </w:rPr>
        <w:t>细分行业类别，</w:t>
      </w:r>
      <w:r w:rsidR="00251787" w:rsidRPr="006D56E7">
        <w:rPr>
          <w:rFonts w:eastAsia="仿宋"/>
          <w:sz w:val="32"/>
          <w:szCs w:val="32"/>
        </w:rPr>
        <w:t>披露公司所处细分行业的市场竞争格局、公司的市场地位、公司的下游行业发展情况，以及公司在品牌、专业技术、项目管理及项目融资等方面的竞争优势及劣势等</w:t>
      </w:r>
      <w:r w:rsidR="00E8498C" w:rsidRPr="006D56E7">
        <w:rPr>
          <w:rFonts w:eastAsia="仿宋"/>
          <w:sz w:val="32"/>
          <w:szCs w:val="32"/>
        </w:rPr>
        <w:t>。</w:t>
      </w:r>
    </w:p>
    <w:p w14:paraId="11410000" w14:textId="26371A67" w:rsidR="008356EC" w:rsidRPr="006D56E7" w:rsidRDefault="000A21FD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黑体"/>
          <w:sz w:val="32"/>
          <w:szCs w:val="32"/>
        </w:rPr>
        <w:t>第</w:t>
      </w:r>
      <w:r w:rsidR="00241DFA" w:rsidRPr="006D56E7">
        <w:rPr>
          <w:rFonts w:eastAsia="黑体"/>
          <w:sz w:val="32"/>
          <w:szCs w:val="32"/>
        </w:rPr>
        <w:t>九</w:t>
      </w:r>
      <w:r w:rsidRPr="006D56E7">
        <w:rPr>
          <w:rFonts w:eastAsia="黑体"/>
          <w:sz w:val="32"/>
          <w:szCs w:val="32"/>
        </w:rPr>
        <w:t>条</w:t>
      </w:r>
      <w:r w:rsidR="00A06A8E" w:rsidRPr="006D56E7">
        <w:rPr>
          <w:rFonts w:eastAsia="仿宋"/>
          <w:sz w:val="32"/>
          <w:szCs w:val="32"/>
        </w:rPr>
        <w:t xml:space="preserve"> </w:t>
      </w:r>
      <w:r w:rsidR="00BA5089" w:rsidRPr="006D56E7">
        <w:rPr>
          <w:rFonts w:eastAsia="仿宋"/>
          <w:sz w:val="32"/>
          <w:szCs w:val="32"/>
        </w:rPr>
        <w:t xml:space="preserve"> </w:t>
      </w:r>
      <w:r w:rsidRPr="006D56E7">
        <w:rPr>
          <w:rFonts w:eastAsia="仿宋"/>
          <w:sz w:val="32"/>
          <w:szCs w:val="32"/>
        </w:rPr>
        <w:t>公司应披露报告期内取得的建筑行业资质类型及有效期</w:t>
      </w:r>
      <w:r w:rsidR="00D21E44" w:rsidRPr="006D56E7">
        <w:rPr>
          <w:rFonts w:eastAsia="仿宋"/>
          <w:sz w:val="32"/>
          <w:szCs w:val="32"/>
        </w:rPr>
        <w:t>，</w:t>
      </w:r>
      <w:r w:rsidR="008356EC" w:rsidRPr="006D56E7">
        <w:rPr>
          <w:rFonts w:eastAsia="仿宋"/>
          <w:sz w:val="32"/>
          <w:szCs w:val="32"/>
        </w:rPr>
        <w:t>并按资质类型与等级分类披露专业技术人员的数量、结构以及与公司已取得业务资质的匹配情况等。如公司取得核电、铁路、水利水电等特殊行业资质，应当说明相关资质对公司当前及未来业务、财务的具体影响，以及进入相关细分行业的计划安排。</w:t>
      </w:r>
    </w:p>
    <w:p w14:paraId="637EDA1E" w14:textId="1D2BC971" w:rsidR="000A21FD" w:rsidRPr="006D56E7" w:rsidRDefault="000A21FD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仿宋"/>
          <w:sz w:val="32"/>
          <w:szCs w:val="32"/>
        </w:rPr>
        <w:t>报告期内相关资质发生重大变化的，公司应说明</w:t>
      </w:r>
      <w:r w:rsidR="00C91398" w:rsidRPr="006D56E7">
        <w:rPr>
          <w:rFonts w:eastAsia="仿宋"/>
          <w:sz w:val="32"/>
          <w:szCs w:val="32"/>
        </w:rPr>
        <w:t>对公司的</w:t>
      </w:r>
      <w:r w:rsidRPr="006D56E7">
        <w:rPr>
          <w:rFonts w:eastAsia="仿宋"/>
          <w:sz w:val="32"/>
          <w:szCs w:val="32"/>
        </w:rPr>
        <w:t>影响及应对措施。下</w:t>
      </w:r>
      <w:proofErr w:type="gramStart"/>
      <w:r w:rsidRPr="006D56E7">
        <w:rPr>
          <w:rFonts w:eastAsia="仿宋"/>
          <w:sz w:val="32"/>
          <w:szCs w:val="32"/>
        </w:rPr>
        <w:t>一报告</w:t>
      </w:r>
      <w:proofErr w:type="gramEnd"/>
      <w:r w:rsidRPr="006D56E7">
        <w:rPr>
          <w:rFonts w:eastAsia="仿宋"/>
          <w:sz w:val="32"/>
          <w:szCs w:val="32"/>
        </w:rPr>
        <w:t>期内相关资质有效期限届满的，公司应披露续期条件的达成情况。</w:t>
      </w:r>
    </w:p>
    <w:p w14:paraId="219A2FF9" w14:textId="2AFCA647" w:rsidR="00BE1D38" w:rsidRPr="006D56E7" w:rsidRDefault="00BE1D38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黑体"/>
          <w:sz w:val="32"/>
          <w:szCs w:val="32"/>
        </w:rPr>
        <w:t>第十条</w:t>
      </w:r>
      <w:r w:rsidR="00A06A8E" w:rsidRPr="006D56E7">
        <w:rPr>
          <w:rFonts w:eastAsia="仿宋"/>
          <w:sz w:val="32"/>
          <w:szCs w:val="32"/>
        </w:rPr>
        <w:t xml:space="preserve"> </w:t>
      </w:r>
      <w:r w:rsidR="00BA5089" w:rsidRPr="006D56E7">
        <w:rPr>
          <w:rFonts w:eastAsia="仿宋"/>
          <w:sz w:val="32"/>
          <w:szCs w:val="32"/>
        </w:rPr>
        <w:t xml:space="preserve"> </w:t>
      </w:r>
      <w:r w:rsidRPr="006D56E7">
        <w:rPr>
          <w:rFonts w:eastAsia="仿宋"/>
          <w:sz w:val="32"/>
          <w:szCs w:val="32"/>
        </w:rPr>
        <w:t>公司应披露实施工程项目的主要业务模式、模式的特有风险和报告期内业务模式的变化情况，以及各业务模式下的项目数量、总金额，重大项目的定价机制、回款安排、融资方式、政策优惠等信息。</w:t>
      </w:r>
    </w:p>
    <w:p w14:paraId="6F2961CF" w14:textId="312AD984" w:rsidR="00BE1D38" w:rsidRPr="006D56E7" w:rsidRDefault="00BE1D38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仿宋"/>
          <w:sz w:val="32"/>
          <w:szCs w:val="32"/>
        </w:rPr>
        <w:lastRenderedPageBreak/>
        <w:t>公司重大项目采用融资合同模式并涉及后续运营的，还应披露特许经营、运营期限、收入来源及归属、保底运营量、投资收益的保障措施等主要安排，并披露报告期内的收入情况。</w:t>
      </w:r>
    </w:p>
    <w:p w14:paraId="6BBB7894" w14:textId="3983C8DC" w:rsidR="00024FF0" w:rsidRPr="006D56E7" w:rsidRDefault="003C38C6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黑体"/>
          <w:sz w:val="32"/>
          <w:szCs w:val="32"/>
        </w:rPr>
        <w:t>第十</w:t>
      </w:r>
      <w:r w:rsidR="00162AFC" w:rsidRPr="006D56E7">
        <w:rPr>
          <w:rFonts w:eastAsia="黑体"/>
          <w:sz w:val="32"/>
          <w:szCs w:val="32"/>
        </w:rPr>
        <w:t>一</w:t>
      </w:r>
      <w:r w:rsidRPr="006D56E7">
        <w:rPr>
          <w:rFonts w:eastAsia="黑体"/>
          <w:sz w:val="32"/>
          <w:szCs w:val="32"/>
        </w:rPr>
        <w:t>条</w:t>
      </w:r>
      <w:r w:rsidR="00A06A8E" w:rsidRPr="006D56E7">
        <w:rPr>
          <w:rFonts w:eastAsia="仿宋"/>
          <w:sz w:val="32"/>
          <w:szCs w:val="32"/>
        </w:rPr>
        <w:t xml:space="preserve"> </w:t>
      </w:r>
      <w:r w:rsidR="00BA5089" w:rsidRPr="006D56E7">
        <w:rPr>
          <w:rFonts w:eastAsia="仿宋"/>
          <w:sz w:val="32"/>
          <w:szCs w:val="32"/>
        </w:rPr>
        <w:t xml:space="preserve"> </w:t>
      </w:r>
      <w:r w:rsidR="00024FF0" w:rsidRPr="006D56E7">
        <w:rPr>
          <w:rFonts w:eastAsia="仿宋"/>
          <w:sz w:val="32"/>
          <w:szCs w:val="32"/>
        </w:rPr>
        <w:t>公司应</w:t>
      </w:r>
      <w:r w:rsidR="00A22A56" w:rsidRPr="006D56E7">
        <w:rPr>
          <w:rFonts w:eastAsia="仿宋"/>
          <w:sz w:val="32"/>
          <w:szCs w:val="32"/>
        </w:rPr>
        <w:t>按照不同业务模式</w:t>
      </w:r>
      <w:r w:rsidR="00024FF0" w:rsidRPr="006D56E7">
        <w:rPr>
          <w:rFonts w:eastAsia="仿宋"/>
          <w:sz w:val="32"/>
          <w:szCs w:val="32"/>
        </w:rPr>
        <w:t>披露报告期内已竣工验收项目的总数量和总金额，以及</w:t>
      </w:r>
      <w:r w:rsidR="00395331" w:rsidRPr="006D56E7">
        <w:rPr>
          <w:rFonts w:eastAsia="仿宋"/>
          <w:sz w:val="32"/>
          <w:szCs w:val="32"/>
        </w:rPr>
        <w:t>其中</w:t>
      </w:r>
      <w:r w:rsidR="00024FF0" w:rsidRPr="006D56E7">
        <w:rPr>
          <w:rFonts w:eastAsia="仿宋"/>
          <w:sz w:val="32"/>
          <w:szCs w:val="32"/>
        </w:rPr>
        <w:t>重大项目的验收、收入确认、结算及回款情况。</w:t>
      </w:r>
    </w:p>
    <w:p w14:paraId="5B23D8B1" w14:textId="0FBD7C50" w:rsidR="001D5043" w:rsidRPr="006D56E7" w:rsidRDefault="00024FF0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黑体"/>
          <w:sz w:val="32"/>
          <w:szCs w:val="32"/>
        </w:rPr>
        <w:t>第十</w:t>
      </w:r>
      <w:r w:rsidR="00162AFC" w:rsidRPr="006D56E7">
        <w:rPr>
          <w:rFonts w:eastAsia="黑体"/>
          <w:sz w:val="32"/>
          <w:szCs w:val="32"/>
        </w:rPr>
        <w:t>二</w:t>
      </w:r>
      <w:r w:rsidRPr="006D56E7">
        <w:rPr>
          <w:rFonts w:eastAsia="黑体"/>
          <w:sz w:val="32"/>
          <w:szCs w:val="32"/>
        </w:rPr>
        <w:t>条</w:t>
      </w:r>
      <w:r w:rsidR="00A06A8E" w:rsidRPr="006D56E7">
        <w:rPr>
          <w:rFonts w:eastAsia="仿宋"/>
          <w:sz w:val="32"/>
          <w:szCs w:val="32"/>
        </w:rPr>
        <w:t xml:space="preserve"> </w:t>
      </w:r>
      <w:r w:rsidR="00BA5089" w:rsidRPr="006D56E7">
        <w:rPr>
          <w:rFonts w:eastAsia="仿宋"/>
          <w:sz w:val="32"/>
          <w:szCs w:val="32"/>
        </w:rPr>
        <w:t xml:space="preserve"> </w:t>
      </w:r>
      <w:r w:rsidR="00583700" w:rsidRPr="006D56E7">
        <w:rPr>
          <w:rFonts w:eastAsia="仿宋"/>
          <w:sz w:val="32"/>
          <w:szCs w:val="32"/>
        </w:rPr>
        <w:t>公司应</w:t>
      </w:r>
      <w:r w:rsidR="00A22A56" w:rsidRPr="006D56E7">
        <w:rPr>
          <w:rFonts w:eastAsia="仿宋"/>
          <w:sz w:val="32"/>
          <w:szCs w:val="32"/>
        </w:rPr>
        <w:t>按照不同业务模式</w:t>
      </w:r>
      <w:r w:rsidR="00583700" w:rsidRPr="006D56E7">
        <w:rPr>
          <w:rFonts w:eastAsia="仿宋"/>
          <w:sz w:val="32"/>
          <w:szCs w:val="32"/>
        </w:rPr>
        <w:t>披露</w:t>
      </w:r>
      <w:r w:rsidR="001D5043" w:rsidRPr="006D56E7">
        <w:rPr>
          <w:rFonts w:eastAsia="仿宋"/>
          <w:sz w:val="32"/>
          <w:szCs w:val="32"/>
        </w:rPr>
        <w:t>以下</w:t>
      </w:r>
      <w:r w:rsidR="00C81621" w:rsidRPr="006D56E7">
        <w:rPr>
          <w:rFonts w:eastAsia="仿宋"/>
          <w:sz w:val="32"/>
          <w:szCs w:val="32"/>
        </w:rPr>
        <w:t>经营</w:t>
      </w:r>
      <w:r w:rsidR="001D5043" w:rsidRPr="006D56E7">
        <w:rPr>
          <w:rFonts w:eastAsia="仿宋"/>
          <w:sz w:val="32"/>
          <w:szCs w:val="32"/>
        </w:rPr>
        <w:t>情况：</w:t>
      </w:r>
    </w:p>
    <w:p w14:paraId="526B6B0B" w14:textId="36F4291E" w:rsidR="001215D6" w:rsidRPr="006D56E7" w:rsidRDefault="001D5043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仿宋"/>
          <w:sz w:val="32"/>
          <w:szCs w:val="32"/>
        </w:rPr>
        <w:t>（一）</w:t>
      </w:r>
      <w:r w:rsidR="00C81621" w:rsidRPr="006D56E7">
        <w:rPr>
          <w:rFonts w:eastAsia="仿宋"/>
          <w:sz w:val="32"/>
          <w:szCs w:val="32"/>
        </w:rPr>
        <w:t>新签订单数量及金额</w:t>
      </w:r>
      <w:r w:rsidR="00074527" w:rsidRPr="006D56E7">
        <w:rPr>
          <w:rFonts w:eastAsia="仿宋"/>
          <w:sz w:val="32"/>
          <w:szCs w:val="32"/>
        </w:rPr>
        <w:t>、</w:t>
      </w:r>
      <w:r w:rsidR="00C81621" w:rsidRPr="006D56E7">
        <w:rPr>
          <w:rFonts w:eastAsia="仿宋"/>
          <w:sz w:val="32"/>
          <w:szCs w:val="32"/>
        </w:rPr>
        <w:t>截至报告期末累计已签约未完工订单数量及金额、已中标尚未签订订单数量及金额</w:t>
      </w:r>
      <w:r w:rsidR="00EB03B4" w:rsidRPr="006D56E7">
        <w:rPr>
          <w:rFonts w:eastAsia="仿宋"/>
          <w:sz w:val="32"/>
          <w:szCs w:val="32"/>
        </w:rPr>
        <w:t>、订单来源及获取方式</w:t>
      </w:r>
      <w:r w:rsidR="00EB03B4" w:rsidRPr="006D56E7">
        <w:rPr>
          <w:rFonts w:eastAsia="仿宋"/>
          <w:sz w:val="30"/>
          <w:szCs w:val="30"/>
        </w:rPr>
        <w:t>（招标、邀标和商务谈判等）</w:t>
      </w:r>
      <w:r w:rsidR="00EB03B4" w:rsidRPr="006D56E7">
        <w:rPr>
          <w:rFonts w:eastAsia="仿宋"/>
          <w:sz w:val="32"/>
          <w:szCs w:val="32"/>
        </w:rPr>
        <w:t>。</w:t>
      </w:r>
      <w:r w:rsidR="001215D6" w:rsidRPr="006D56E7">
        <w:rPr>
          <w:rFonts w:eastAsia="仿宋"/>
          <w:sz w:val="32"/>
          <w:szCs w:val="32"/>
        </w:rPr>
        <w:t>公司超越资质许可范围经营的，应当披露</w:t>
      </w:r>
      <w:r w:rsidR="00AB60BD" w:rsidRPr="006D56E7">
        <w:rPr>
          <w:rFonts w:eastAsia="仿宋"/>
          <w:sz w:val="32"/>
          <w:szCs w:val="32"/>
        </w:rPr>
        <w:t>相应的法律</w:t>
      </w:r>
      <w:r w:rsidR="001215D6" w:rsidRPr="006D56E7">
        <w:rPr>
          <w:rFonts w:eastAsia="仿宋"/>
          <w:sz w:val="32"/>
          <w:szCs w:val="32"/>
        </w:rPr>
        <w:t>风险及规范措施。</w:t>
      </w:r>
    </w:p>
    <w:p w14:paraId="06D69537" w14:textId="7DF6570A" w:rsidR="001D5043" w:rsidRPr="006D56E7" w:rsidRDefault="00C81621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仿宋"/>
          <w:sz w:val="32"/>
          <w:szCs w:val="32"/>
        </w:rPr>
        <w:t>（二）</w:t>
      </w:r>
      <w:r w:rsidR="001D5043" w:rsidRPr="006D56E7">
        <w:rPr>
          <w:rFonts w:eastAsia="仿宋"/>
          <w:sz w:val="32"/>
          <w:szCs w:val="32"/>
        </w:rPr>
        <w:t>报告期内尚未开工的</w:t>
      </w:r>
      <w:r w:rsidR="00FB4344" w:rsidRPr="006D56E7">
        <w:rPr>
          <w:rFonts w:eastAsia="仿宋"/>
          <w:sz w:val="32"/>
          <w:szCs w:val="32"/>
        </w:rPr>
        <w:t>新签订</w:t>
      </w:r>
      <w:r w:rsidR="001D5043" w:rsidRPr="006D56E7">
        <w:rPr>
          <w:rFonts w:eastAsia="仿宋"/>
          <w:sz w:val="32"/>
          <w:szCs w:val="32"/>
        </w:rPr>
        <w:t>重大</w:t>
      </w:r>
      <w:r w:rsidR="00FB4344" w:rsidRPr="006D56E7">
        <w:rPr>
          <w:rFonts w:eastAsia="仿宋"/>
          <w:sz w:val="32"/>
          <w:szCs w:val="32"/>
        </w:rPr>
        <w:t>项目</w:t>
      </w:r>
      <w:r w:rsidR="001D5043" w:rsidRPr="006D56E7">
        <w:rPr>
          <w:rFonts w:eastAsia="仿宋"/>
          <w:sz w:val="32"/>
          <w:szCs w:val="32"/>
        </w:rPr>
        <w:t>的工程名称、地点、造价、工期等情况；如以项目联合体方式中标签订重大项目的，还应披露参与工程项目的方式、工程量等相关权利义务安排</w:t>
      </w:r>
      <w:r w:rsidRPr="006D56E7">
        <w:rPr>
          <w:rFonts w:eastAsia="仿宋"/>
          <w:sz w:val="32"/>
          <w:szCs w:val="32"/>
        </w:rPr>
        <w:t>；</w:t>
      </w:r>
    </w:p>
    <w:p w14:paraId="5E8CDF25" w14:textId="17A3C0C7" w:rsidR="00E8498C" w:rsidRPr="006D56E7" w:rsidRDefault="001D5043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仿宋"/>
          <w:sz w:val="32"/>
          <w:szCs w:val="32"/>
        </w:rPr>
        <w:t>（</w:t>
      </w:r>
      <w:r w:rsidR="00C81621" w:rsidRPr="006D56E7">
        <w:rPr>
          <w:rFonts w:eastAsia="仿宋"/>
          <w:sz w:val="32"/>
          <w:szCs w:val="32"/>
        </w:rPr>
        <w:t>三</w:t>
      </w:r>
      <w:r w:rsidRPr="006D56E7">
        <w:rPr>
          <w:rFonts w:eastAsia="仿宋"/>
          <w:sz w:val="32"/>
          <w:szCs w:val="32"/>
        </w:rPr>
        <w:t>）</w:t>
      </w:r>
      <w:r w:rsidR="00024FF0" w:rsidRPr="006D56E7">
        <w:rPr>
          <w:rFonts w:eastAsia="仿宋"/>
          <w:sz w:val="32"/>
          <w:szCs w:val="32"/>
        </w:rPr>
        <w:t>未完工项目的项目数量、项目金额、累计确认收入、未完工部分金额，以及</w:t>
      </w:r>
      <w:r w:rsidR="000431F7" w:rsidRPr="006D56E7">
        <w:rPr>
          <w:rFonts w:eastAsia="仿宋"/>
          <w:sz w:val="32"/>
          <w:szCs w:val="32"/>
        </w:rPr>
        <w:t>未完工</w:t>
      </w:r>
      <w:r w:rsidR="00067BB1" w:rsidRPr="006D56E7">
        <w:rPr>
          <w:rFonts w:eastAsia="仿宋"/>
          <w:sz w:val="32"/>
          <w:szCs w:val="32"/>
        </w:rPr>
        <w:t>重大</w:t>
      </w:r>
      <w:r w:rsidR="00024FF0" w:rsidRPr="006D56E7">
        <w:rPr>
          <w:rFonts w:eastAsia="仿宋"/>
          <w:sz w:val="32"/>
          <w:szCs w:val="32"/>
        </w:rPr>
        <w:t>项目的进展情况，包括项目名称、项目金额、业务模式、工期、完工</w:t>
      </w:r>
      <w:r w:rsidR="00204E3D" w:rsidRPr="006D56E7">
        <w:rPr>
          <w:rFonts w:eastAsia="仿宋"/>
          <w:sz w:val="32"/>
          <w:szCs w:val="32"/>
        </w:rPr>
        <w:t>进度</w:t>
      </w:r>
      <w:r w:rsidR="00024FF0" w:rsidRPr="006D56E7">
        <w:rPr>
          <w:rFonts w:eastAsia="仿宋"/>
          <w:sz w:val="32"/>
          <w:szCs w:val="32"/>
        </w:rPr>
        <w:t>、本期及累计确认收入、回款情况、应收账款余额。项目进展与合同约定出现重大变化或者重大差异的，还应说明并披露原因</w:t>
      </w:r>
      <w:r w:rsidR="00E8498C" w:rsidRPr="006D56E7">
        <w:rPr>
          <w:rFonts w:eastAsia="仿宋"/>
          <w:sz w:val="32"/>
          <w:szCs w:val="32"/>
        </w:rPr>
        <w:t>。</w:t>
      </w:r>
    </w:p>
    <w:p w14:paraId="765D9D10" w14:textId="7356BB1D" w:rsidR="002F1D26" w:rsidRPr="006D56E7" w:rsidRDefault="007A06E2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黑体"/>
          <w:sz w:val="32"/>
          <w:szCs w:val="32"/>
        </w:rPr>
        <w:lastRenderedPageBreak/>
        <w:t>第十</w:t>
      </w:r>
      <w:r w:rsidR="00162AFC" w:rsidRPr="006D56E7">
        <w:rPr>
          <w:rFonts w:eastAsia="黑体"/>
          <w:sz w:val="32"/>
          <w:szCs w:val="32"/>
        </w:rPr>
        <w:t>三</w:t>
      </w:r>
      <w:r w:rsidRPr="006D56E7">
        <w:rPr>
          <w:rFonts w:eastAsia="黑体"/>
          <w:sz w:val="32"/>
          <w:szCs w:val="32"/>
        </w:rPr>
        <w:t>条</w:t>
      </w:r>
      <w:r w:rsidR="00A06A8E" w:rsidRPr="006D56E7">
        <w:rPr>
          <w:rFonts w:eastAsia="仿宋"/>
          <w:sz w:val="32"/>
          <w:szCs w:val="32"/>
        </w:rPr>
        <w:t xml:space="preserve"> </w:t>
      </w:r>
      <w:r w:rsidR="00BA5089" w:rsidRPr="006D56E7">
        <w:rPr>
          <w:rFonts w:eastAsia="仿宋"/>
          <w:sz w:val="32"/>
          <w:szCs w:val="32"/>
        </w:rPr>
        <w:t xml:space="preserve"> </w:t>
      </w:r>
      <w:r w:rsidR="002F1D26" w:rsidRPr="006D56E7">
        <w:rPr>
          <w:rFonts w:eastAsia="仿宋"/>
          <w:sz w:val="32"/>
          <w:szCs w:val="32"/>
        </w:rPr>
        <w:t>公司应汇总披露报告期内已完工未结算项目的情况，包括累计已发生成本、累计已确认毛利、预计损失、已办理结算的金额、已完工未结算的余额。</w:t>
      </w:r>
    </w:p>
    <w:p w14:paraId="14260ED7" w14:textId="04784488" w:rsidR="00083C96" w:rsidRPr="006D56E7" w:rsidRDefault="005466B8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仿宋"/>
          <w:sz w:val="32"/>
          <w:szCs w:val="32"/>
        </w:rPr>
        <w:t>公司</w:t>
      </w:r>
      <w:r w:rsidR="002F1D26" w:rsidRPr="006D56E7">
        <w:rPr>
          <w:rFonts w:eastAsia="仿宋"/>
          <w:sz w:val="32"/>
          <w:szCs w:val="32"/>
        </w:rPr>
        <w:t>还</w:t>
      </w:r>
      <w:r w:rsidRPr="006D56E7">
        <w:rPr>
          <w:rFonts w:eastAsia="仿宋"/>
          <w:sz w:val="32"/>
          <w:szCs w:val="32"/>
        </w:rPr>
        <w:t>应披露</w:t>
      </w:r>
      <w:r w:rsidR="00083C96" w:rsidRPr="006D56E7">
        <w:rPr>
          <w:rFonts w:eastAsia="仿宋"/>
          <w:sz w:val="32"/>
          <w:szCs w:val="32"/>
        </w:rPr>
        <w:t>已完工未结算</w:t>
      </w:r>
      <w:r w:rsidR="00FB4344" w:rsidRPr="006D56E7">
        <w:rPr>
          <w:rFonts w:eastAsia="仿宋"/>
          <w:sz w:val="32"/>
          <w:szCs w:val="32"/>
        </w:rPr>
        <w:t>重大</w:t>
      </w:r>
      <w:r w:rsidR="00083C96" w:rsidRPr="006D56E7">
        <w:rPr>
          <w:rFonts w:eastAsia="仿宋"/>
          <w:sz w:val="32"/>
          <w:szCs w:val="32"/>
        </w:rPr>
        <w:t>项目的</w:t>
      </w:r>
      <w:r w:rsidR="000B4597" w:rsidRPr="006D56E7">
        <w:rPr>
          <w:rFonts w:eastAsia="仿宋"/>
          <w:sz w:val="32"/>
          <w:szCs w:val="32"/>
        </w:rPr>
        <w:t>具体</w:t>
      </w:r>
      <w:r w:rsidR="00083C96" w:rsidRPr="006D56E7">
        <w:rPr>
          <w:rFonts w:eastAsia="仿宋"/>
          <w:sz w:val="32"/>
          <w:szCs w:val="32"/>
        </w:rPr>
        <w:t>情况，包括项目名称、合同金额、累计已发生成本、累计已确认毛利、预计损失、已办理结算的金额、已完工未结算的余额，并说明是否存在未按合同约定及时结算的情况、交易对手</w:t>
      </w:r>
      <w:r w:rsidR="00462517" w:rsidRPr="006D56E7">
        <w:rPr>
          <w:rFonts w:eastAsia="仿宋"/>
          <w:sz w:val="32"/>
          <w:szCs w:val="32"/>
        </w:rPr>
        <w:t>方的履约能力是否存在重大变化，以及相关项目结算是否存在重大风险</w:t>
      </w:r>
      <w:r w:rsidR="00083C96" w:rsidRPr="006D56E7">
        <w:rPr>
          <w:rFonts w:eastAsia="仿宋"/>
          <w:sz w:val="32"/>
          <w:szCs w:val="32"/>
        </w:rPr>
        <w:t>。</w:t>
      </w:r>
    </w:p>
    <w:p w14:paraId="7348067F" w14:textId="61552E43" w:rsidR="00E8498C" w:rsidRPr="006D56E7" w:rsidRDefault="00C45C14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黑体"/>
          <w:sz w:val="32"/>
          <w:szCs w:val="32"/>
        </w:rPr>
        <w:t>第十</w:t>
      </w:r>
      <w:r w:rsidR="00162AFC" w:rsidRPr="006D56E7">
        <w:rPr>
          <w:rFonts w:eastAsia="黑体"/>
          <w:sz w:val="32"/>
          <w:szCs w:val="32"/>
        </w:rPr>
        <w:t>四</w:t>
      </w:r>
      <w:r w:rsidR="007A06E2" w:rsidRPr="006D56E7">
        <w:rPr>
          <w:rFonts w:eastAsia="黑体"/>
          <w:sz w:val="32"/>
          <w:szCs w:val="32"/>
        </w:rPr>
        <w:t>条</w:t>
      </w:r>
      <w:r w:rsidR="00A06A8E" w:rsidRPr="006D56E7">
        <w:rPr>
          <w:rFonts w:eastAsia="仿宋"/>
          <w:sz w:val="32"/>
          <w:szCs w:val="32"/>
        </w:rPr>
        <w:t xml:space="preserve"> </w:t>
      </w:r>
      <w:r w:rsidR="00BA5089" w:rsidRPr="006D56E7">
        <w:rPr>
          <w:rFonts w:eastAsia="仿宋"/>
          <w:sz w:val="32"/>
          <w:szCs w:val="32"/>
        </w:rPr>
        <w:t xml:space="preserve"> </w:t>
      </w:r>
      <w:r w:rsidR="00024FF0" w:rsidRPr="006D56E7">
        <w:rPr>
          <w:rFonts w:eastAsia="仿宋"/>
          <w:sz w:val="32"/>
          <w:szCs w:val="32"/>
        </w:rPr>
        <w:t>公司应按照股权融资、债权融资、融资租赁等方式分类披露报告期公司融入资金余额，并结合工程结算、应收债权、款项回收与合同约定的重大差异等情况，分析披露资金安排的合理性及流动性风险</w:t>
      </w:r>
      <w:r w:rsidR="00AC2DC8" w:rsidRPr="006D56E7">
        <w:rPr>
          <w:rFonts w:eastAsia="仿宋"/>
          <w:sz w:val="32"/>
          <w:szCs w:val="32"/>
        </w:rPr>
        <w:t>。</w:t>
      </w:r>
      <w:r w:rsidR="00024FF0" w:rsidRPr="006D56E7">
        <w:rPr>
          <w:rFonts w:eastAsia="仿宋"/>
          <w:sz w:val="32"/>
          <w:szCs w:val="32"/>
        </w:rPr>
        <w:t>项目融资中存在分红、资产处置、回购、担保等约束性安排且影响重大的，应披露涉及的重大项目名称、金额及核心条款等情况</w:t>
      </w:r>
      <w:r w:rsidR="00E8498C" w:rsidRPr="006D56E7">
        <w:rPr>
          <w:rFonts w:eastAsia="仿宋"/>
          <w:sz w:val="32"/>
          <w:szCs w:val="32"/>
        </w:rPr>
        <w:t>。</w:t>
      </w:r>
    </w:p>
    <w:p w14:paraId="2576C53A" w14:textId="1BDC9B61" w:rsidR="00E8498C" w:rsidRPr="006D56E7" w:rsidRDefault="00C45C14" w:rsidP="00441F99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6D56E7">
        <w:rPr>
          <w:rFonts w:eastAsia="黑体"/>
          <w:sz w:val="32"/>
          <w:szCs w:val="32"/>
        </w:rPr>
        <w:t>第十</w:t>
      </w:r>
      <w:r w:rsidR="00162AFC" w:rsidRPr="006D56E7">
        <w:rPr>
          <w:rFonts w:eastAsia="黑体"/>
          <w:sz w:val="32"/>
          <w:szCs w:val="32"/>
        </w:rPr>
        <w:t>五</w:t>
      </w:r>
      <w:r w:rsidR="00E8498C" w:rsidRPr="006D56E7">
        <w:rPr>
          <w:rFonts w:eastAsia="黑体"/>
          <w:sz w:val="32"/>
          <w:szCs w:val="32"/>
        </w:rPr>
        <w:t>条</w:t>
      </w:r>
      <w:r w:rsidR="00A06A8E" w:rsidRPr="006D56E7">
        <w:rPr>
          <w:rFonts w:eastAsia="仿宋_GB2312"/>
          <w:b/>
          <w:sz w:val="32"/>
          <w:szCs w:val="32"/>
        </w:rPr>
        <w:t xml:space="preserve"> </w:t>
      </w:r>
      <w:r w:rsidR="00BA5089" w:rsidRPr="006D56E7">
        <w:rPr>
          <w:rFonts w:eastAsia="仿宋_GB2312"/>
          <w:b/>
          <w:sz w:val="32"/>
          <w:szCs w:val="32"/>
        </w:rPr>
        <w:t xml:space="preserve"> </w:t>
      </w:r>
      <w:r w:rsidR="00024FF0" w:rsidRPr="006D56E7">
        <w:rPr>
          <w:rFonts w:eastAsia="仿宋"/>
          <w:sz w:val="32"/>
          <w:szCs w:val="32"/>
        </w:rPr>
        <w:t>公司开展境外项目的，应披露报告期内境外项目的数量、金额、区域分布、业务模式、完工情况等。重大境外项目还应披露工期、结算、回款情况以及汇率波动、地缘政治等特殊风险和相关应对措施</w:t>
      </w:r>
      <w:r w:rsidR="00E8498C" w:rsidRPr="006D56E7">
        <w:rPr>
          <w:rFonts w:eastAsia="仿宋"/>
          <w:sz w:val="32"/>
          <w:szCs w:val="32"/>
        </w:rPr>
        <w:t>。</w:t>
      </w:r>
    </w:p>
    <w:p w14:paraId="5A3848C7" w14:textId="7941A64F" w:rsidR="00162AFC" w:rsidRPr="006D56E7" w:rsidRDefault="00162AFC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黑体"/>
          <w:sz w:val="32"/>
          <w:szCs w:val="32"/>
        </w:rPr>
        <w:t>第十六</w:t>
      </w:r>
      <w:r w:rsidR="00A06A8E" w:rsidRPr="006D56E7">
        <w:rPr>
          <w:rFonts w:eastAsia="黑体"/>
          <w:sz w:val="32"/>
          <w:szCs w:val="32"/>
        </w:rPr>
        <w:t>条</w:t>
      </w:r>
      <w:r w:rsidR="00A06A8E" w:rsidRPr="006D56E7">
        <w:rPr>
          <w:rFonts w:eastAsia="仿宋"/>
          <w:sz w:val="32"/>
          <w:szCs w:val="32"/>
        </w:rPr>
        <w:t xml:space="preserve"> </w:t>
      </w:r>
      <w:r w:rsidR="00BA5089" w:rsidRPr="006D56E7">
        <w:rPr>
          <w:rFonts w:eastAsia="仿宋"/>
          <w:sz w:val="32"/>
          <w:szCs w:val="32"/>
        </w:rPr>
        <w:t xml:space="preserve"> </w:t>
      </w:r>
      <w:r w:rsidRPr="006D56E7">
        <w:rPr>
          <w:rFonts w:eastAsia="仿宋"/>
          <w:sz w:val="32"/>
          <w:szCs w:val="32"/>
        </w:rPr>
        <w:t>公司在业务承揽、项目实施中存在合作或分包情形的，应披露下列情况：</w:t>
      </w:r>
    </w:p>
    <w:p w14:paraId="3C4CE1B2" w14:textId="77777777" w:rsidR="00162AFC" w:rsidRPr="006D56E7" w:rsidRDefault="00162AFC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仿宋"/>
          <w:sz w:val="32"/>
          <w:szCs w:val="32"/>
        </w:rPr>
        <w:t>（一）合作或分包的模式、具体内容、必要性、合</w:t>
      </w:r>
      <w:proofErr w:type="gramStart"/>
      <w:r w:rsidRPr="006D56E7">
        <w:rPr>
          <w:rFonts w:eastAsia="仿宋"/>
          <w:sz w:val="32"/>
          <w:szCs w:val="32"/>
        </w:rPr>
        <w:t>规</w:t>
      </w:r>
      <w:proofErr w:type="gramEnd"/>
      <w:r w:rsidRPr="006D56E7">
        <w:rPr>
          <w:rFonts w:eastAsia="仿宋"/>
          <w:sz w:val="32"/>
          <w:szCs w:val="32"/>
        </w:rPr>
        <w:t>性；</w:t>
      </w:r>
    </w:p>
    <w:p w14:paraId="6C7B369D" w14:textId="77777777" w:rsidR="00162AFC" w:rsidRPr="006D56E7" w:rsidRDefault="00162AFC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仿宋"/>
          <w:sz w:val="32"/>
          <w:szCs w:val="32"/>
        </w:rPr>
        <w:t>（二）合作或分包方的资质取得情况；</w:t>
      </w:r>
    </w:p>
    <w:p w14:paraId="4DEB13C7" w14:textId="77777777" w:rsidR="00162AFC" w:rsidRPr="006D56E7" w:rsidRDefault="00162AFC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仿宋"/>
          <w:sz w:val="32"/>
          <w:szCs w:val="32"/>
        </w:rPr>
        <w:lastRenderedPageBreak/>
        <w:t>（三）合作或分包方与公司之间的关联关系（如有）；</w:t>
      </w:r>
    </w:p>
    <w:p w14:paraId="4E62A51D" w14:textId="77777777" w:rsidR="00162AFC" w:rsidRPr="006D56E7" w:rsidRDefault="00162AFC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仿宋"/>
          <w:sz w:val="32"/>
          <w:szCs w:val="32"/>
        </w:rPr>
        <w:t>（四）合作或分包重大项目工程的计量规则、计价方法、结算方式，报告期内公司在合作或分包重大项目中主要工作内容、各期实现收入的金额及占比；</w:t>
      </w:r>
    </w:p>
    <w:p w14:paraId="396531FC" w14:textId="77777777" w:rsidR="00162AFC" w:rsidRPr="006D56E7" w:rsidRDefault="00162AFC" w:rsidP="00441F99">
      <w:pPr>
        <w:widowControl/>
        <w:snapToGrid w:val="0"/>
        <w:spacing w:line="600" w:lineRule="exact"/>
        <w:ind w:firstLineChars="250" w:firstLine="800"/>
        <w:rPr>
          <w:rFonts w:eastAsia="仿宋"/>
          <w:sz w:val="32"/>
          <w:szCs w:val="32"/>
        </w:rPr>
      </w:pPr>
      <w:r w:rsidRPr="006D56E7">
        <w:rPr>
          <w:rFonts w:eastAsia="仿宋"/>
          <w:sz w:val="32"/>
          <w:szCs w:val="32"/>
        </w:rPr>
        <w:t>（五）工程质量控制、安全生产管理、工程进度及质量保修等风险及责任分担机制以及执行情况；</w:t>
      </w:r>
    </w:p>
    <w:p w14:paraId="7A3B7253" w14:textId="77777777" w:rsidR="00162AFC" w:rsidRPr="006D56E7" w:rsidRDefault="00162AFC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仿宋"/>
          <w:sz w:val="32"/>
          <w:szCs w:val="32"/>
        </w:rPr>
        <w:t>（六）纠纷解决机制以及纠纷解决情况（如有）。</w:t>
      </w:r>
    </w:p>
    <w:p w14:paraId="559DDBED" w14:textId="66962F3D" w:rsidR="00162AFC" w:rsidRPr="006D56E7" w:rsidRDefault="00162AFC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黑体"/>
          <w:sz w:val="32"/>
          <w:szCs w:val="32"/>
        </w:rPr>
        <w:t>第十七条</w:t>
      </w:r>
      <w:r w:rsidR="00BA5089" w:rsidRPr="006D56E7">
        <w:rPr>
          <w:rFonts w:eastAsia="黑体"/>
          <w:sz w:val="32"/>
          <w:szCs w:val="32"/>
        </w:rPr>
        <w:t xml:space="preserve"> </w:t>
      </w:r>
      <w:r w:rsidR="00A06A8E" w:rsidRPr="006D56E7">
        <w:rPr>
          <w:rFonts w:eastAsia="仿宋"/>
          <w:sz w:val="32"/>
          <w:szCs w:val="32"/>
        </w:rPr>
        <w:t xml:space="preserve"> </w:t>
      </w:r>
      <w:r w:rsidRPr="006D56E7">
        <w:rPr>
          <w:rFonts w:eastAsia="仿宋"/>
          <w:sz w:val="32"/>
          <w:szCs w:val="32"/>
        </w:rPr>
        <w:t>公司存在特殊用工情形（临时用工、劳务派遣用工等）的，应披露合同主要内容、合作</w:t>
      </w:r>
      <w:proofErr w:type="gramStart"/>
      <w:r w:rsidRPr="006D56E7">
        <w:rPr>
          <w:rFonts w:eastAsia="仿宋"/>
          <w:sz w:val="32"/>
          <w:szCs w:val="32"/>
        </w:rPr>
        <w:t>方相关</w:t>
      </w:r>
      <w:proofErr w:type="gramEnd"/>
      <w:r w:rsidRPr="006D56E7">
        <w:rPr>
          <w:rFonts w:eastAsia="仿宋"/>
          <w:sz w:val="32"/>
          <w:szCs w:val="32"/>
        </w:rPr>
        <w:t>资质、特殊</w:t>
      </w:r>
      <w:proofErr w:type="gramStart"/>
      <w:r w:rsidRPr="006D56E7">
        <w:rPr>
          <w:rFonts w:eastAsia="仿宋"/>
          <w:sz w:val="32"/>
          <w:szCs w:val="32"/>
        </w:rPr>
        <w:t>用工占比及</w:t>
      </w:r>
      <w:proofErr w:type="gramEnd"/>
      <w:r w:rsidRPr="006D56E7">
        <w:rPr>
          <w:rFonts w:eastAsia="仿宋"/>
          <w:sz w:val="32"/>
          <w:szCs w:val="32"/>
        </w:rPr>
        <w:t>合法规范情况、纠纷解决机制、公司是否对该用工方式存在重大依赖等；报告期内存在用工纠纷的，应披露纠纷及解决情况。</w:t>
      </w:r>
    </w:p>
    <w:p w14:paraId="240B0404" w14:textId="2A9F31D2" w:rsidR="00162AFC" w:rsidRPr="006D56E7" w:rsidRDefault="00162AFC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黑体"/>
          <w:sz w:val="32"/>
          <w:szCs w:val="32"/>
        </w:rPr>
        <w:t>第十八条</w:t>
      </w:r>
      <w:r w:rsidR="00BA5089" w:rsidRPr="006D56E7">
        <w:rPr>
          <w:rFonts w:eastAsia="黑体"/>
          <w:sz w:val="32"/>
          <w:szCs w:val="32"/>
        </w:rPr>
        <w:t xml:space="preserve"> </w:t>
      </w:r>
      <w:r w:rsidR="00A06A8E" w:rsidRPr="006D56E7">
        <w:rPr>
          <w:rFonts w:eastAsia="仿宋"/>
          <w:sz w:val="32"/>
          <w:szCs w:val="32"/>
        </w:rPr>
        <w:t xml:space="preserve"> </w:t>
      </w:r>
      <w:r w:rsidRPr="006D56E7">
        <w:rPr>
          <w:rFonts w:eastAsia="仿宋"/>
          <w:sz w:val="32"/>
          <w:szCs w:val="32"/>
        </w:rPr>
        <w:t>公司应披露报告期安全生产制度的运行情况。公司发生对其经营可能产生重大影响的安全事故的，还应披露事故的基本情况、后续处理情况，以及事故对公司项目进展、合同履行、收入确认、相关资质和业务开展的影响及应对措施。</w:t>
      </w:r>
    </w:p>
    <w:p w14:paraId="55A5DD07" w14:textId="77777777" w:rsidR="00162AFC" w:rsidRPr="006D56E7" w:rsidRDefault="00162AFC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仿宋"/>
          <w:sz w:val="32"/>
          <w:szCs w:val="32"/>
        </w:rPr>
        <w:t>公司按照规定应计提安全生产费的，应披露安全生产费的计提标准、报告期内计提和使用情况。报告期内安全生产费的计提标准发生变化的，应披露具体情况和原因。</w:t>
      </w:r>
    </w:p>
    <w:p w14:paraId="19C94A68" w14:textId="38470607" w:rsidR="00162AFC" w:rsidRPr="006D56E7" w:rsidRDefault="00162AFC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黑体"/>
          <w:sz w:val="32"/>
          <w:szCs w:val="32"/>
        </w:rPr>
        <w:t>第十九条</w:t>
      </w:r>
      <w:r w:rsidR="00BA5089" w:rsidRPr="006D56E7">
        <w:rPr>
          <w:rFonts w:eastAsia="黑体"/>
          <w:sz w:val="32"/>
          <w:szCs w:val="32"/>
        </w:rPr>
        <w:t xml:space="preserve"> </w:t>
      </w:r>
      <w:r w:rsidR="00A06A8E" w:rsidRPr="006D56E7">
        <w:rPr>
          <w:rFonts w:eastAsia="仿宋"/>
          <w:sz w:val="32"/>
          <w:szCs w:val="32"/>
        </w:rPr>
        <w:t xml:space="preserve"> </w:t>
      </w:r>
      <w:r w:rsidRPr="006D56E7">
        <w:rPr>
          <w:rFonts w:eastAsia="仿宋"/>
          <w:sz w:val="32"/>
          <w:szCs w:val="32"/>
        </w:rPr>
        <w:t>公司应披露其质量控制体系、执行标准、控制措施及整体评价。报告期内如存在重大项目工程质量问题，</w:t>
      </w:r>
      <w:r w:rsidRPr="006D56E7">
        <w:rPr>
          <w:rFonts w:eastAsia="仿宋"/>
          <w:sz w:val="32"/>
          <w:szCs w:val="32"/>
        </w:rPr>
        <w:lastRenderedPageBreak/>
        <w:t>应进行披露并说明可能产生的工程回款、收入确认及诉讼仲裁等风险。</w:t>
      </w:r>
    </w:p>
    <w:p w14:paraId="3B2604AC" w14:textId="17BF11FD" w:rsidR="00386C24" w:rsidRPr="006D56E7" w:rsidRDefault="00C45C14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黑体"/>
          <w:sz w:val="32"/>
          <w:szCs w:val="32"/>
        </w:rPr>
        <w:t>第</w:t>
      </w:r>
      <w:r w:rsidR="00184283" w:rsidRPr="006D56E7">
        <w:rPr>
          <w:rFonts w:eastAsia="黑体"/>
          <w:sz w:val="32"/>
          <w:szCs w:val="32"/>
        </w:rPr>
        <w:t>二</w:t>
      </w:r>
      <w:r w:rsidRPr="006D56E7">
        <w:rPr>
          <w:rFonts w:eastAsia="黑体"/>
          <w:sz w:val="32"/>
          <w:szCs w:val="32"/>
        </w:rPr>
        <w:t>十</w:t>
      </w:r>
      <w:r w:rsidR="00E8498C" w:rsidRPr="006D56E7">
        <w:rPr>
          <w:rFonts w:eastAsia="黑体"/>
          <w:sz w:val="32"/>
          <w:szCs w:val="32"/>
        </w:rPr>
        <w:t>条</w:t>
      </w:r>
      <w:r w:rsidR="00BA5089" w:rsidRPr="006D56E7">
        <w:rPr>
          <w:rFonts w:eastAsia="黑体"/>
          <w:sz w:val="32"/>
          <w:szCs w:val="32"/>
        </w:rPr>
        <w:t xml:space="preserve"> </w:t>
      </w:r>
      <w:r w:rsidR="00A06A8E" w:rsidRPr="006D56E7">
        <w:rPr>
          <w:rFonts w:eastAsia="仿宋"/>
          <w:sz w:val="32"/>
          <w:szCs w:val="32"/>
        </w:rPr>
        <w:t xml:space="preserve"> </w:t>
      </w:r>
      <w:r w:rsidR="00AC2DC8" w:rsidRPr="006D56E7">
        <w:rPr>
          <w:rFonts w:eastAsia="仿宋"/>
          <w:sz w:val="32"/>
          <w:szCs w:val="32"/>
        </w:rPr>
        <w:t>公司从事园林工程业务的，如涉及种植苗木，还应披露以下信息：</w:t>
      </w:r>
    </w:p>
    <w:p w14:paraId="5B8A0522" w14:textId="344A29E2" w:rsidR="001F091D" w:rsidRPr="006D56E7" w:rsidRDefault="00AC2DC8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仿宋"/>
          <w:sz w:val="32"/>
          <w:szCs w:val="32"/>
        </w:rPr>
        <w:t>（一）</w:t>
      </w:r>
      <w:r w:rsidR="001F091D" w:rsidRPr="006D56E7">
        <w:rPr>
          <w:rFonts w:eastAsia="仿宋"/>
          <w:sz w:val="32"/>
          <w:szCs w:val="32"/>
        </w:rPr>
        <w:t>公司用于苗木种植土地的来源、性质、用途、面积、取得方式、使用期限等。公司通过承包或租赁方式取得土地的，还应披露签订的承包或租赁合同的基本情况，并结合土地性质与用途、履行程序、合同期限等说明承包或租赁合同的合法有效性、土地使用权的持续稳定性。</w:t>
      </w:r>
    </w:p>
    <w:p w14:paraId="70830CFC" w14:textId="0F767BA2" w:rsidR="00AC2DC8" w:rsidRPr="006D56E7" w:rsidRDefault="001F091D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仿宋"/>
          <w:sz w:val="32"/>
          <w:szCs w:val="32"/>
        </w:rPr>
        <w:t>（二）公司报告期主要种植的苗木品种</w:t>
      </w:r>
      <w:r w:rsidR="00E631D4" w:rsidRPr="006D56E7">
        <w:rPr>
          <w:rFonts w:eastAsia="仿宋"/>
          <w:sz w:val="32"/>
          <w:szCs w:val="32"/>
        </w:rPr>
        <w:t>类别及其数量、金额和占比、种植面积，以及与公司经营规模的匹配性</w:t>
      </w:r>
      <w:r w:rsidR="00AC2DC8" w:rsidRPr="006D56E7">
        <w:rPr>
          <w:rFonts w:eastAsia="仿宋"/>
          <w:sz w:val="32"/>
          <w:szCs w:val="32"/>
        </w:rPr>
        <w:t>。</w:t>
      </w:r>
    </w:p>
    <w:p w14:paraId="36144F24" w14:textId="1821C96A" w:rsidR="00E8498C" w:rsidRPr="006D56E7" w:rsidRDefault="00AC2DC8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黑体"/>
          <w:sz w:val="32"/>
          <w:szCs w:val="32"/>
        </w:rPr>
        <w:t>第二十一条</w:t>
      </w:r>
      <w:r w:rsidR="00A06A8E" w:rsidRPr="006D56E7">
        <w:rPr>
          <w:rFonts w:eastAsia="仿宋"/>
          <w:sz w:val="32"/>
          <w:szCs w:val="32"/>
        </w:rPr>
        <w:t xml:space="preserve"> </w:t>
      </w:r>
      <w:r w:rsidR="00BA5089" w:rsidRPr="006D56E7">
        <w:rPr>
          <w:rFonts w:eastAsia="仿宋"/>
          <w:sz w:val="32"/>
          <w:szCs w:val="32"/>
        </w:rPr>
        <w:t xml:space="preserve"> </w:t>
      </w:r>
      <w:r w:rsidR="00024FF0" w:rsidRPr="006D56E7">
        <w:rPr>
          <w:rFonts w:eastAsia="仿宋"/>
          <w:sz w:val="32"/>
          <w:szCs w:val="32"/>
        </w:rPr>
        <w:t>公司通过互联网渠道开展</w:t>
      </w:r>
      <w:r w:rsidR="005466B8" w:rsidRPr="006D56E7">
        <w:rPr>
          <w:rFonts w:eastAsia="仿宋"/>
          <w:sz w:val="32"/>
          <w:szCs w:val="32"/>
        </w:rPr>
        <w:t>建筑装修装饰</w:t>
      </w:r>
      <w:r w:rsidR="00024FF0" w:rsidRPr="006D56E7">
        <w:rPr>
          <w:rFonts w:eastAsia="仿宋"/>
          <w:sz w:val="32"/>
          <w:szCs w:val="32"/>
        </w:rPr>
        <w:t>业务的，还应披露互联网业务开展情况，如互联网业务的覆盖区域、完成单数及其占比、报告期各期该部分营业收入和成本情况及其占比等。</w:t>
      </w:r>
    </w:p>
    <w:p w14:paraId="35AAFEB0" w14:textId="646F800C" w:rsidR="009276BB" w:rsidRPr="006D56E7" w:rsidRDefault="00F816B7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仿宋"/>
          <w:sz w:val="32"/>
          <w:szCs w:val="32"/>
        </w:rPr>
        <w:t>报告期内新增</w:t>
      </w:r>
      <w:r w:rsidR="009276BB" w:rsidRPr="006D56E7">
        <w:rPr>
          <w:rFonts w:eastAsia="仿宋"/>
          <w:sz w:val="32"/>
          <w:szCs w:val="32"/>
        </w:rPr>
        <w:t>与网络平台合作推广公司业务的，还应披露平台的名称、合作模式、合作期间、</w:t>
      </w:r>
      <w:r w:rsidR="001F091D" w:rsidRPr="006D56E7">
        <w:rPr>
          <w:rFonts w:eastAsia="仿宋"/>
          <w:sz w:val="32"/>
          <w:szCs w:val="32"/>
        </w:rPr>
        <w:t>收益</w:t>
      </w:r>
      <w:r w:rsidR="009276BB" w:rsidRPr="006D56E7">
        <w:rPr>
          <w:rFonts w:eastAsia="仿宋"/>
          <w:sz w:val="32"/>
          <w:szCs w:val="32"/>
        </w:rPr>
        <w:t>分配</w:t>
      </w:r>
      <w:r w:rsidR="001F091D" w:rsidRPr="006D56E7">
        <w:rPr>
          <w:rFonts w:eastAsia="仿宋"/>
          <w:sz w:val="32"/>
          <w:szCs w:val="32"/>
        </w:rPr>
        <w:t>模式</w:t>
      </w:r>
      <w:r w:rsidR="009276BB" w:rsidRPr="006D56E7">
        <w:rPr>
          <w:rFonts w:eastAsia="仿宋"/>
          <w:sz w:val="32"/>
          <w:szCs w:val="32"/>
        </w:rPr>
        <w:t>、结算方式等。</w:t>
      </w:r>
    </w:p>
    <w:p w14:paraId="76534CDA" w14:textId="6338AB51" w:rsidR="004873C2" w:rsidRPr="006D56E7" w:rsidRDefault="00AC2DC8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黑体"/>
          <w:sz w:val="32"/>
          <w:szCs w:val="32"/>
        </w:rPr>
        <w:t>第二十二</w:t>
      </w:r>
      <w:r w:rsidR="00024FF0" w:rsidRPr="006D56E7">
        <w:rPr>
          <w:rFonts w:eastAsia="黑体"/>
          <w:sz w:val="32"/>
          <w:szCs w:val="32"/>
        </w:rPr>
        <w:t>条</w:t>
      </w:r>
      <w:r w:rsidR="00BA5089" w:rsidRPr="006D56E7">
        <w:rPr>
          <w:rFonts w:eastAsia="黑体"/>
          <w:sz w:val="32"/>
          <w:szCs w:val="32"/>
        </w:rPr>
        <w:t xml:space="preserve"> </w:t>
      </w:r>
      <w:r w:rsidR="00A06A8E" w:rsidRPr="006D56E7">
        <w:rPr>
          <w:rFonts w:eastAsia="仿宋"/>
          <w:sz w:val="32"/>
          <w:szCs w:val="32"/>
        </w:rPr>
        <w:t xml:space="preserve"> </w:t>
      </w:r>
      <w:r w:rsidR="004873C2" w:rsidRPr="006D56E7">
        <w:rPr>
          <w:rFonts w:eastAsia="仿宋"/>
          <w:sz w:val="32"/>
          <w:szCs w:val="32"/>
        </w:rPr>
        <w:t>公司参照《公开发行证券的公司信息披露编报规则第</w:t>
      </w:r>
      <w:r w:rsidR="004873C2" w:rsidRPr="006D56E7">
        <w:rPr>
          <w:rFonts w:eastAsia="仿宋"/>
          <w:sz w:val="32"/>
          <w:szCs w:val="32"/>
        </w:rPr>
        <w:t>15</w:t>
      </w:r>
      <w:r w:rsidR="004873C2" w:rsidRPr="006D56E7">
        <w:rPr>
          <w:rFonts w:eastAsia="仿宋"/>
          <w:sz w:val="32"/>
          <w:szCs w:val="32"/>
        </w:rPr>
        <w:t>号</w:t>
      </w:r>
      <w:r w:rsidR="004873C2" w:rsidRPr="006D56E7">
        <w:rPr>
          <w:rFonts w:eastAsia="仿宋"/>
          <w:sz w:val="32"/>
          <w:szCs w:val="32"/>
        </w:rPr>
        <w:t>——</w:t>
      </w:r>
      <w:r w:rsidR="004873C2" w:rsidRPr="006D56E7">
        <w:rPr>
          <w:rFonts w:eastAsia="仿宋"/>
          <w:sz w:val="32"/>
          <w:szCs w:val="32"/>
        </w:rPr>
        <w:t>财务报告的一般规定》披露财务报告附注时，应同时披露以下信息：</w:t>
      </w:r>
    </w:p>
    <w:p w14:paraId="74B83C01" w14:textId="726FF28B" w:rsidR="004873C2" w:rsidRPr="006D56E7" w:rsidRDefault="004873C2" w:rsidP="00441F99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仿宋"/>
          <w:sz w:val="32"/>
          <w:szCs w:val="32"/>
        </w:rPr>
        <w:t>（一）结合</w:t>
      </w:r>
      <w:r w:rsidR="005500C9" w:rsidRPr="006D56E7">
        <w:rPr>
          <w:rFonts w:eastAsia="仿宋"/>
          <w:sz w:val="32"/>
          <w:szCs w:val="32"/>
        </w:rPr>
        <w:t>公司业务</w:t>
      </w:r>
      <w:r w:rsidRPr="006D56E7">
        <w:rPr>
          <w:rFonts w:eastAsia="仿宋"/>
          <w:sz w:val="32"/>
          <w:szCs w:val="32"/>
        </w:rPr>
        <w:t>模式</w:t>
      </w:r>
      <w:r w:rsidR="005500C9" w:rsidRPr="006D56E7">
        <w:rPr>
          <w:rFonts w:eastAsia="仿宋"/>
          <w:sz w:val="32"/>
          <w:szCs w:val="32"/>
        </w:rPr>
        <w:t>和</w:t>
      </w:r>
      <w:r w:rsidRPr="006D56E7">
        <w:rPr>
          <w:rFonts w:eastAsia="仿宋"/>
          <w:sz w:val="32"/>
          <w:szCs w:val="32"/>
        </w:rPr>
        <w:t>实际</w:t>
      </w:r>
      <w:r w:rsidR="005500C9" w:rsidRPr="006D56E7">
        <w:rPr>
          <w:rFonts w:eastAsia="仿宋"/>
          <w:sz w:val="32"/>
          <w:szCs w:val="32"/>
        </w:rPr>
        <w:t>业务情况</w:t>
      </w:r>
      <w:r w:rsidRPr="006D56E7">
        <w:rPr>
          <w:rFonts w:eastAsia="仿宋"/>
          <w:sz w:val="32"/>
          <w:szCs w:val="32"/>
        </w:rPr>
        <w:t>，细化披露收入确认的具体方法和时点；</w:t>
      </w:r>
    </w:p>
    <w:p w14:paraId="2F99FB89" w14:textId="3AA714C2" w:rsidR="004873C2" w:rsidRPr="006D56E7" w:rsidRDefault="004873C2" w:rsidP="00441F99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仿宋"/>
          <w:sz w:val="32"/>
          <w:szCs w:val="32"/>
        </w:rPr>
        <w:lastRenderedPageBreak/>
        <w:t>（二）</w:t>
      </w:r>
      <w:r w:rsidR="005D61A6" w:rsidRPr="006D56E7">
        <w:rPr>
          <w:rFonts w:eastAsia="仿宋"/>
          <w:sz w:val="32"/>
          <w:szCs w:val="32"/>
        </w:rPr>
        <w:t>按照不同业务模式对应收款项的确认和坏账计提政策进行详细披露，若单个客户应收账款余额占应收账款总额比例超过</w:t>
      </w:r>
      <w:r w:rsidR="005D61A6" w:rsidRPr="006D56E7">
        <w:rPr>
          <w:rFonts w:eastAsia="仿宋"/>
          <w:sz w:val="32"/>
          <w:szCs w:val="32"/>
        </w:rPr>
        <w:t>10%</w:t>
      </w:r>
      <w:proofErr w:type="gramStart"/>
      <w:r w:rsidR="005D61A6" w:rsidRPr="006D56E7">
        <w:rPr>
          <w:rFonts w:eastAsia="仿宋"/>
          <w:sz w:val="32"/>
          <w:szCs w:val="32"/>
        </w:rPr>
        <w:t>且账龄</w:t>
      </w:r>
      <w:proofErr w:type="gramEnd"/>
      <w:r w:rsidR="005D61A6" w:rsidRPr="006D56E7">
        <w:rPr>
          <w:rFonts w:eastAsia="仿宋"/>
          <w:sz w:val="32"/>
          <w:szCs w:val="32"/>
        </w:rPr>
        <w:t>超过三年的，应当附注中详细披露该应收账款较高的原因并提示回款风险等。</w:t>
      </w:r>
    </w:p>
    <w:p w14:paraId="262F0EB0" w14:textId="77777777" w:rsidR="004873C2" w:rsidRPr="006D56E7" w:rsidRDefault="004873C2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</w:p>
    <w:p w14:paraId="442CE81A" w14:textId="79C6713A" w:rsidR="00E8498C" w:rsidRPr="006D56E7" w:rsidRDefault="00E8498C" w:rsidP="003A1C3E">
      <w:pPr>
        <w:pStyle w:val="a9"/>
        <w:widowControl/>
        <w:numPr>
          <w:ilvl w:val="0"/>
          <w:numId w:val="3"/>
        </w:numPr>
        <w:snapToGrid w:val="0"/>
        <w:spacing w:line="600" w:lineRule="exact"/>
        <w:ind w:left="0" w:firstLineChars="0" w:firstLine="0"/>
        <w:jc w:val="center"/>
        <w:rPr>
          <w:rFonts w:eastAsia="黑体"/>
          <w:color w:val="000000"/>
          <w:kern w:val="0"/>
          <w:sz w:val="32"/>
          <w:szCs w:val="32"/>
        </w:rPr>
      </w:pPr>
      <w:r w:rsidRPr="006D56E7">
        <w:rPr>
          <w:rFonts w:eastAsia="黑体"/>
          <w:color w:val="000000"/>
          <w:kern w:val="0"/>
          <w:sz w:val="32"/>
          <w:szCs w:val="32"/>
        </w:rPr>
        <w:t>临时报告</w:t>
      </w:r>
    </w:p>
    <w:p w14:paraId="38F8A96C" w14:textId="77777777" w:rsidR="001D7098" w:rsidRPr="006D56E7" w:rsidRDefault="001D7098" w:rsidP="00441F99">
      <w:pPr>
        <w:pStyle w:val="a9"/>
        <w:widowControl/>
        <w:snapToGrid w:val="0"/>
        <w:spacing w:line="600" w:lineRule="exact"/>
        <w:ind w:left="1350" w:firstLineChars="0" w:firstLine="0"/>
        <w:rPr>
          <w:rFonts w:eastAsia="黑体"/>
          <w:color w:val="000000"/>
          <w:kern w:val="0"/>
          <w:sz w:val="32"/>
          <w:szCs w:val="32"/>
        </w:rPr>
      </w:pPr>
    </w:p>
    <w:p w14:paraId="09D106FD" w14:textId="10112B07" w:rsidR="00E8498C" w:rsidRPr="006D56E7" w:rsidRDefault="00AC2DC8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黑体"/>
          <w:sz w:val="32"/>
          <w:szCs w:val="32"/>
        </w:rPr>
        <w:t>第二十三</w:t>
      </w:r>
      <w:r w:rsidR="00A06A8E" w:rsidRPr="006D56E7">
        <w:rPr>
          <w:rFonts w:eastAsia="黑体"/>
          <w:sz w:val="32"/>
          <w:szCs w:val="32"/>
        </w:rPr>
        <w:t>条</w:t>
      </w:r>
      <w:r w:rsidR="00A06A8E" w:rsidRPr="006D56E7">
        <w:rPr>
          <w:rFonts w:eastAsia="仿宋"/>
          <w:sz w:val="32"/>
          <w:szCs w:val="32"/>
        </w:rPr>
        <w:t xml:space="preserve"> </w:t>
      </w:r>
      <w:r w:rsidR="00BA5089" w:rsidRPr="006D56E7">
        <w:rPr>
          <w:rFonts w:eastAsia="仿宋"/>
          <w:sz w:val="32"/>
          <w:szCs w:val="32"/>
        </w:rPr>
        <w:t xml:space="preserve"> </w:t>
      </w:r>
      <w:r w:rsidR="00C809F4" w:rsidRPr="006D56E7">
        <w:rPr>
          <w:rFonts w:eastAsia="仿宋"/>
          <w:sz w:val="32"/>
          <w:szCs w:val="32"/>
        </w:rPr>
        <w:t>公司披露的行业经营性信息发生或可能发生变动，对投资者决策有重大影响的，公司应及时披露，并说明对当期及未来发展的影响</w:t>
      </w:r>
      <w:r w:rsidR="00E8498C" w:rsidRPr="006D56E7">
        <w:rPr>
          <w:rFonts w:eastAsia="仿宋"/>
          <w:sz w:val="32"/>
          <w:szCs w:val="32"/>
        </w:rPr>
        <w:t>。</w:t>
      </w:r>
    </w:p>
    <w:p w14:paraId="706CBDCA" w14:textId="7DAC74E5" w:rsidR="00F13D11" w:rsidRPr="006D56E7" w:rsidRDefault="00AC2DC8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黑体"/>
          <w:sz w:val="32"/>
          <w:szCs w:val="32"/>
        </w:rPr>
        <w:t>第二十四</w:t>
      </w:r>
      <w:r w:rsidR="00A06A8E" w:rsidRPr="006D56E7">
        <w:rPr>
          <w:rFonts w:eastAsia="黑体"/>
          <w:sz w:val="32"/>
          <w:szCs w:val="32"/>
        </w:rPr>
        <w:t>条</w:t>
      </w:r>
      <w:r w:rsidR="00A06A8E" w:rsidRPr="006D56E7">
        <w:rPr>
          <w:rFonts w:eastAsia="仿宋"/>
          <w:sz w:val="32"/>
          <w:szCs w:val="32"/>
        </w:rPr>
        <w:t xml:space="preserve"> </w:t>
      </w:r>
      <w:r w:rsidR="00BA5089" w:rsidRPr="006D56E7">
        <w:rPr>
          <w:rFonts w:eastAsia="仿宋"/>
          <w:sz w:val="32"/>
          <w:szCs w:val="32"/>
        </w:rPr>
        <w:t xml:space="preserve"> </w:t>
      </w:r>
      <w:r w:rsidR="00F13D11" w:rsidRPr="006D56E7">
        <w:rPr>
          <w:rFonts w:eastAsia="仿宋"/>
          <w:sz w:val="32"/>
          <w:szCs w:val="32"/>
        </w:rPr>
        <w:t>公司取得或丧失重要生产资质或认证的，应及时披露相关情况，并说明对公司当期与未来发展的影响，以及公司拟采取的应对措施。</w:t>
      </w:r>
    </w:p>
    <w:p w14:paraId="3305CDB6" w14:textId="02F3C362" w:rsidR="00E8498C" w:rsidRPr="006D56E7" w:rsidRDefault="00C809F4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仿宋"/>
          <w:sz w:val="32"/>
          <w:szCs w:val="32"/>
        </w:rPr>
        <w:t>公司应及时披露新取得的核电、铁路、水利水电等特殊行业的资质情况，并说明进入相关细分行业的计划安排</w:t>
      </w:r>
      <w:r w:rsidR="00E8498C" w:rsidRPr="006D56E7">
        <w:rPr>
          <w:rFonts w:eastAsia="仿宋"/>
          <w:sz w:val="32"/>
          <w:szCs w:val="32"/>
        </w:rPr>
        <w:t>。</w:t>
      </w:r>
    </w:p>
    <w:p w14:paraId="41CCE110" w14:textId="5C0D6EB9" w:rsidR="00C809F4" w:rsidRPr="006D56E7" w:rsidRDefault="00AC2DC8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黑体"/>
          <w:sz w:val="32"/>
          <w:szCs w:val="32"/>
        </w:rPr>
        <w:t>第二十五</w:t>
      </w:r>
      <w:r w:rsidR="00A06A8E" w:rsidRPr="006D56E7">
        <w:rPr>
          <w:rFonts w:eastAsia="黑体"/>
          <w:sz w:val="32"/>
          <w:szCs w:val="32"/>
        </w:rPr>
        <w:t>条</w:t>
      </w:r>
      <w:r w:rsidR="00A06A8E" w:rsidRPr="006D56E7">
        <w:rPr>
          <w:rFonts w:eastAsia="仿宋"/>
          <w:sz w:val="32"/>
          <w:szCs w:val="32"/>
        </w:rPr>
        <w:t xml:space="preserve"> </w:t>
      </w:r>
      <w:r w:rsidR="00BA5089" w:rsidRPr="006D56E7">
        <w:rPr>
          <w:rFonts w:eastAsia="仿宋"/>
          <w:sz w:val="32"/>
          <w:szCs w:val="32"/>
        </w:rPr>
        <w:t xml:space="preserve"> </w:t>
      </w:r>
      <w:r w:rsidR="00C809F4" w:rsidRPr="006D56E7">
        <w:rPr>
          <w:rFonts w:eastAsia="仿宋"/>
          <w:sz w:val="32"/>
          <w:szCs w:val="32"/>
        </w:rPr>
        <w:t>公司中标重大项目的，应及时披露工程名称、地点、造价、工期等中标情况</w:t>
      </w:r>
      <w:r w:rsidR="00E8498C" w:rsidRPr="006D56E7">
        <w:rPr>
          <w:rFonts w:eastAsia="仿宋"/>
          <w:sz w:val="32"/>
          <w:szCs w:val="32"/>
        </w:rPr>
        <w:t>。</w:t>
      </w:r>
      <w:r w:rsidR="00C809F4" w:rsidRPr="006D56E7">
        <w:rPr>
          <w:rFonts w:eastAsia="仿宋"/>
          <w:sz w:val="32"/>
          <w:szCs w:val="32"/>
        </w:rPr>
        <w:t>公司以项目联合体方式中标重大项目的，还应披露参与工程项目的方式、工程量等相关权利义务安排。</w:t>
      </w:r>
    </w:p>
    <w:p w14:paraId="00B182A2" w14:textId="6BE307E3" w:rsidR="00E8498C" w:rsidRPr="006D56E7" w:rsidRDefault="00C809F4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仿宋"/>
          <w:sz w:val="32"/>
          <w:szCs w:val="32"/>
        </w:rPr>
        <w:t>涉及境外重大项目的，公司还应当评估并披露项目所在地区政治局势、经济发展水平、自然环境对该项目的影响。</w:t>
      </w:r>
    </w:p>
    <w:p w14:paraId="34ED2737" w14:textId="0A5DA107" w:rsidR="00E8498C" w:rsidRPr="006D56E7" w:rsidRDefault="00AC2DC8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黑体"/>
          <w:sz w:val="32"/>
          <w:szCs w:val="32"/>
        </w:rPr>
        <w:lastRenderedPageBreak/>
        <w:t>第二十六</w:t>
      </w:r>
      <w:r w:rsidR="00A06A8E" w:rsidRPr="006D56E7">
        <w:rPr>
          <w:rFonts w:eastAsia="黑体"/>
          <w:sz w:val="32"/>
          <w:szCs w:val="32"/>
        </w:rPr>
        <w:t>条</w:t>
      </w:r>
      <w:r w:rsidR="00BA5089" w:rsidRPr="006D56E7">
        <w:rPr>
          <w:rFonts w:eastAsia="黑体"/>
          <w:sz w:val="32"/>
          <w:szCs w:val="32"/>
        </w:rPr>
        <w:t xml:space="preserve"> </w:t>
      </w:r>
      <w:r w:rsidR="00A06A8E" w:rsidRPr="006D56E7">
        <w:rPr>
          <w:rFonts w:eastAsia="仿宋"/>
          <w:sz w:val="32"/>
          <w:szCs w:val="32"/>
        </w:rPr>
        <w:t xml:space="preserve"> </w:t>
      </w:r>
      <w:r w:rsidR="00C809F4" w:rsidRPr="006D56E7">
        <w:rPr>
          <w:rFonts w:eastAsia="仿宋"/>
          <w:sz w:val="32"/>
          <w:szCs w:val="32"/>
        </w:rPr>
        <w:t>公司应披露重大项目合同的双方基本情况、合同金额、业务模式、施工期限、结算条件等重要合同条款</w:t>
      </w:r>
      <w:r w:rsidR="00E8498C" w:rsidRPr="006D56E7">
        <w:rPr>
          <w:rFonts w:eastAsia="仿宋"/>
          <w:sz w:val="32"/>
          <w:szCs w:val="32"/>
        </w:rPr>
        <w:t>。</w:t>
      </w:r>
    </w:p>
    <w:p w14:paraId="40931AFE" w14:textId="5894472D" w:rsidR="00E525D1" w:rsidRPr="006D56E7" w:rsidRDefault="00AC2DC8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黑体"/>
          <w:sz w:val="32"/>
          <w:szCs w:val="32"/>
        </w:rPr>
        <w:t>第二十七</w:t>
      </w:r>
      <w:r w:rsidR="00C809F4" w:rsidRPr="006D56E7">
        <w:rPr>
          <w:rFonts w:eastAsia="黑体"/>
          <w:sz w:val="32"/>
          <w:szCs w:val="32"/>
        </w:rPr>
        <w:t>条</w:t>
      </w:r>
      <w:r w:rsidR="00BA5089" w:rsidRPr="006D56E7">
        <w:rPr>
          <w:rFonts w:eastAsia="黑体"/>
          <w:sz w:val="32"/>
          <w:szCs w:val="32"/>
        </w:rPr>
        <w:t xml:space="preserve"> </w:t>
      </w:r>
      <w:r w:rsidR="00A06A8E" w:rsidRPr="006D56E7">
        <w:rPr>
          <w:rFonts w:eastAsia="仿宋"/>
          <w:sz w:val="32"/>
          <w:szCs w:val="32"/>
        </w:rPr>
        <w:t xml:space="preserve"> </w:t>
      </w:r>
      <w:r w:rsidR="00E525D1" w:rsidRPr="006D56E7">
        <w:rPr>
          <w:rFonts w:eastAsia="仿宋"/>
          <w:sz w:val="32"/>
          <w:szCs w:val="32"/>
        </w:rPr>
        <w:t>公司应按照分阶段披露的原则及时披露重大项目进展情况。项目执行过程中发生中止和撤销</w:t>
      </w:r>
      <w:r w:rsidR="00C81621" w:rsidRPr="006D56E7">
        <w:rPr>
          <w:rFonts w:eastAsia="仿宋"/>
          <w:sz w:val="32"/>
          <w:szCs w:val="32"/>
        </w:rPr>
        <w:t>等</w:t>
      </w:r>
      <w:r w:rsidR="00E525D1" w:rsidRPr="006D56E7">
        <w:rPr>
          <w:rFonts w:eastAsia="仿宋"/>
          <w:sz w:val="32"/>
          <w:szCs w:val="32"/>
        </w:rPr>
        <w:t>可能导致影响项目或合同收入</w:t>
      </w:r>
      <w:r w:rsidR="00E525D1" w:rsidRPr="006D56E7">
        <w:rPr>
          <w:rFonts w:eastAsia="仿宋"/>
          <w:sz w:val="32"/>
          <w:szCs w:val="32"/>
        </w:rPr>
        <w:t>30%</w:t>
      </w:r>
      <w:r w:rsidR="00E525D1" w:rsidRPr="006D56E7">
        <w:rPr>
          <w:rFonts w:eastAsia="仿宋"/>
          <w:sz w:val="32"/>
          <w:szCs w:val="32"/>
        </w:rPr>
        <w:t>以上的情况的，应当说明影响及后续安排。</w:t>
      </w:r>
    </w:p>
    <w:p w14:paraId="7B214A08" w14:textId="4B7B5BD8" w:rsidR="00C809F4" w:rsidRPr="006D56E7" w:rsidRDefault="00E525D1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黑体"/>
          <w:sz w:val="32"/>
          <w:szCs w:val="32"/>
        </w:rPr>
        <w:t>第二十八条</w:t>
      </w:r>
      <w:r w:rsidR="00BA5089" w:rsidRPr="006D56E7">
        <w:rPr>
          <w:rFonts w:eastAsia="黑体"/>
          <w:sz w:val="32"/>
          <w:szCs w:val="32"/>
        </w:rPr>
        <w:t xml:space="preserve"> </w:t>
      </w:r>
      <w:r w:rsidR="00A06A8E" w:rsidRPr="006D56E7">
        <w:rPr>
          <w:rFonts w:eastAsia="仿宋"/>
          <w:sz w:val="32"/>
          <w:szCs w:val="32"/>
        </w:rPr>
        <w:t xml:space="preserve"> </w:t>
      </w:r>
      <w:r w:rsidR="00C809F4" w:rsidRPr="006D56E7">
        <w:rPr>
          <w:rFonts w:eastAsia="仿宋"/>
          <w:sz w:val="32"/>
          <w:szCs w:val="32"/>
        </w:rPr>
        <w:t>公司</w:t>
      </w:r>
      <w:r w:rsidR="00F052CB" w:rsidRPr="006D56E7">
        <w:rPr>
          <w:rFonts w:eastAsia="仿宋"/>
          <w:sz w:val="32"/>
          <w:szCs w:val="32"/>
        </w:rPr>
        <w:t>发生</w:t>
      </w:r>
      <w:r w:rsidR="005E717B" w:rsidRPr="006D56E7">
        <w:rPr>
          <w:rFonts w:eastAsia="仿宋"/>
          <w:sz w:val="32"/>
          <w:szCs w:val="32"/>
        </w:rPr>
        <w:t>对其经营可能产生</w:t>
      </w:r>
      <w:r w:rsidR="001F091D" w:rsidRPr="006D56E7">
        <w:rPr>
          <w:rFonts w:eastAsia="仿宋"/>
          <w:sz w:val="32"/>
          <w:szCs w:val="32"/>
        </w:rPr>
        <w:t>重大</w:t>
      </w:r>
      <w:r w:rsidR="005E717B" w:rsidRPr="006D56E7">
        <w:rPr>
          <w:rFonts w:eastAsia="仿宋"/>
          <w:sz w:val="32"/>
          <w:szCs w:val="32"/>
        </w:rPr>
        <w:t>影响的</w:t>
      </w:r>
      <w:r w:rsidR="00C809F4" w:rsidRPr="006D56E7">
        <w:rPr>
          <w:rFonts w:eastAsia="仿宋"/>
          <w:sz w:val="32"/>
          <w:szCs w:val="32"/>
        </w:rPr>
        <w:t>安全事故的，应及时披露以下信息：</w:t>
      </w:r>
    </w:p>
    <w:p w14:paraId="4722194E" w14:textId="77777777" w:rsidR="00C809F4" w:rsidRPr="006D56E7" w:rsidRDefault="00C809F4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仿宋"/>
          <w:sz w:val="32"/>
          <w:szCs w:val="32"/>
        </w:rPr>
        <w:t>（一）事故的基本情况；</w:t>
      </w:r>
    </w:p>
    <w:p w14:paraId="02319DAE" w14:textId="77777777" w:rsidR="00C809F4" w:rsidRPr="006D56E7" w:rsidRDefault="00C809F4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仿宋"/>
          <w:sz w:val="32"/>
          <w:szCs w:val="32"/>
        </w:rPr>
        <w:t>（二）事故的后续处理情况；</w:t>
      </w:r>
    </w:p>
    <w:p w14:paraId="090642D3" w14:textId="7B6665B2" w:rsidR="00E8498C" w:rsidRPr="006D56E7" w:rsidRDefault="00C809F4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仿宋"/>
          <w:sz w:val="32"/>
          <w:szCs w:val="32"/>
        </w:rPr>
        <w:t>（三）事故对公司项目进展、合同履行、收入确认及对相关资质和业务开展的影响。</w:t>
      </w:r>
    </w:p>
    <w:p w14:paraId="503E4F76" w14:textId="77777777" w:rsidR="00E8498C" w:rsidRPr="006D56E7" w:rsidRDefault="00E8498C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</w:p>
    <w:p w14:paraId="017B49E9" w14:textId="388063C4" w:rsidR="00E8498C" w:rsidRPr="006D56E7" w:rsidRDefault="00E8498C" w:rsidP="003A1C3E">
      <w:pPr>
        <w:pStyle w:val="a9"/>
        <w:widowControl/>
        <w:numPr>
          <w:ilvl w:val="0"/>
          <w:numId w:val="3"/>
        </w:numPr>
        <w:snapToGrid w:val="0"/>
        <w:spacing w:line="600" w:lineRule="exact"/>
        <w:ind w:left="0" w:firstLineChars="0" w:firstLine="0"/>
        <w:jc w:val="center"/>
        <w:rPr>
          <w:rFonts w:eastAsia="黑体"/>
          <w:color w:val="000000"/>
          <w:kern w:val="0"/>
          <w:sz w:val="32"/>
          <w:szCs w:val="32"/>
        </w:rPr>
      </w:pPr>
      <w:r w:rsidRPr="006D56E7">
        <w:rPr>
          <w:rFonts w:eastAsia="黑体"/>
          <w:color w:val="000000"/>
          <w:kern w:val="0"/>
          <w:sz w:val="32"/>
          <w:szCs w:val="32"/>
        </w:rPr>
        <w:t>附则</w:t>
      </w:r>
    </w:p>
    <w:p w14:paraId="302925F3" w14:textId="77777777" w:rsidR="001D7098" w:rsidRPr="006D56E7" w:rsidRDefault="001D7098" w:rsidP="00441F99">
      <w:pPr>
        <w:pStyle w:val="a9"/>
        <w:widowControl/>
        <w:snapToGrid w:val="0"/>
        <w:spacing w:line="600" w:lineRule="exact"/>
        <w:ind w:left="1350" w:firstLineChars="0" w:firstLine="0"/>
        <w:rPr>
          <w:rFonts w:eastAsia="黑体"/>
          <w:color w:val="000000"/>
          <w:kern w:val="0"/>
          <w:sz w:val="32"/>
          <w:szCs w:val="32"/>
        </w:rPr>
      </w:pPr>
    </w:p>
    <w:p w14:paraId="32688DAB" w14:textId="567F46C8" w:rsidR="001F091D" w:rsidRPr="006D56E7" w:rsidRDefault="00427725" w:rsidP="00441F99">
      <w:pPr>
        <w:widowControl/>
        <w:snapToGrid w:val="0"/>
        <w:spacing w:line="600" w:lineRule="exact"/>
        <w:rPr>
          <w:rFonts w:eastAsia="仿宋"/>
          <w:sz w:val="32"/>
          <w:szCs w:val="32"/>
        </w:rPr>
      </w:pPr>
      <w:r w:rsidRPr="006D56E7">
        <w:rPr>
          <w:rFonts w:eastAsia="仿宋"/>
          <w:sz w:val="32"/>
          <w:szCs w:val="32"/>
        </w:rPr>
        <w:t xml:space="preserve"> </w:t>
      </w:r>
      <w:r w:rsidRPr="006D56E7">
        <w:rPr>
          <w:rFonts w:eastAsia="黑体"/>
          <w:sz w:val="32"/>
          <w:szCs w:val="32"/>
        </w:rPr>
        <w:t xml:space="preserve">   </w:t>
      </w:r>
      <w:r w:rsidR="00E525D1" w:rsidRPr="006D56E7">
        <w:rPr>
          <w:rFonts w:eastAsia="黑体"/>
          <w:sz w:val="32"/>
          <w:szCs w:val="32"/>
        </w:rPr>
        <w:t>第二十九</w:t>
      </w:r>
      <w:r w:rsidR="00E8498C" w:rsidRPr="006D56E7">
        <w:rPr>
          <w:rFonts w:eastAsia="黑体"/>
          <w:sz w:val="32"/>
          <w:szCs w:val="32"/>
        </w:rPr>
        <w:t>条</w:t>
      </w:r>
      <w:r w:rsidR="00BA5089" w:rsidRPr="006D56E7">
        <w:rPr>
          <w:rFonts w:eastAsia="黑体"/>
          <w:sz w:val="32"/>
          <w:szCs w:val="32"/>
        </w:rPr>
        <w:t xml:space="preserve"> </w:t>
      </w:r>
      <w:r w:rsidR="00A06A8E" w:rsidRPr="006D56E7">
        <w:rPr>
          <w:rFonts w:eastAsia="仿宋"/>
          <w:sz w:val="32"/>
          <w:szCs w:val="32"/>
        </w:rPr>
        <w:t xml:space="preserve"> </w:t>
      </w:r>
      <w:r w:rsidR="001F091D" w:rsidRPr="006D56E7">
        <w:rPr>
          <w:rFonts w:eastAsia="仿宋"/>
          <w:sz w:val="32"/>
          <w:szCs w:val="32"/>
        </w:rPr>
        <w:t>本指引有关用语含义如下：</w:t>
      </w:r>
    </w:p>
    <w:p w14:paraId="25F8118A" w14:textId="3312D74B" w:rsidR="001F091D" w:rsidRPr="006D56E7" w:rsidRDefault="001F091D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仿宋"/>
          <w:sz w:val="32"/>
          <w:szCs w:val="32"/>
        </w:rPr>
        <w:t>（一）业务模式，是指公司开展项目设计、建设、运营等实现利润的方式，根据各业务模式的风险承担方式、利润来源、权利义务分配的不同，可分为单一施工合同模式、设计施工合同模式、交钥匙工程合同模式、融资合同模式、管理合同模式等。</w:t>
      </w:r>
    </w:p>
    <w:p w14:paraId="38C5ABAE" w14:textId="43E8FAD1" w:rsidR="001F091D" w:rsidRPr="006D56E7" w:rsidRDefault="001F091D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仿宋"/>
          <w:sz w:val="32"/>
          <w:szCs w:val="32"/>
        </w:rPr>
        <w:lastRenderedPageBreak/>
        <w:t>（</w:t>
      </w:r>
      <w:r w:rsidR="00423F6C" w:rsidRPr="006D56E7">
        <w:rPr>
          <w:rFonts w:eastAsia="仿宋"/>
          <w:sz w:val="32"/>
          <w:szCs w:val="32"/>
        </w:rPr>
        <w:t>二</w:t>
      </w:r>
      <w:r w:rsidRPr="006D56E7">
        <w:rPr>
          <w:rFonts w:eastAsia="仿宋"/>
          <w:sz w:val="32"/>
          <w:szCs w:val="32"/>
        </w:rPr>
        <w:t>）重大项目，是指项目金额占公司最近一个会计年度</w:t>
      </w:r>
      <w:r w:rsidR="005E717B" w:rsidRPr="006D56E7">
        <w:rPr>
          <w:rFonts w:eastAsia="仿宋"/>
          <w:sz w:val="32"/>
          <w:szCs w:val="32"/>
        </w:rPr>
        <w:t>经审计</w:t>
      </w:r>
      <w:r w:rsidRPr="006D56E7">
        <w:rPr>
          <w:rFonts w:eastAsia="仿宋"/>
          <w:sz w:val="32"/>
          <w:szCs w:val="32"/>
        </w:rPr>
        <w:t>营业收入</w:t>
      </w:r>
      <w:r w:rsidRPr="006D56E7">
        <w:rPr>
          <w:rFonts w:eastAsia="仿宋"/>
          <w:sz w:val="32"/>
          <w:szCs w:val="32"/>
        </w:rPr>
        <w:t>10%</w:t>
      </w:r>
      <w:r w:rsidRPr="006D56E7">
        <w:rPr>
          <w:rFonts w:eastAsia="仿宋"/>
          <w:sz w:val="32"/>
          <w:szCs w:val="32"/>
        </w:rPr>
        <w:t>以上的项目。</w:t>
      </w:r>
    </w:p>
    <w:p w14:paraId="4502CD38" w14:textId="1FA5C7CC" w:rsidR="001F091D" w:rsidRPr="006D56E7" w:rsidRDefault="001F091D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仿宋"/>
          <w:sz w:val="32"/>
          <w:szCs w:val="32"/>
        </w:rPr>
        <w:t>（</w:t>
      </w:r>
      <w:r w:rsidR="00423F6C" w:rsidRPr="006D56E7">
        <w:rPr>
          <w:rFonts w:eastAsia="仿宋"/>
          <w:sz w:val="32"/>
          <w:szCs w:val="32"/>
        </w:rPr>
        <w:t>三</w:t>
      </w:r>
      <w:r w:rsidRPr="006D56E7">
        <w:rPr>
          <w:rFonts w:eastAsia="仿宋"/>
          <w:sz w:val="32"/>
          <w:szCs w:val="32"/>
        </w:rPr>
        <w:t>）重大变化或重大差异，是指影响或者可能影响项目或合同收入</w:t>
      </w:r>
      <w:r w:rsidRPr="006D56E7">
        <w:rPr>
          <w:rFonts w:eastAsia="仿宋"/>
          <w:sz w:val="32"/>
          <w:szCs w:val="32"/>
        </w:rPr>
        <w:t>30%</w:t>
      </w:r>
      <w:r w:rsidRPr="006D56E7">
        <w:rPr>
          <w:rFonts w:eastAsia="仿宋"/>
          <w:sz w:val="32"/>
          <w:szCs w:val="32"/>
        </w:rPr>
        <w:t>以上的情况。</w:t>
      </w:r>
    </w:p>
    <w:p w14:paraId="71CF17F4" w14:textId="6BCB5446" w:rsidR="00E8498C" w:rsidRPr="006D56E7" w:rsidRDefault="00E525D1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黑体"/>
          <w:sz w:val="32"/>
          <w:szCs w:val="32"/>
        </w:rPr>
        <w:t>第三十</w:t>
      </w:r>
      <w:r w:rsidR="001F091D" w:rsidRPr="006D56E7">
        <w:rPr>
          <w:rFonts w:eastAsia="黑体"/>
          <w:sz w:val="32"/>
          <w:szCs w:val="32"/>
        </w:rPr>
        <w:t>条</w:t>
      </w:r>
      <w:r w:rsidR="001F091D" w:rsidRPr="006D56E7">
        <w:rPr>
          <w:rFonts w:eastAsia="仿宋"/>
          <w:sz w:val="32"/>
          <w:szCs w:val="32"/>
        </w:rPr>
        <w:t xml:space="preserve"> </w:t>
      </w:r>
      <w:r w:rsidR="00BA5089" w:rsidRPr="006D56E7">
        <w:rPr>
          <w:rFonts w:eastAsia="仿宋"/>
          <w:sz w:val="32"/>
          <w:szCs w:val="32"/>
        </w:rPr>
        <w:t xml:space="preserve"> </w:t>
      </w:r>
      <w:r w:rsidR="00E8498C" w:rsidRPr="006D56E7">
        <w:rPr>
          <w:rFonts w:eastAsia="仿宋"/>
          <w:sz w:val="32"/>
          <w:szCs w:val="32"/>
        </w:rPr>
        <w:t>本指引由全国股转公司负责解释。</w:t>
      </w:r>
      <w:bookmarkStart w:id="0" w:name="_GoBack"/>
      <w:bookmarkEnd w:id="0"/>
    </w:p>
    <w:p w14:paraId="3E8A6D1F" w14:textId="3EEE2B6D" w:rsidR="00FE7579" w:rsidRPr="006D56E7" w:rsidRDefault="001F091D" w:rsidP="00441F99">
      <w:pPr>
        <w:widowControl/>
        <w:snapToGrid w:val="0"/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6D56E7">
        <w:rPr>
          <w:rFonts w:eastAsia="黑体"/>
          <w:sz w:val="32"/>
          <w:szCs w:val="32"/>
        </w:rPr>
        <w:t>第三十</w:t>
      </w:r>
      <w:r w:rsidR="00E525D1" w:rsidRPr="006D56E7">
        <w:rPr>
          <w:rFonts w:eastAsia="黑体"/>
          <w:sz w:val="32"/>
          <w:szCs w:val="32"/>
        </w:rPr>
        <w:t>一</w:t>
      </w:r>
      <w:r w:rsidR="00E8498C" w:rsidRPr="006D56E7">
        <w:rPr>
          <w:rFonts w:eastAsia="黑体"/>
          <w:sz w:val="32"/>
          <w:szCs w:val="32"/>
        </w:rPr>
        <w:t>条</w:t>
      </w:r>
      <w:r w:rsidR="00465B01" w:rsidRPr="006D56E7">
        <w:rPr>
          <w:rFonts w:eastAsia="仿宋"/>
          <w:sz w:val="32"/>
          <w:szCs w:val="32"/>
        </w:rPr>
        <w:t xml:space="preserve"> </w:t>
      </w:r>
      <w:r w:rsidR="00BA5089" w:rsidRPr="006D56E7">
        <w:rPr>
          <w:rFonts w:eastAsia="仿宋"/>
          <w:sz w:val="32"/>
          <w:szCs w:val="32"/>
        </w:rPr>
        <w:t xml:space="preserve"> </w:t>
      </w:r>
      <w:r w:rsidR="00E8498C" w:rsidRPr="006D56E7">
        <w:rPr>
          <w:rFonts w:eastAsia="仿宋"/>
          <w:sz w:val="32"/>
          <w:szCs w:val="32"/>
        </w:rPr>
        <w:t>本指引自</w:t>
      </w:r>
      <w:r w:rsidRPr="006D56E7">
        <w:rPr>
          <w:rFonts w:eastAsia="仿宋"/>
          <w:sz w:val="32"/>
          <w:szCs w:val="32"/>
        </w:rPr>
        <w:t>公布之日</w:t>
      </w:r>
      <w:r w:rsidR="00E8498C" w:rsidRPr="006D56E7">
        <w:rPr>
          <w:rFonts w:eastAsia="仿宋"/>
          <w:sz w:val="32"/>
          <w:szCs w:val="32"/>
        </w:rPr>
        <w:t>起施行。</w:t>
      </w:r>
    </w:p>
    <w:sectPr w:rsidR="00FE7579" w:rsidRPr="006D56E7" w:rsidSect="00DF4287"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A4B3B9" w16cid:durableId="23300CD7"/>
  <w16cid:commentId w16cid:paraId="7E187A19" w16cid:durableId="232A28EB"/>
  <w16cid:commentId w16cid:paraId="5584483C" w16cid:durableId="2330130F"/>
  <w16cid:commentId w16cid:paraId="37CC8D9A" w16cid:durableId="232A20CF"/>
  <w16cid:commentId w16cid:paraId="5BC6F926" w16cid:durableId="232AA02C"/>
  <w16cid:commentId w16cid:paraId="2B725B3D" w16cid:durableId="232AA16A"/>
  <w16cid:commentId w16cid:paraId="4DB1663B" w16cid:durableId="232AA1DF"/>
  <w16cid:commentId w16cid:paraId="01D025E0" w16cid:durableId="232AA295"/>
  <w16cid:commentId w16cid:paraId="2D725620" w16cid:durableId="232AA606"/>
  <w16cid:commentId w16cid:paraId="3830B798" w16cid:durableId="232AA73F"/>
  <w16cid:commentId w16cid:paraId="358841AF" w16cid:durableId="232AA69B"/>
  <w16cid:commentId w16cid:paraId="1A9EEA1E" w16cid:durableId="232AA836"/>
  <w16cid:commentId w16cid:paraId="5C3F33E2" w16cid:durableId="23300CFD"/>
  <w16cid:commentId w16cid:paraId="41F4F0EA" w16cid:durableId="232AA934"/>
  <w16cid:commentId w16cid:paraId="5715E70A" w16cid:durableId="232AA97C"/>
  <w16cid:commentId w16cid:paraId="56CA27F0" w16cid:durableId="232AA9C3"/>
  <w16cid:commentId w16cid:paraId="3FB1CA94" w16cid:durableId="232AAA33"/>
  <w16cid:commentId w16cid:paraId="721F478E" w16cid:durableId="232AABCE"/>
  <w16cid:commentId w16cid:paraId="106DB839" w16cid:durableId="232AAE56"/>
  <w16cid:commentId w16cid:paraId="5AFE61CD" w16cid:durableId="232AAEF2"/>
  <w16cid:commentId w16cid:paraId="3A211EA0" w16cid:durableId="232AB043"/>
  <w16cid:commentId w16cid:paraId="2999C486" w16cid:durableId="232AB0FD"/>
  <w16cid:commentId w16cid:paraId="6419DAE2" w16cid:durableId="232AB1CF"/>
  <w16cid:commentId w16cid:paraId="48E41D7F" w16cid:durableId="232AB2AE"/>
  <w16cid:commentId w16cid:paraId="322F4168" w16cid:durableId="232AB3AE"/>
  <w16cid:commentId w16cid:paraId="34B8F09D" w16cid:durableId="232AB52A"/>
  <w16cid:commentId w16cid:paraId="6E322EAB" w16cid:durableId="232AB5E0"/>
  <w16cid:commentId w16cid:paraId="1B48F84E" w16cid:durableId="232AB789"/>
  <w16cid:commentId w16cid:paraId="394A6B62" w16cid:durableId="232ABA57"/>
  <w16cid:commentId w16cid:paraId="0BCDFCA0" w16cid:durableId="232AB882"/>
  <w16cid:commentId w16cid:paraId="1245CA70" w16cid:durableId="232AB99F"/>
  <w16cid:commentId w16cid:paraId="7621D53B" w16cid:durableId="232ABB71"/>
  <w16cid:commentId w16cid:paraId="755BD7E0" w16cid:durableId="232ABBE9"/>
  <w16cid:commentId w16cid:paraId="4F463712" w16cid:durableId="232ABC3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FC7A2" w14:textId="77777777" w:rsidR="00CC3853" w:rsidRDefault="00CC3853" w:rsidP="00E8498C">
      <w:r>
        <w:separator/>
      </w:r>
    </w:p>
  </w:endnote>
  <w:endnote w:type="continuationSeparator" w:id="0">
    <w:p w14:paraId="722FE849" w14:textId="77777777" w:rsidR="00CC3853" w:rsidRDefault="00CC3853" w:rsidP="00E8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076412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131913E7" w14:textId="2FD58EB1" w:rsidR="00DF4287" w:rsidRPr="00DF4287" w:rsidRDefault="00DF4287">
        <w:pPr>
          <w:pStyle w:val="a4"/>
          <w:rPr>
            <w:rFonts w:asciiTheme="minorEastAsia" w:hAnsiTheme="minorEastAsia"/>
            <w:sz w:val="28"/>
            <w:szCs w:val="28"/>
          </w:rPr>
        </w:pPr>
        <w:r w:rsidRPr="00DF4287">
          <w:rPr>
            <w:rFonts w:asciiTheme="minorEastAsia" w:hAnsiTheme="minorEastAsia"/>
            <w:sz w:val="28"/>
            <w:szCs w:val="28"/>
          </w:rPr>
          <w:fldChar w:fldCharType="begin"/>
        </w:r>
        <w:r w:rsidRPr="00DF4287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DF4287">
          <w:rPr>
            <w:rFonts w:asciiTheme="minorEastAsia" w:hAnsiTheme="minorEastAsia"/>
            <w:sz w:val="28"/>
            <w:szCs w:val="28"/>
          </w:rPr>
          <w:fldChar w:fldCharType="separate"/>
        </w:r>
        <w:r w:rsidR="006D56E7" w:rsidRPr="006D56E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D56E7">
          <w:rPr>
            <w:rFonts w:asciiTheme="minorEastAsia" w:hAnsiTheme="minorEastAsia"/>
            <w:noProof/>
            <w:sz w:val="28"/>
            <w:szCs w:val="28"/>
          </w:rPr>
          <w:t xml:space="preserve"> 10 -</w:t>
        </w:r>
        <w:r w:rsidRPr="00DF428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965093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366C6E09" w14:textId="65F2DF88" w:rsidR="00DF4287" w:rsidRPr="00DF4287" w:rsidRDefault="00DF4287">
        <w:pPr>
          <w:pStyle w:val="a4"/>
          <w:jc w:val="right"/>
          <w:rPr>
            <w:rFonts w:asciiTheme="minorEastAsia" w:hAnsiTheme="minorEastAsia"/>
            <w:sz w:val="28"/>
            <w:szCs w:val="28"/>
          </w:rPr>
        </w:pPr>
        <w:r w:rsidRPr="00DF4287">
          <w:rPr>
            <w:rFonts w:asciiTheme="minorEastAsia" w:hAnsiTheme="minorEastAsia"/>
            <w:sz w:val="28"/>
            <w:szCs w:val="28"/>
          </w:rPr>
          <w:fldChar w:fldCharType="begin"/>
        </w:r>
        <w:r w:rsidRPr="00DF4287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DF4287">
          <w:rPr>
            <w:rFonts w:asciiTheme="minorEastAsia" w:hAnsiTheme="minorEastAsia"/>
            <w:sz w:val="28"/>
            <w:szCs w:val="28"/>
          </w:rPr>
          <w:fldChar w:fldCharType="separate"/>
        </w:r>
        <w:r w:rsidR="006D56E7" w:rsidRPr="006D56E7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6D56E7">
          <w:rPr>
            <w:rFonts w:asciiTheme="minorEastAsia" w:hAnsiTheme="minorEastAsia"/>
            <w:noProof/>
            <w:sz w:val="28"/>
            <w:szCs w:val="28"/>
          </w:rPr>
          <w:t xml:space="preserve"> 9 -</w:t>
        </w:r>
        <w:r w:rsidRPr="00DF4287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A36C75" w14:textId="77777777" w:rsidR="00CC3853" w:rsidRDefault="00CC3853" w:rsidP="00E8498C">
      <w:r>
        <w:separator/>
      </w:r>
    </w:p>
  </w:footnote>
  <w:footnote w:type="continuationSeparator" w:id="0">
    <w:p w14:paraId="4BF6C004" w14:textId="77777777" w:rsidR="00CC3853" w:rsidRDefault="00CC3853" w:rsidP="00E849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C705E2"/>
    <w:multiLevelType w:val="hybridMultilevel"/>
    <w:tmpl w:val="7E7A8D0E"/>
    <w:lvl w:ilvl="0" w:tplc="67268A36">
      <w:start w:val="1"/>
      <w:numFmt w:val="japaneseCounting"/>
      <w:lvlText w:val="第%1条"/>
      <w:lvlJc w:val="left"/>
      <w:pPr>
        <w:ind w:left="3822" w:hanging="420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1">
    <w:nsid w:val="491A3181"/>
    <w:multiLevelType w:val="hybridMultilevel"/>
    <w:tmpl w:val="6D0E4FF2"/>
    <w:lvl w:ilvl="0" w:tplc="D69EE70A">
      <w:start w:val="1"/>
      <w:numFmt w:val="japaneseCounting"/>
      <w:lvlText w:val="第%1章"/>
      <w:lvlJc w:val="left"/>
      <w:pPr>
        <w:ind w:left="1350" w:hanging="135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52647AE"/>
    <w:multiLevelType w:val="hybridMultilevel"/>
    <w:tmpl w:val="2A905C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51F"/>
    <w:rsid w:val="00000DE7"/>
    <w:rsid w:val="000018A2"/>
    <w:rsid w:val="00007D34"/>
    <w:rsid w:val="00014477"/>
    <w:rsid w:val="00024FF0"/>
    <w:rsid w:val="0003148F"/>
    <w:rsid w:val="000428A3"/>
    <w:rsid w:val="000431F7"/>
    <w:rsid w:val="00051250"/>
    <w:rsid w:val="00067BB1"/>
    <w:rsid w:val="00072EA2"/>
    <w:rsid w:val="00074527"/>
    <w:rsid w:val="00075BEB"/>
    <w:rsid w:val="0007733E"/>
    <w:rsid w:val="00083C96"/>
    <w:rsid w:val="0008472F"/>
    <w:rsid w:val="00092170"/>
    <w:rsid w:val="000926F2"/>
    <w:rsid w:val="00094EBF"/>
    <w:rsid w:val="000A07C0"/>
    <w:rsid w:val="000A21FD"/>
    <w:rsid w:val="000B4597"/>
    <w:rsid w:val="000C417B"/>
    <w:rsid w:val="000C5187"/>
    <w:rsid w:val="000D7A57"/>
    <w:rsid w:val="000D7B2C"/>
    <w:rsid w:val="000E00C7"/>
    <w:rsid w:val="000E5C82"/>
    <w:rsid w:val="00105181"/>
    <w:rsid w:val="00111040"/>
    <w:rsid w:val="001215D6"/>
    <w:rsid w:val="0013587A"/>
    <w:rsid w:val="0014765A"/>
    <w:rsid w:val="0016129D"/>
    <w:rsid w:val="00162AFC"/>
    <w:rsid w:val="00175132"/>
    <w:rsid w:val="001767D5"/>
    <w:rsid w:val="00184283"/>
    <w:rsid w:val="00187298"/>
    <w:rsid w:val="00190107"/>
    <w:rsid w:val="00194B3B"/>
    <w:rsid w:val="001B3E04"/>
    <w:rsid w:val="001C5401"/>
    <w:rsid w:val="001D01F3"/>
    <w:rsid w:val="001D5043"/>
    <w:rsid w:val="001D7098"/>
    <w:rsid w:val="001E7560"/>
    <w:rsid w:val="001F091D"/>
    <w:rsid w:val="001F6F79"/>
    <w:rsid w:val="00204E3D"/>
    <w:rsid w:val="00220337"/>
    <w:rsid w:val="00240F77"/>
    <w:rsid w:val="00241DFA"/>
    <w:rsid w:val="002431E5"/>
    <w:rsid w:val="00243914"/>
    <w:rsid w:val="002472B0"/>
    <w:rsid w:val="00251787"/>
    <w:rsid w:val="002565C1"/>
    <w:rsid w:val="002768E3"/>
    <w:rsid w:val="002967A0"/>
    <w:rsid w:val="002D3681"/>
    <w:rsid w:val="002D42FD"/>
    <w:rsid w:val="002E1A28"/>
    <w:rsid w:val="002E53B3"/>
    <w:rsid w:val="002E6CDE"/>
    <w:rsid w:val="002F0746"/>
    <w:rsid w:val="002F1D26"/>
    <w:rsid w:val="00302B35"/>
    <w:rsid w:val="00313C9F"/>
    <w:rsid w:val="00317008"/>
    <w:rsid w:val="00343984"/>
    <w:rsid w:val="0036540D"/>
    <w:rsid w:val="0037179D"/>
    <w:rsid w:val="003764C6"/>
    <w:rsid w:val="00380705"/>
    <w:rsid w:val="00386C24"/>
    <w:rsid w:val="00395331"/>
    <w:rsid w:val="003A1C3E"/>
    <w:rsid w:val="003A40D6"/>
    <w:rsid w:val="003A4BF9"/>
    <w:rsid w:val="003A7A5B"/>
    <w:rsid w:val="003B2340"/>
    <w:rsid w:val="003B4FD7"/>
    <w:rsid w:val="003C0FF3"/>
    <w:rsid w:val="003C38C6"/>
    <w:rsid w:val="003E102D"/>
    <w:rsid w:val="003F40C6"/>
    <w:rsid w:val="0040129E"/>
    <w:rsid w:val="00410888"/>
    <w:rsid w:val="0041541F"/>
    <w:rsid w:val="00423F6C"/>
    <w:rsid w:val="004255F4"/>
    <w:rsid w:val="00427725"/>
    <w:rsid w:val="00434862"/>
    <w:rsid w:val="00437DF4"/>
    <w:rsid w:val="00440536"/>
    <w:rsid w:val="00441F99"/>
    <w:rsid w:val="004437F7"/>
    <w:rsid w:val="00446536"/>
    <w:rsid w:val="00461369"/>
    <w:rsid w:val="00462517"/>
    <w:rsid w:val="00463949"/>
    <w:rsid w:val="00465B01"/>
    <w:rsid w:val="004865F4"/>
    <w:rsid w:val="004873C2"/>
    <w:rsid w:val="0049543A"/>
    <w:rsid w:val="004A1F2A"/>
    <w:rsid w:val="004A72C3"/>
    <w:rsid w:val="004B6FF3"/>
    <w:rsid w:val="004C4D50"/>
    <w:rsid w:val="004C53B2"/>
    <w:rsid w:val="004D4456"/>
    <w:rsid w:val="005108DE"/>
    <w:rsid w:val="00513AF8"/>
    <w:rsid w:val="00532859"/>
    <w:rsid w:val="00541118"/>
    <w:rsid w:val="00543AC5"/>
    <w:rsid w:val="005446CF"/>
    <w:rsid w:val="005466B8"/>
    <w:rsid w:val="005500C9"/>
    <w:rsid w:val="00555786"/>
    <w:rsid w:val="00565426"/>
    <w:rsid w:val="00577464"/>
    <w:rsid w:val="00583700"/>
    <w:rsid w:val="00584A7F"/>
    <w:rsid w:val="00584BD6"/>
    <w:rsid w:val="00593B37"/>
    <w:rsid w:val="005A0F49"/>
    <w:rsid w:val="005A5AE8"/>
    <w:rsid w:val="005C1952"/>
    <w:rsid w:val="005D0545"/>
    <w:rsid w:val="005D61A6"/>
    <w:rsid w:val="005E717B"/>
    <w:rsid w:val="005F204A"/>
    <w:rsid w:val="00610945"/>
    <w:rsid w:val="006163A1"/>
    <w:rsid w:val="00621866"/>
    <w:rsid w:val="0063192F"/>
    <w:rsid w:val="00663BD1"/>
    <w:rsid w:val="006645E0"/>
    <w:rsid w:val="00666D3A"/>
    <w:rsid w:val="00673559"/>
    <w:rsid w:val="00674EC0"/>
    <w:rsid w:val="00680740"/>
    <w:rsid w:val="00683BC8"/>
    <w:rsid w:val="006A5CFA"/>
    <w:rsid w:val="006C3954"/>
    <w:rsid w:val="006C6E07"/>
    <w:rsid w:val="006C7D3D"/>
    <w:rsid w:val="006D56E7"/>
    <w:rsid w:val="006F439E"/>
    <w:rsid w:val="00716851"/>
    <w:rsid w:val="007361AE"/>
    <w:rsid w:val="00750039"/>
    <w:rsid w:val="00777A48"/>
    <w:rsid w:val="007841E3"/>
    <w:rsid w:val="0079021F"/>
    <w:rsid w:val="007A06E2"/>
    <w:rsid w:val="007A4AD8"/>
    <w:rsid w:val="007A7754"/>
    <w:rsid w:val="007B3E90"/>
    <w:rsid w:val="007C4D6E"/>
    <w:rsid w:val="007F085E"/>
    <w:rsid w:val="007F5901"/>
    <w:rsid w:val="00804CDF"/>
    <w:rsid w:val="008053A0"/>
    <w:rsid w:val="00811DDD"/>
    <w:rsid w:val="008223B8"/>
    <w:rsid w:val="00823A99"/>
    <w:rsid w:val="0082776D"/>
    <w:rsid w:val="00833935"/>
    <w:rsid w:val="00835020"/>
    <w:rsid w:val="008356EC"/>
    <w:rsid w:val="00837094"/>
    <w:rsid w:val="00844190"/>
    <w:rsid w:val="00845A41"/>
    <w:rsid w:val="00850A16"/>
    <w:rsid w:val="00852E39"/>
    <w:rsid w:val="00857877"/>
    <w:rsid w:val="00863174"/>
    <w:rsid w:val="0086668A"/>
    <w:rsid w:val="00867997"/>
    <w:rsid w:val="00872828"/>
    <w:rsid w:val="008941B2"/>
    <w:rsid w:val="008A0E70"/>
    <w:rsid w:val="008B0B07"/>
    <w:rsid w:val="008B0F53"/>
    <w:rsid w:val="008B3D0B"/>
    <w:rsid w:val="008B6DD4"/>
    <w:rsid w:val="008C4B80"/>
    <w:rsid w:val="008D7A9B"/>
    <w:rsid w:val="008E2C20"/>
    <w:rsid w:val="008E5BA3"/>
    <w:rsid w:val="008F5298"/>
    <w:rsid w:val="008F616A"/>
    <w:rsid w:val="009134B2"/>
    <w:rsid w:val="00923B81"/>
    <w:rsid w:val="00925DC9"/>
    <w:rsid w:val="009276BB"/>
    <w:rsid w:val="00941E9D"/>
    <w:rsid w:val="009550AE"/>
    <w:rsid w:val="0097168E"/>
    <w:rsid w:val="0097508A"/>
    <w:rsid w:val="00980292"/>
    <w:rsid w:val="0098351F"/>
    <w:rsid w:val="0099242A"/>
    <w:rsid w:val="00993DA4"/>
    <w:rsid w:val="009A2F47"/>
    <w:rsid w:val="009B7F97"/>
    <w:rsid w:val="009C3A22"/>
    <w:rsid w:val="009C4B6A"/>
    <w:rsid w:val="009D5DB3"/>
    <w:rsid w:val="009D7959"/>
    <w:rsid w:val="009D7E07"/>
    <w:rsid w:val="009E27EC"/>
    <w:rsid w:val="009E40DD"/>
    <w:rsid w:val="009F105A"/>
    <w:rsid w:val="009F443B"/>
    <w:rsid w:val="00A06A8E"/>
    <w:rsid w:val="00A1566F"/>
    <w:rsid w:val="00A22831"/>
    <w:rsid w:val="00A22A50"/>
    <w:rsid w:val="00A22A56"/>
    <w:rsid w:val="00A24C4A"/>
    <w:rsid w:val="00A542E2"/>
    <w:rsid w:val="00A65867"/>
    <w:rsid w:val="00A80F2C"/>
    <w:rsid w:val="00AA5ADC"/>
    <w:rsid w:val="00AA635C"/>
    <w:rsid w:val="00AB34C9"/>
    <w:rsid w:val="00AB60BD"/>
    <w:rsid w:val="00AC2DC8"/>
    <w:rsid w:val="00AD3AA6"/>
    <w:rsid w:val="00AE08CD"/>
    <w:rsid w:val="00AE2CC7"/>
    <w:rsid w:val="00AE42EE"/>
    <w:rsid w:val="00AE6398"/>
    <w:rsid w:val="00AF1F0B"/>
    <w:rsid w:val="00B015CE"/>
    <w:rsid w:val="00B35A25"/>
    <w:rsid w:val="00B371DB"/>
    <w:rsid w:val="00B37790"/>
    <w:rsid w:val="00B467F3"/>
    <w:rsid w:val="00B56EA1"/>
    <w:rsid w:val="00B5750D"/>
    <w:rsid w:val="00B71F47"/>
    <w:rsid w:val="00B800A0"/>
    <w:rsid w:val="00BA4206"/>
    <w:rsid w:val="00BA5089"/>
    <w:rsid w:val="00BE1D38"/>
    <w:rsid w:val="00BE52BE"/>
    <w:rsid w:val="00BF0436"/>
    <w:rsid w:val="00BF4FD3"/>
    <w:rsid w:val="00BF5987"/>
    <w:rsid w:val="00BF781A"/>
    <w:rsid w:val="00C45C14"/>
    <w:rsid w:val="00C553CB"/>
    <w:rsid w:val="00C664D1"/>
    <w:rsid w:val="00C71968"/>
    <w:rsid w:val="00C7423A"/>
    <w:rsid w:val="00C809F4"/>
    <w:rsid w:val="00C81621"/>
    <w:rsid w:val="00C91398"/>
    <w:rsid w:val="00C9235F"/>
    <w:rsid w:val="00CA2C99"/>
    <w:rsid w:val="00CA3A5A"/>
    <w:rsid w:val="00CC0DF6"/>
    <w:rsid w:val="00CC3853"/>
    <w:rsid w:val="00CE0AB9"/>
    <w:rsid w:val="00CE278E"/>
    <w:rsid w:val="00CE43F0"/>
    <w:rsid w:val="00D01840"/>
    <w:rsid w:val="00D01B2C"/>
    <w:rsid w:val="00D03614"/>
    <w:rsid w:val="00D15641"/>
    <w:rsid w:val="00D21E44"/>
    <w:rsid w:val="00D24658"/>
    <w:rsid w:val="00D42372"/>
    <w:rsid w:val="00D52C40"/>
    <w:rsid w:val="00D53947"/>
    <w:rsid w:val="00D5703C"/>
    <w:rsid w:val="00D65CF0"/>
    <w:rsid w:val="00D6748A"/>
    <w:rsid w:val="00D90738"/>
    <w:rsid w:val="00D915AB"/>
    <w:rsid w:val="00D94975"/>
    <w:rsid w:val="00D960FC"/>
    <w:rsid w:val="00DA38B5"/>
    <w:rsid w:val="00DA4218"/>
    <w:rsid w:val="00DA64AC"/>
    <w:rsid w:val="00DA6DAC"/>
    <w:rsid w:val="00DC273D"/>
    <w:rsid w:val="00DC6271"/>
    <w:rsid w:val="00DC6A80"/>
    <w:rsid w:val="00DF0EE6"/>
    <w:rsid w:val="00DF172C"/>
    <w:rsid w:val="00DF4287"/>
    <w:rsid w:val="00DF52E8"/>
    <w:rsid w:val="00E40794"/>
    <w:rsid w:val="00E50845"/>
    <w:rsid w:val="00E50B71"/>
    <w:rsid w:val="00E525D1"/>
    <w:rsid w:val="00E625A3"/>
    <w:rsid w:val="00E631D4"/>
    <w:rsid w:val="00E8498C"/>
    <w:rsid w:val="00E86DBA"/>
    <w:rsid w:val="00E90579"/>
    <w:rsid w:val="00EB03B4"/>
    <w:rsid w:val="00EB1FE0"/>
    <w:rsid w:val="00EB7E35"/>
    <w:rsid w:val="00EC5009"/>
    <w:rsid w:val="00ED1769"/>
    <w:rsid w:val="00ED508D"/>
    <w:rsid w:val="00EE6710"/>
    <w:rsid w:val="00F0144A"/>
    <w:rsid w:val="00F052CB"/>
    <w:rsid w:val="00F13D11"/>
    <w:rsid w:val="00F27CE2"/>
    <w:rsid w:val="00F33BA3"/>
    <w:rsid w:val="00F34C8D"/>
    <w:rsid w:val="00F51843"/>
    <w:rsid w:val="00F541D3"/>
    <w:rsid w:val="00F816B7"/>
    <w:rsid w:val="00F821C7"/>
    <w:rsid w:val="00F86DF0"/>
    <w:rsid w:val="00F943E1"/>
    <w:rsid w:val="00F9523C"/>
    <w:rsid w:val="00FA14C7"/>
    <w:rsid w:val="00FB35FF"/>
    <w:rsid w:val="00FB4344"/>
    <w:rsid w:val="00FB578A"/>
    <w:rsid w:val="00FC30C0"/>
    <w:rsid w:val="00FC4AC7"/>
    <w:rsid w:val="00FD29FA"/>
    <w:rsid w:val="00FD3903"/>
    <w:rsid w:val="00FE7579"/>
    <w:rsid w:val="00F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95102"/>
  <w15:chartTrackingRefBased/>
  <w15:docId w15:val="{7BE154B9-3878-465A-B2D9-E514376C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9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84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498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49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498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7B8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7B80"/>
    <w:rPr>
      <w:rFonts w:ascii="Times New Roman" w:eastAsia="宋体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A4BF9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3A4BF9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3A4BF9"/>
    <w:rPr>
      <w:rFonts w:ascii="Times New Roman" w:eastAsia="宋体" w:hAnsi="Times New Roman" w:cs="Times New Roman"/>
      <w:szCs w:val="24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3A4BF9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3A4BF9"/>
    <w:rPr>
      <w:rFonts w:ascii="Times New Roman" w:eastAsia="宋体" w:hAnsi="Times New Roman" w:cs="Times New Roman"/>
      <w:b/>
      <w:bCs/>
      <w:szCs w:val="24"/>
    </w:rPr>
  </w:style>
  <w:style w:type="paragraph" w:styleId="a9">
    <w:name w:val="List Paragraph"/>
    <w:basedOn w:val="a"/>
    <w:uiPriority w:val="34"/>
    <w:qFormat/>
    <w:rsid w:val="000921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50C1A-E2EA-4F63-97E8-BB8568851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10</Pages>
  <Words>651</Words>
  <Characters>3715</Characters>
  <Application>Microsoft Office Word</Application>
  <DocSecurity>0</DocSecurity>
  <Lines>30</Lines>
  <Paragraphs>8</Paragraphs>
  <ScaleCrop>false</ScaleCrop>
  <Company/>
  <LinksUpToDate>false</LinksUpToDate>
  <CharactersWithSpaces>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2020-11-05T03:09:00Z</cp:lastPrinted>
  <dcterms:created xsi:type="dcterms:W3CDTF">2020-11-05T01:33:00Z</dcterms:created>
  <dcterms:modified xsi:type="dcterms:W3CDTF">2020-11-06T10:46:00Z</dcterms:modified>
</cp:coreProperties>
</file>