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33" w:rsidRDefault="00965533" w:rsidP="00965533">
      <w:pPr>
        <w:widowControl/>
        <w:spacing w:line="240" w:lineRule="auto"/>
        <w:ind w:firstLineChars="0" w:firstLine="0"/>
        <w:jc w:val="left"/>
        <w:rPr>
          <w:rFonts w:ascii="黑体" w:eastAsia="黑体" w:hAnsi="黑体" w:cs="宋体"/>
          <w:color w:val="333333"/>
          <w:kern w:val="0"/>
          <w:sz w:val="24"/>
          <w:szCs w:val="24"/>
          <w:shd w:val="clear" w:color="auto" w:fill="FFFFFF"/>
        </w:rPr>
      </w:pPr>
      <w:r>
        <w:rPr>
          <w:rFonts w:ascii="黑体" w:eastAsia="黑体" w:hAnsi="黑体" w:cs="宋体" w:hint="eastAsia"/>
          <w:color w:val="333333"/>
          <w:kern w:val="0"/>
          <w:sz w:val="24"/>
          <w:szCs w:val="24"/>
          <w:shd w:val="clear" w:color="auto" w:fill="FFFFFF"/>
        </w:rPr>
        <w:t>附件6：</w:t>
      </w:r>
    </w:p>
    <w:p w:rsidR="00965533" w:rsidRDefault="00965533" w:rsidP="00965533">
      <w:pPr>
        <w:pStyle w:val="2"/>
        <w:spacing w:before="0" w:after="0"/>
        <w:ind w:firstLineChars="0" w:firstLine="0"/>
        <w:jc w:val="center"/>
        <w:rPr>
          <w:rFonts w:ascii="黑体" w:eastAsia="黑体" w:hAnsi="黑体" w:hint="eastAsia"/>
        </w:rPr>
      </w:pPr>
      <w:bookmarkStart w:id="0" w:name="_Toc47105075"/>
      <w:r>
        <w:rPr>
          <w:rFonts w:ascii="黑体" w:eastAsia="黑体" w:hAnsi="黑体" w:hint="eastAsia"/>
          <w:b w:val="0"/>
          <w:bCs w:val="0"/>
          <w:kern w:val="0"/>
          <w:szCs w:val="30"/>
        </w:rPr>
        <w:t>定期报告常用规则目录</w:t>
      </w:r>
      <w:bookmarkEnd w:id="0"/>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一、法律法规</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1.《公司法》第八章；</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2.《证券法》第七十九条、第八十二条、第八十五条。</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二、中国证监会相关规则</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（一）内容与格式准则</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1.《公开发行证券的公司信息披露内容与格式准则第2号——年度报告的内容与格式》；</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2.《公开发行证券的公司信息披露内容与格式准则第3号——半年度报告的内容与格式》。</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（二）编报规则</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1.《公开发行证券的公司信息披露编报规则第9号——净资产收益率和每股收益的计算及披露》；</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2.《公开发行证券的公司信息披露编报规则第13号——季度报告内容与格式特别规定》；</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3.《公开发行证券的公司信息披露编报规则第14号——非标准审计意见及其涉及事项的处理》；</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4.《公开发行证券的公司信息披露编报规则第15号——财务报告的一般规定》；</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5.《公开发行证券的公司信息披露编报规则第19号——财务信息的更正及相关披露》；</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6.《公开发行证券的公司信息披露编报规则第21号——年度内部控制评价报告</w:t>
      </w:r>
      <w:r>
        <w:rPr>
          <w:rFonts w:hAnsi="微软雅黑" w:cs="宋体" w:hint="eastAsia"/>
          <w:color w:val="333333"/>
          <w:kern w:val="0"/>
          <w:sz w:val="24"/>
          <w:szCs w:val="24"/>
          <w:shd w:val="clear" w:color="auto" w:fill="FFFFFF"/>
        </w:rPr>
        <w:lastRenderedPageBreak/>
        <w:t>的一般规定》。</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（三）中国证监会解释性公告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1.《公开发行证券的公司信息披露解释性公告第1号——非经常性损益》。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（四）会计监管风险提示</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1.《会计监管风险提示第8号——商誉减值》；</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2.《会计监管风险提示第9号——上市公司控股股东资金占用及其审计》。</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（五）其他相关规则</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1.《上市公司信息披露管理办法》第三章；</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2.《上市公司重大资产重组管理办法》第三十五条、第三十八条、第五十九条；</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3.《上市公司治理准则》第九十四条、第九十五条、第九十六条；</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4.《上市公司监管指引第3号——上市公司现金分红》；</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5.《关于进一步落实上市公司现金分红有关事项的通知》；</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6.《关于2012年主板上市公司分类分批实施企业内部控制规范体系的通知》；</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7.《关于规范上市公司与关联方资金往来及上市公司对外担保若干问题的通知》；</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8.《关于发挥资本市场作用服务国家脱贫攻坚战略的意见》。</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二、本所业务规则</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1.《股票上市规则》第六章、第十一章第三节、第四节；</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2.《公司债券上市规则》第三章第一节、第二节；</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3.《上市公司现金分红指引》；</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4.《上市公司内部控制指引》；</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5.《上市公司董事会审计委员会运作指引》；</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lastRenderedPageBreak/>
        <w:t>6.《关于加强上市公司社会责任承担工作暨&lt;上海证券交易所环境信息披露指引&gt;的通知》；</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7.《临时公告格式指引——第二十七号 业绩预增预减公告》；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8.《临时公告格式指引——第二十八号 业绩预盈预亏公告》；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9.《临时公告格式指引——第三十一号 上市公司业绩快报公告》；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10.《临时公告格式指引——第三十号 上市公司业绩预告更正公告》；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11.《临时公告格式指引——第三十二号 上市公司业绩快报更正公告》；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12.《临时公告格式指引——第二十九号 上市公司利润分配、公积金转增股本方案公告》；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13.《临时公告格式指引——第九十五号 上市公司董事会审议高送转公告》；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14.《临时公告格式指引——第十二号 上市公司权益分派实施公告》；</w:t>
      </w:r>
    </w:p>
    <w:p w:rsidR="00965533" w:rsidRDefault="00965533" w:rsidP="00965533">
      <w:pPr>
        <w:ind w:firstLineChars="0" w:firstLine="0"/>
        <w:jc w:val="left"/>
        <w:rPr>
          <w:rFonts w:hAnsi="微软雅黑" w:cs="宋体" w:hint="eastAsia"/>
          <w:color w:val="333333"/>
          <w:kern w:val="0"/>
          <w:sz w:val="24"/>
          <w:szCs w:val="24"/>
          <w:shd w:val="clear" w:color="auto" w:fill="FFFFFF"/>
        </w:rPr>
      </w:pPr>
      <w:r>
        <w:rPr>
          <w:rFonts w:hAnsi="微软雅黑" w:cs="宋体" w:hint="eastAsia"/>
          <w:color w:val="333333"/>
          <w:kern w:val="0"/>
          <w:sz w:val="24"/>
          <w:szCs w:val="24"/>
          <w:shd w:val="clear" w:color="auto" w:fill="FFFFFF"/>
        </w:rPr>
        <w:t>15.《临时公告格式指引——第九十三号 会计差错更正、会计政策或会计估计变更》；</w:t>
      </w:r>
    </w:p>
    <w:p w:rsidR="00ED3C05" w:rsidRPr="00965533" w:rsidRDefault="00965533" w:rsidP="00965533">
      <w:pPr>
        <w:ind w:firstLineChars="0" w:firstLine="0"/>
        <w:jc w:val="left"/>
        <w:rPr>
          <w:rFonts w:hAnsi="微软雅黑" w:cs="宋体"/>
          <w:color w:val="333333"/>
          <w:kern w:val="0"/>
          <w:sz w:val="24"/>
          <w:szCs w:val="24"/>
          <w:shd w:val="clear" w:color="auto" w:fill="FFFFFF"/>
        </w:rPr>
      </w:pPr>
      <w:r>
        <w:rPr>
          <w:rFonts w:hAnsi="微软雅黑" w:cs="宋体" w:hint="eastAsia"/>
          <w:color w:val="333333"/>
          <w:kern w:val="0"/>
          <w:sz w:val="24"/>
          <w:szCs w:val="24"/>
          <w:shd w:val="clear" w:color="auto" w:fill="FFFFFF"/>
        </w:rPr>
        <w:t>16.《临时公告格式指引——第一百号 上市公司续聘/变更会计师事务所公告》。</w:t>
      </w:r>
      <w:bookmarkStart w:id="1" w:name="_GoBack"/>
      <w:bookmarkEnd w:id="1"/>
    </w:p>
    <w:sectPr w:rsidR="00ED3C05" w:rsidRPr="00965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44"/>
    <w:rsid w:val="000D282A"/>
    <w:rsid w:val="00965533"/>
    <w:rsid w:val="009E3D39"/>
    <w:rsid w:val="00CB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6EE3"/>
  <w15:chartTrackingRefBased/>
  <w15:docId w15:val="{B91133A5-7CF5-4168-9B01-21402EDB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33"/>
    <w:pPr>
      <w:widowControl w:val="0"/>
      <w:spacing w:line="600" w:lineRule="exact"/>
      <w:ind w:firstLineChars="200" w:firstLine="200"/>
      <w:jc w:val="both"/>
    </w:pPr>
    <w:rPr>
      <w:rFonts w:ascii="仿宋_GB2312" w:eastAsia="仿宋_GB2312" w:hAnsi="仿宋_GB2312" w:cs="Times New Roman"/>
      <w:sz w:val="30"/>
    </w:rPr>
  </w:style>
  <w:style w:type="paragraph" w:styleId="2">
    <w:name w:val="heading 2"/>
    <w:basedOn w:val="a"/>
    <w:next w:val="a"/>
    <w:link w:val="20"/>
    <w:uiPriority w:val="9"/>
    <w:semiHidden/>
    <w:unhideWhenUsed/>
    <w:qFormat/>
    <w:rsid w:val="00965533"/>
    <w:pPr>
      <w:keepNext/>
      <w:keepLines/>
      <w:spacing w:before="260" w:after="260" w:line="416" w:lineRule="atLeast"/>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965533"/>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52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Mimy</dc:creator>
  <cp:keywords/>
  <dc:description/>
  <cp:lastModifiedBy>Mimy</cp:lastModifiedBy>
  <cp:revision>2</cp:revision>
  <dcterms:created xsi:type="dcterms:W3CDTF">2020-08-18T13:16:00Z</dcterms:created>
  <dcterms:modified xsi:type="dcterms:W3CDTF">2020-08-18T13:16:00Z</dcterms:modified>
</cp:coreProperties>
</file>