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7FE" w:rsidRPr="0022731A" w:rsidRDefault="00C367FE" w:rsidP="00C367FE">
      <w:pPr>
        <w:ind w:firstLineChars="0" w:firstLine="0"/>
        <w:rPr>
          <w:rFonts w:ascii="黑体" w:eastAsia="黑体" w:hAnsi="黑体"/>
          <w:sz w:val="28"/>
          <w:szCs w:val="28"/>
        </w:rPr>
      </w:pPr>
      <w:r w:rsidRPr="0022731A">
        <w:rPr>
          <w:rFonts w:ascii="黑体" w:eastAsia="黑体" w:hAnsi="黑体" w:cs="宋体" w:hint="eastAsia"/>
          <w:color w:val="333333"/>
          <w:kern w:val="0"/>
          <w:sz w:val="24"/>
          <w:szCs w:val="24"/>
          <w:shd w:val="clear" w:color="auto" w:fill="FFFFFF"/>
        </w:rPr>
        <w:t>附件2：</w:t>
      </w:r>
      <w:r w:rsidRPr="0022731A">
        <w:rPr>
          <w:rFonts w:ascii="黑体" w:eastAsia="黑体" w:hAnsi="黑体" w:hint="eastAsia"/>
          <w:sz w:val="28"/>
          <w:szCs w:val="28"/>
        </w:rPr>
        <w:t xml:space="preserve">              </w:t>
      </w:r>
    </w:p>
    <w:p w:rsidR="00C367FE" w:rsidRPr="0022731A" w:rsidRDefault="00C367FE" w:rsidP="00C367FE">
      <w:pPr>
        <w:pStyle w:val="2"/>
        <w:spacing w:before="0" w:after="0"/>
        <w:ind w:firstLineChars="0" w:firstLine="0"/>
        <w:jc w:val="center"/>
        <w:rPr>
          <w:rFonts w:ascii="黑体" w:eastAsia="黑体" w:hAnsi="黑体"/>
          <w:szCs w:val="30"/>
        </w:rPr>
      </w:pPr>
      <w:bookmarkStart w:id="0" w:name="_Toc47105071"/>
      <w:r w:rsidRPr="0022731A">
        <w:rPr>
          <w:rFonts w:ascii="黑体" w:eastAsia="黑体" w:hAnsi="黑体" w:hint="eastAsia"/>
          <w:szCs w:val="30"/>
        </w:rPr>
        <w:t>上市公司</w:t>
      </w:r>
      <w:r w:rsidR="00DD06EC">
        <w:rPr>
          <w:rFonts w:ascii="黑体" w:eastAsia="黑体" w:hAnsi="黑体" w:hint="eastAsia"/>
          <w:szCs w:val="30"/>
        </w:rPr>
        <w:t>20XX</w:t>
      </w:r>
      <w:r w:rsidRPr="0022731A">
        <w:rPr>
          <w:rFonts w:ascii="黑体" w:eastAsia="黑体" w:hAnsi="黑体" w:hint="eastAsia"/>
          <w:szCs w:val="30"/>
        </w:rPr>
        <w:t>年度非经营性资金占用及其他关联资金往来情况汇总表</w:t>
      </w:r>
      <w:bookmarkEnd w:id="0"/>
    </w:p>
    <w:p w:rsidR="00C367FE" w:rsidRPr="0022731A" w:rsidRDefault="00C367FE" w:rsidP="00C367FE">
      <w:pPr>
        <w:spacing w:line="240" w:lineRule="auto"/>
        <w:ind w:firstLine="440"/>
        <w:jc w:val="right"/>
        <w:rPr>
          <w:sz w:val="22"/>
        </w:rPr>
      </w:pPr>
      <w:r w:rsidRPr="0022731A">
        <w:rPr>
          <w:rFonts w:hint="eastAsia"/>
          <w:sz w:val="22"/>
        </w:rPr>
        <w:t>单位：万元</w:t>
      </w:r>
    </w:p>
    <w:tbl>
      <w:tblPr>
        <w:tblW w:w="14013" w:type="dxa"/>
        <w:tblLayout w:type="fixed"/>
        <w:tblCellMar>
          <w:left w:w="0" w:type="dxa"/>
          <w:right w:w="0" w:type="dxa"/>
        </w:tblCellMar>
        <w:tblLook w:val="0000" w:firstRow="0" w:lastRow="0" w:firstColumn="0" w:lastColumn="0" w:noHBand="0" w:noVBand="0"/>
      </w:tblPr>
      <w:tblGrid>
        <w:gridCol w:w="1815"/>
        <w:gridCol w:w="925"/>
        <w:gridCol w:w="1235"/>
        <w:gridCol w:w="1080"/>
        <w:gridCol w:w="1718"/>
        <w:gridCol w:w="1460"/>
        <w:gridCol w:w="1260"/>
        <w:gridCol w:w="1260"/>
        <w:gridCol w:w="920"/>
        <w:gridCol w:w="720"/>
        <w:gridCol w:w="1620"/>
      </w:tblGrid>
      <w:tr w:rsidR="00C367FE" w:rsidRPr="0022731A" w:rsidTr="00DD06EC">
        <w:trPr>
          <w:trHeight w:val="855"/>
        </w:trPr>
        <w:tc>
          <w:tcPr>
            <w:tcW w:w="1815" w:type="dxa"/>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b/>
                <w:sz w:val="22"/>
                <w:szCs w:val="24"/>
              </w:rPr>
            </w:pPr>
            <w:r w:rsidRPr="0022731A">
              <w:rPr>
                <w:rFonts w:hAnsi="宋体" w:hint="eastAsia"/>
                <w:b/>
                <w:sz w:val="22"/>
                <w:szCs w:val="24"/>
              </w:rPr>
              <w:t>非经营性资金占用</w:t>
            </w:r>
          </w:p>
        </w:tc>
        <w:tc>
          <w:tcPr>
            <w:tcW w:w="925" w:type="dxa"/>
            <w:tcBorders>
              <w:top w:val="single" w:sz="8" w:space="0" w:color="auto"/>
              <w:left w:val="nil"/>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r w:rsidRPr="0022731A">
              <w:rPr>
                <w:rFonts w:hAnsi="宋体" w:hint="eastAsia"/>
                <w:sz w:val="22"/>
                <w:szCs w:val="24"/>
              </w:rPr>
              <w:t>资金占用方名称</w:t>
            </w:r>
          </w:p>
        </w:tc>
        <w:tc>
          <w:tcPr>
            <w:tcW w:w="1235" w:type="dxa"/>
            <w:tcBorders>
              <w:top w:val="single" w:sz="8" w:space="0" w:color="auto"/>
              <w:left w:val="nil"/>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r w:rsidRPr="0022731A">
              <w:rPr>
                <w:rFonts w:hAnsi="宋体" w:hint="eastAsia"/>
                <w:sz w:val="22"/>
                <w:szCs w:val="24"/>
              </w:rPr>
              <w:t>占用方与上市公司的关联关系</w:t>
            </w:r>
          </w:p>
        </w:tc>
        <w:tc>
          <w:tcPr>
            <w:tcW w:w="1080" w:type="dxa"/>
            <w:tcBorders>
              <w:top w:val="single" w:sz="8" w:space="0" w:color="auto"/>
              <w:left w:val="nil"/>
              <w:bottom w:val="single" w:sz="4" w:space="0" w:color="auto"/>
              <w:right w:val="single" w:sz="4" w:space="0" w:color="auto"/>
            </w:tcBorders>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r w:rsidRPr="0022731A">
              <w:rPr>
                <w:rFonts w:hAnsi="宋体" w:hint="eastAsia"/>
                <w:sz w:val="22"/>
                <w:szCs w:val="24"/>
              </w:rPr>
              <w:t>上市公司核算的会计科目</w:t>
            </w:r>
          </w:p>
        </w:tc>
        <w:tc>
          <w:tcPr>
            <w:tcW w:w="1718" w:type="dxa"/>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C367FE" w:rsidRPr="0022731A" w:rsidRDefault="00DD06EC" w:rsidP="00DD06EC">
            <w:pPr>
              <w:adjustRightInd w:val="0"/>
              <w:snapToGrid w:val="0"/>
              <w:spacing w:line="240" w:lineRule="auto"/>
              <w:ind w:firstLineChars="0" w:firstLine="0"/>
              <w:rPr>
                <w:rFonts w:hAnsi="宋体" w:cs="Arial Unicode MS"/>
                <w:sz w:val="22"/>
                <w:szCs w:val="24"/>
              </w:rPr>
            </w:pPr>
            <w:r>
              <w:rPr>
                <w:rFonts w:hAnsi="宋体" w:hint="eastAsia"/>
                <w:sz w:val="22"/>
                <w:szCs w:val="24"/>
              </w:rPr>
              <w:t>20XX</w:t>
            </w:r>
            <w:r w:rsidR="00C367FE" w:rsidRPr="0022731A">
              <w:rPr>
                <w:rFonts w:hAnsi="宋体"/>
                <w:sz w:val="22"/>
                <w:szCs w:val="24"/>
              </w:rPr>
              <w:t>年期初占用资金余额</w:t>
            </w:r>
          </w:p>
        </w:tc>
        <w:tc>
          <w:tcPr>
            <w:tcW w:w="1460" w:type="dxa"/>
            <w:tcBorders>
              <w:top w:val="single" w:sz="8" w:space="0" w:color="auto"/>
              <w:left w:val="nil"/>
              <w:bottom w:val="single" w:sz="4" w:space="0" w:color="auto"/>
              <w:right w:val="single" w:sz="4" w:space="0" w:color="auto"/>
            </w:tcBorders>
            <w:tcMar>
              <w:top w:w="15" w:type="dxa"/>
              <w:left w:w="15" w:type="dxa"/>
              <w:bottom w:w="0" w:type="dxa"/>
              <w:right w:w="15" w:type="dxa"/>
            </w:tcMar>
            <w:vAlign w:val="bottom"/>
          </w:tcPr>
          <w:p w:rsidR="00C367FE" w:rsidRPr="0022731A" w:rsidRDefault="00DD06EC" w:rsidP="00DD06EC">
            <w:pPr>
              <w:adjustRightInd w:val="0"/>
              <w:snapToGrid w:val="0"/>
              <w:spacing w:line="240" w:lineRule="auto"/>
              <w:ind w:firstLineChars="0" w:firstLine="0"/>
              <w:rPr>
                <w:rFonts w:hAnsi="宋体" w:cs="Arial Unicode MS"/>
                <w:sz w:val="22"/>
                <w:szCs w:val="24"/>
              </w:rPr>
            </w:pPr>
            <w:r>
              <w:rPr>
                <w:rFonts w:hAnsi="宋体" w:hint="eastAsia"/>
                <w:sz w:val="22"/>
                <w:szCs w:val="24"/>
              </w:rPr>
              <w:t>20XX</w:t>
            </w:r>
            <w:r w:rsidR="00C367FE" w:rsidRPr="0022731A">
              <w:rPr>
                <w:rFonts w:hAnsi="宋体"/>
                <w:sz w:val="22"/>
                <w:szCs w:val="24"/>
              </w:rPr>
              <w:t>年度占用累计发生金额</w:t>
            </w:r>
            <w:r w:rsidR="00C367FE" w:rsidRPr="0022731A">
              <w:rPr>
                <w:rFonts w:hAnsi="宋体" w:hint="eastAsia"/>
                <w:sz w:val="22"/>
                <w:szCs w:val="24"/>
              </w:rPr>
              <w:t>（不含利息）</w:t>
            </w:r>
          </w:p>
        </w:tc>
        <w:tc>
          <w:tcPr>
            <w:tcW w:w="1260" w:type="dxa"/>
            <w:tcBorders>
              <w:top w:val="single" w:sz="8" w:space="0" w:color="auto"/>
              <w:left w:val="nil"/>
              <w:bottom w:val="single" w:sz="4" w:space="0" w:color="auto"/>
              <w:right w:val="single" w:sz="4" w:space="0" w:color="auto"/>
            </w:tcBorders>
            <w:vAlign w:val="bottom"/>
          </w:tcPr>
          <w:p w:rsidR="00C367FE" w:rsidRPr="0022731A" w:rsidRDefault="00DD06EC" w:rsidP="00DD06EC">
            <w:pPr>
              <w:adjustRightInd w:val="0"/>
              <w:snapToGrid w:val="0"/>
              <w:spacing w:line="240" w:lineRule="auto"/>
              <w:ind w:firstLineChars="0" w:firstLine="0"/>
              <w:rPr>
                <w:rFonts w:hAnsi="宋体"/>
                <w:sz w:val="22"/>
                <w:szCs w:val="24"/>
              </w:rPr>
            </w:pPr>
            <w:r>
              <w:rPr>
                <w:rFonts w:hAnsi="宋体" w:hint="eastAsia"/>
                <w:sz w:val="22"/>
                <w:szCs w:val="24"/>
              </w:rPr>
              <w:t>20XX</w:t>
            </w:r>
            <w:r w:rsidR="00C367FE" w:rsidRPr="0022731A">
              <w:rPr>
                <w:rFonts w:hAnsi="宋体" w:hint="eastAsia"/>
                <w:sz w:val="22"/>
                <w:szCs w:val="24"/>
              </w:rPr>
              <w:t>年度占用资金的利息(如有)</w:t>
            </w:r>
          </w:p>
        </w:tc>
        <w:tc>
          <w:tcPr>
            <w:tcW w:w="1260" w:type="dxa"/>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C367FE" w:rsidRPr="0022731A" w:rsidRDefault="00DD06EC" w:rsidP="00DD06EC">
            <w:pPr>
              <w:adjustRightInd w:val="0"/>
              <w:snapToGrid w:val="0"/>
              <w:spacing w:line="240" w:lineRule="auto"/>
              <w:ind w:firstLineChars="0" w:firstLine="0"/>
              <w:rPr>
                <w:rFonts w:hAnsi="宋体" w:cs="Arial Unicode MS"/>
                <w:sz w:val="22"/>
                <w:szCs w:val="24"/>
              </w:rPr>
            </w:pPr>
            <w:r>
              <w:rPr>
                <w:rFonts w:hAnsi="宋体" w:hint="eastAsia"/>
                <w:sz w:val="22"/>
                <w:szCs w:val="24"/>
              </w:rPr>
              <w:t>20XX</w:t>
            </w:r>
            <w:r w:rsidR="00C367FE" w:rsidRPr="0022731A">
              <w:rPr>
                <w:rFonts w:hAnsi="宋体"/>
                <w:sz w:val="22"/>
                <w:szCs w:val="24"/>
              </w:rPr>
              <w:t>年度偿还累计发生金额</w:t>
            </w:r>
          </w:p>
        </w:tc>
        <w:tc>
          <w:tcPr>
            <w:tcW w:w="920" w:type="dxa"/>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C367FE" w:rsidRPr="0022731A" w:rsidRDefault="00DD06EC" w:rsidP="00DD06EC">
            <w:pPr>
              <w:adjustRightInd w:val="0"/>
              <w:snapToGrid w:val="0"/>
              <w:spacing w:line="240" w:lineRule="auto"/>
              <w:ind w:firstLineChars="0" w:firstLine="0"/>
              <w:rPr>
                <w:rFonts w:hAnsi="宋体" w:cs="Arial Unicode MS"/>
                <w:sz w:val="22"/>
                <w:szCs w:val="24"/>
              </w:rPr>
            </w:pPr>
            <w:r>
              <w:rPr>
                <w:rFonts w:hAnsi="宋体" w:hint="eastAsia"/>
                <w:sz w:val="22"/>
                <w:szCs w:val="24"/>
              </w:rPr>
              <w:t>20XX</w:t>
            </w:r>
            <w:r w:rsidR="00C367FE" w:rsidRPr="0022731A">
              <w:rPr>
                <w:rFonts w:hAnsi="宋体"/>
                <w:sz w:val="22"/>
                <w:szCs w:val="24"/>
              </w:rPr>
              <w:t>年期末占用资金余额</w:t>
            </w:r>
          </w:p>
        </w:tc>
        <w:tc>
          <w:tcPr>
            <w:tcW w:w="720" w:type="dxa"/>
            <w:tcBorders>
              <w:top w:val="single" w:sz="8" w:space="0" w:color="auto"/>
              <w:left w:val="nil"/>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r w:rsidRPr="0022731A">
              <w:rPr>
                <w:rFonts w:hAnsi="宋体" w:hint="eastAsia"/>
                <w:sz w:val="22"/>
                <w:szCs w:val="24"/>
              </w:rPr>
              <w:t>占用形成原因</w:t>
            </w:r>
          </w:p>
        </w:tc>
        <w:tc>
          <w:tcPr>
            <w:tcW w:w="1620" w:type="dxa"/>
            <w:tcBorders>
              <w:top w:val="single" w:sz="8" w:space="0" w:color="auto"/>
              <w:left w:val="nil"/>
              <w:bottom w:val="single" w:sz="4" w:space="0" w:color="auto"/>
              <w:right w:val="single" w:sz="8"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r w:rsidRPr="0022731A">
              <w:rPr>
                <w:rFonts w:hAnsi="宋体" w:hint="eastAsia"/>
                <w:sz w:val="22"/>
                <w:szCs w:val="24"/>
              </w:rPr>
              <w:t>占用性质</w:t>
            </w:r>
          </w:p>
        </w:tc>
      </w:tr>
      <w:tr w:rsidR="00C367FE" w:rsidRPr="0022731A" w:rsidTr="00DD06EC">
        <w:trPr>
          <w:cantSplit/>
          <w:trHeight w:val="285"/>
        </w:trPr>
        <w:tc>
          <w:tcPr>
            <w:tcW w:w="1815" w:type="dxa"/>
            <w:vMerge w:val="restart"/>
            <w:tcBorders>
              <w:top w:val="nil"/>
              <w:left w:val="single" w:sz="8" w:space="0" w:color="auto"/>
              <w:right w:val="single" w:sz="4" w:space="0" w:color="auto"/>
            </w:tcBorders>
            <w:tcMar>
              <w:top w:w="15" w:type="dxa"/>
              <w:left w:w="15" w:type="dxa"/>
              <w:bottom w:w="0" w:type="dxa"/>
              <w:right w:w="15" w:type="dxa"/>
            </w:tcMar>
          </w:tcPr>
          <w:p w:rsidR="00C367FE" w:rsidRPr="0022731A" w:rsidRDefault="00C367FE" w:rsidP="00DD06EC">
            <w:pPr>
              <w:adjustRightInd w:val="0"/>
              <w:snapToGrid w:val="0"/>
              <w:spacing w:line="240" w:lineRule="auto"/>
              <w:ind w:firstLineChars="0" w:firstLine="0"/>
              <w:rPr>
                <w:rFonts w:hAnsi="宋体" w:cs="Arial Unicode MS"/>
                <w:sz w:val="22"/>
                <w:szCs w:val="24"/>
              </w:rPr>
            </w:pPr>
            <w:r w:rsidRPr="0022731A">
              <w:rPr>
                <w:rFonts w:hAnsi="宋体" w:hint="eastAsia"/>
                <w:sz w:val="22"/>
                <w:szCs w:val="24"/>
              </w:rPr>
              <w:t>现大股东及其附属企业</w:t>
            </w:r>
          </w:p>
        </w:tc>
        <w:tc>
          <w:tcPr>
            <w:tcW w:w="925" w:type="dxa"/>
            <w:tcBorders>
              <w:top w:val="nil"/>
              <w:left w:val="nil"/>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235" w:type="dxa"/>
            <w:tcBorders>
              <w:top w:val="nil"/>
              <w:left w:val="nil"/>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080" w:type="dxa"/>
            <w:tcBorders>
              <w:top w:val="single" w:sz="4" w:space="0" w:color="auto"/>
              <w:left w:val="nil"/>
              <w:bottom w:val="single" w:sz="4" w:space="0" w:color="auto"/>
              <w:right w:val="single" w:sz="4" w:space="0" w:color="auto"/>
            </w:tcBorders>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7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260" w:type="dxa"/>
            <w:tcBorders>
              <w:top w:val="single" w:sz="4" w:space="0" w:color="auto"/>
              <w:left w:val="nil"/>
              <w:bottom w:val="single" w:sz="4" w:space="0" w:color="auto"/>
              <w:right w:val="single" w:sz="4" w:space="0" w:color="auto"/>
            </w:tcBorders>
          </w:tcPr>
          <w:p w:rsidR="00C367FE" w:rsidRPr="0022731A" w:rsidRDefault="00C367FE" w:rsidP="00DD06EC">
            <w:pPr>
              <w:adjustRightInd w:val="0"/>
              <w:snapToGrid w:val="0"/>
              <w:spacing w:line="240" w:lineRule="auto"/>
              <w:ind w:firstLineChars="0" w:firstLine="0"/>
              <w:rPr>
                <w:rFonts w:hAnsi="宋体"/>
                <w:sz w:val="22"/>
                <w:szCs w:val="24"/>
              </w:rPr>
            </w:pPr>
          </w:p>
        </w:tc>
        <w:tc>
          <w:tcPr>
            <w:tcW w:w="12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r w:rsidRPr="0022731A">
              <w:rPr>
                <w:rFonts w:hAnsi="宋体" w:hint="eastAsia"/>
                <w:sz w:val="22"/>
                <w:szCs w:val="24"/>
              </w:rPr>
              <w:t>非经营性占用</w:t>
            </w:r>
          </w:p>
        </w:tc>
      </w:tr>
      <w:tr w:rsidR="00C367FE" w:rsidRPr="0022731A" w:rsidTr="00DD06EC">
        <w:trPr>
          <w:cantSplit/>
          <w:trHeight w:val="285"/>
        </w:trPr>
        <w:tc>
          <w:tcPr>
            <w:tcW w:w="1815" w:type="dxa"/>
            <w:vMerge/>
            <w:tcBorders>
              <w:left w:val="single" w:sz="8" w:space="0" w:color="auto"/>
              <w:bottom w:val="single" w:sz="4" w:space="0" w:color="auto"/>
              <w:right w:val="single" w:sz="4" w:space="0" w:color="auto"/>
            </w:tcBorders>
            <w:vAlign w:val="center"/>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925" w:type="dxa"/>
            <w:tcBorders>
              <w:top w:val="nil"/>
              <w:left w:val="nil"/>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235" w:type="dxa"/>
            <w:tcBorders>
              <w:top w:val="nil"/>
              <w:left w:val="nil"/>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080" w:type="dxa"/>
            <w:tcBorders>
              <w:top w:val="single" w:sz="4" w:space="0" w:color="auto"/>
              <w:left w:val="nil"/>
              <w:bottom w:val="single" w:sz="4" w:space="0" w:color="auto"/>
              <w:right w:val="single" w:sz="4" w:space="0" w:color="auto"/>
            </w:tcBorders>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7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260" w:type="dxa"/>
            <w:tcBorders>
              <w:top w:val="single" w:sz="4" w:space="0" w:color="auto"/>
              <w:left w:val="nil"/>
              <w:bottom w:val="single" w:sz="4" w:space="0" w:color="auto"/>
              <w:right w:val="single" w:sz="4" w:space="0" w:color="auto"/>
            </w:tcBorders>
          </w:tcPr>
          <w:p w:rsidR="00C367FE" w:rsidRPr="0022731A" w:rsidRDefault="00C367FE" w:rsidP="00DD06EC">
            <w:pPr>
              <w:adjustRightInd w:val="0"/>
              <w:snapToGrid w:val="0"/>
              <w:spacing w:line="240" w:lineRule="auto"/>
              <w:ind w:firstLineChars="0" w:firstLine="0"/>
              <w:rPr>
                <w:rFonts w:hAnsi="宋体"/>
                <w:sz w:val="22"/>
                <w:szCs w:val="24"/>
              </w:rPr>
            </w:pPr>
          </w:p>
        </w:tc>
        <w:tc>
          <w:tcPr>
            <w:tcW w:w="12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r w:rsidRPr="0022731A">
              <w:rPr>
                <w:rFonts w:hAnsi="宋体" w:hint="eastAsia"/>
                <w:sz w:val="22"/>
                <w:szCs w:val="24"/>
              </w:rPr>
              <w:t>非经营性占用</w:t>
            </w:r>
          </w:p>
        </w:tc>
      </w:tr>
      <w:tr w:rsidR="00C367FE" w:rsidRPr="0022731A" w:rsidTr="00DD06EC">
        <w:trPr>
          <w:cantSplit/>
          <w:trHeight w:val="285"/>
        </w:trPr>
        <w:tc>
          <w:tcPr>
            <w:tcW w:w="1815"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C367FE" w:rsidRPr="0022731A" w:rsidRDefault="00C367FE" w:rsidP="00DD06EC">
            <w:pPr>
              <w:adjustRightInd w:val="0"/>
              <w:snapToGrid w:val="0"/>
              <w:spacing w:line="240" w:lineRule="auto"/>
              <w:ind w:firstLineChars="0" w:firstLine="0"/>
              <w:jc w:val="center"/>
              <w:rPr>
                <w:rFonts w:hAnsi="宋体"/>
                <w:sz w:val="22"/>
                <w:szCs w:val="24"/>
              </w:rPr>
            </w:pPr>
            <w:r w:rsidRPr="0022731A">
              <w:rPr>
                <w:rFonts w:hAnsi="宋体" w:hint="eastAsia"/>
                <w:b/>
                <w:bCs/>
                <w:sz w:val="22"/>
                <w:szCs w:val="24"/>
              </w:rPr>
              <w:t>小计</w:t>
            </w:r>
          </w:p>
        </w:tc>
        <w:tc>
          <w:tcPr>
            <w:tcW w:w="9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jc w:val="center"/>
              <w:rPr>
                <w:rFonts w:hAnsi="宋体" w:cs="Arial Unicode MS"/>
                <w:sz w:val="22"/>
                <w:szCs w:val="24"/>
              </w:rPr>
            </w:pPr>
            <w:r w:rsidRPr="0022731A">
              <w:rPr>
                <w:rFonts w:hAnsi="宋体"/>
                <w:sz w:val="22"/>
                <w:szCs w:val="24"/>
              </w:rPr>
              <w:t>-</w:t>
            </w:r>
          </w:p>
        </w:tc>
        <w:tc>
          <w:tcPr>
            <w:tcW w:w="12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jc w:val="center"/>
              <w:rPr>
                <w:rFonts w:hAnsi="宋体" w:cs="Arial Unicode MS"/>
                <w:sz w:val="22"/>
                <w:szCs w:val="24"/>
              </w:rPr>
            </w:pPr>
            <w:r w:rsidRPr="0022731A">
              <w:rPr>
                <w:rFonts w:hAnsi="宋体"/>
                <w:sz w:val="22"/>
                <w:szCs w:val="24"/>
              </w:rPr>
              <w:t>-</w:t>
            </w:r>
          </w:p>
        </w:tc>
        <w:tc>
          <w:tcPr>
            <w:tcW w:w="1080" w:type="dxa"/>
            <w:tcBorders>
              <w:top w:val="single" w:sz="4" w:space="0" w:color="auto"/>
              <w:left w:val="nil"/>
              <w:bottom w:val="single" w:sz="4" w:space="0" w:color="auto"/>
              <w:right w:val="single" w:sz="4" w:space="0" w:color="auto"/>
            </w:tcBorders>
            <w:vAlign w:val="bottom"/>
          </w:tcPr>
          <w:p w:rsidR="00C367FE" w:rsidRPr="0022731A" w:rsidRDefault="00C367FE" w:rsidP="00DD06EC">
            <w:pPr>
              <w:adjustRightInd w:val="0"/>
              <w:snapToGrid w:val="0"/>
              <w:spacing w:line="240" w:lineRule="auto"/>
              <w:ind w:firstLineChars="0" w:firstLine="0"/>
              <w:jc w:val="center"/>
              <w:rPr>
                <w:rFonts w:hAnsi="宋体" w:cs="Arial Unicode MS"/>
                <w:sz w:val="22"/>
                <w:szCs w:val="24"/>
              </w:rPr>
            </w:pPr>
            <w:r w:rsidRPr="0022731A">
              <w:rPr>
                <w:rFonts w:hAnsi="宋体"/>
                <w:sz w:val="22"/>
                <w:szCs w:val="24"/>
              </w:rPr>
              <w:t>-</w:t>
            </w:r>
          </w:p>
        </w:tc>
        <w:tc>
          <w:tcPr>
            <w:tcW w:w="17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14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1260" w:type="dxa"/>
            <w:tcBorders>
              <w:top w:val="single" w:sz="4" w:space="0" w:color="auto"/>
              <w:left w:val="nil"/>
              <w:bottom w:val="single" w:sz="4" w:space="0" w:color="auto"/>
              <w:right w:val="single" w:sz="4" w:space="0" w:color="auto"/>
            </w:tcBorders>
          </w:tcPr>
          <w:p w:rsidR="00C367FE" w:rsidRPr="0022731A" w:rsidRDefault="00C367FE" w:rsidP="00DD06EC">
            <w:pPr>
              <w:adjustRightInd w:val="0"/>
              <w:snapToGrid w:val="0"/>
              <w:spacing w:line="240" w:lineRule="auto"/>
              <w:ind w:firstLineChars="0" w:firstLine="0"/>
              <w:rPr>
                <w:rFonts w:hAnsi="宋体"/>
                <w:sz w:val="22"/>
                <w:szCs w:val="24"/>
              </w:rPr>
            </w:pPr>
          </w:p>
        </w:tc>
        <w:tc>
          <w:tcPr>
            <w:tcW w:w="12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9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jc w:val="center"/>
              <w:rPr>
                <w:rFonts w:hAnsi="宋体"/>
                <w:sz w:val="22"/>
                <w:szCs w:val="24"/>
              </w:rPr>
            </w:pPr>
            <w:r w:rsidRPr="0022731A">
              <w:rPr>
                <w:rFonts w:hAnsi="宋体"/>
                <w:sz w:val="22"/>
                <w:szCs w:val="24"/>
              </w:rPr>
              <w:t>-</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jc w:val="center"/>
              <w:rPr>
                <w:rFonts w:hAnsi="宋体"/>
                <w:sz w:val="22"/>
                <w:szCs w:val="24"/>
              </w:rPr>
            </w:pPr>
            <w:r w:rsidRPr="0022731A">
              <w:rPr>
                <w:rFonts w:hAnsi="宋体"/>
                <w:sz w:val="22"/>
                <w:szCs w:val="24"/>
              </w:rPr>
              <w:t>-</w:t>
            </w:r>
          </w:p>
        </w:tc>
      </w:tr>
      <w:tr w:rsidR="00C367FE" w:rsidRPr="0022731A" w:rsidTr="00DD06EC">
        <w:trPr>
          <w:cantSplit/>
          <w:trHeight w:val="285"/>
        </w:trPr>
        <w:tc>
          <w:tcPr>
            <w:tcW w:w="1815" w:type="dxa"/>
            <w:vMerge w:val="restart"/>
            <w:tcBorders>
              <w:top w:val="nil"/>
              <w:left w:val="single" w:sz="8"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b/>
                <w:bCs/>
                <w:sz w:val="22"/>
                <w:szCs w:val="24"/>
              </w:rPr>
            </w:pPr>
            <w:r w:rsidRPr="0022731A">
              <w:rPr>
                <w:rFonts w:hAnsi="宋体" w:hint="eastAsia"/>
                <w:sz w:val="22"/>
                <w:szCs w:val="24"/>
              </w:rPr>
              <w:t>前大股东及其附属企业</w:t>
            </w:r>
          </w:p>
        </w:tc>
        <w:tc>
          <w:tcPr>
            <w:tcW w:w="925" w:type="dxa"/>
            <w:tcBorders>
              <w:top w:val="nil"/>
              <w:left w:val="nil"/>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jc w:val="center"/>
              <w:rPr>
                <w:rFonts w:hAnsi="宋体"/>
                <w:sz w:val="22"/>
                <w:szCs w:val="24"/>
              </w:rPr>
            </w:pPr>
          </w:p>
        </w:tc>
        <w:tc>
          <w:tcPr>
            <w:tcW w:w="1235" w:type="dxa"/>
            <w:tcBorders>
              <w:top w:val="nil"/>
              <w:left w:val="nil"/>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jc w:val="center"/>
              <w:rPr>
                <w:rFonts w:hAnsi="宋体"/>
                <w:sz w:val="22"/>
                <w:szCs w:val="24"/>
              </w:rPr>
            </w:pPr>
          </w:p>
        </w:tc>
        <w:tc>
          <w:tcPr>
            <w:tcW w:w="1080" w:type="dxa"/>
            <w:tcBorders>
              <w:top w:val="single" w:sz="4" w:space="0" w:color="auto"/>
              <w:left w:val="nil"/>
              <w:bottom w:val="single" w:sz="4" w:space="0" w:color="auto"/>
              <w:right w:val="single" w:sz="4" w:space="0" w:color="auto"/>
            </w:tcBorders>
            <w:vAlign w:val="bottom"/>
          </w:tcPr>
          <w:p w:rsidR="00C367FE" w:rsidRPr="0022731A" w:rsidRDefault="00C367FE" w:rsidP="00DD06EC">
            <w:pPr>
              <w:adjustRightInd w:val="0"/>
              <w:snapToGrid w:val="0"/>
              <w:spacing w:line="240" w:lineRule="auto"/>
              <w:ind w:firstLineChars="0" w:firstLine="0"/>
              <w:jc w:val="center"/>
              <w:rPr>
                <w:rFonts w:hAnsi="宋体"/>
                <w:sz w:val="22"/>
                <w:szCs w:val="24"/>
              </w:rPr>
            </w:pPr>
          </w:p>
        </w:tc>
        <w:tc>
          <w:tcPr>
            <w:tcW w:w="17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1260" w:type="dxa"/>
            <w:tcBorders>
              <w:top w:val="single" w:sz="4" w:space="0" w:color="auto"/>
              <w:left w:val="nil"/>
              <w:bottom w:val="single" w:sz="4" w:space="0" w:color="auto"/>
              <w:right w:val="single" w:sz="4" w:space="0" w:color="auto"/>
            </w:tcBorders>
          </w:tcPr>
          <w:p w:rsidR="00C367FE" w:rsidRPr="0022731A" w:rsidRDefault="00C367FE" w:rsidP="00DD06EC">
            <w:pPr>
              <w:adjustRightInd w:val="0"/>
              <w:snapToGrid w:val="0"/>
              <w:spacing w:line="240" w:lineRule="auto"/>
              <w:ind w:firstLineChars="0" w:firstLine="0"/>
              <w:rPr>
                <w:rFonts w:hAnsi="宋体"/>
                <w:sz w:val="22"/>
                <w:szCs w:val="24"/>
              </w:rPr>
            </w:pPr>
          </w:p>
        </w:tc>
        <w:tc>
          <w:tcPr>
            <w:tcW w:w="12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jc w:val="center"/>
              <w:rPr>
                <w:rFonts w:hAnsi="宋体"/>
                <w:sz w:val="22"/>
                <w:szCs w:val="24"/>
              </w:rPr>
            </w:pPr>
          </w:p>
        </w:tc>
        <w:tc>
          <w:tcPr>
            <w:tcW w:w="1620" w:type="dxa"/>
            <w:tcBorders>
              <w:top w:val="nil"/>
              <w:left w:val="nil"/>
              <w:bottom w:val="single" w:sz="4" w:space="0" w:color="auto"/>
              <w:right w:val="single" w:sz="8" w:space="0" w:color="auto"/>
            </w:tcBorders>
            <w:tcMar>
              <w:top w:w="15" w:type="dxa"/>
              <w:left w:w="15" w:type="dxa"/>
              <w:bottom w:w="0" w:type="dxa"/>
              <w:right w:w="15" w:type="dxa"/>
            </w:tcMar>
          </w:tcPr>
          <w:p w:rsidR="00C367FE" w:rsidRPr="0022731A" w:rsidRDefault="00C367FE" w:rsidP="00DD06EC">
            <w:pPr>
              <w:adjustRightInd w:val="0"/>
              <w:snapToGrid w:val="0"/>
              <w:spacing w:line="240" w:lineRule="auto"/>
              <w:ind w:firstLineChars="0" w:firstLine="0"/>
              <w:rPr>
                <w:sz w:val="22"/>
                <w:szCs w:val="24"/>
              </w:rPr>
            </w:pPr>
            <w:r w:rsidRPr="0022731A">
              <w:rPr>
                <w:rFonts w:hAnsi="宋体" w:hint="eastAsia"/>
                <w:sz w:val="22"/>
                <w:szCs w:val="24"/>
              </w:rPr>
              <w:t>非经营性占用</w:t>
            </w:r>
          </w:p>
        </w:tc>
      </w:tr>
      <w:tr w:rsidR="00C367FE" w:rsidRPr="0022731A" w:rsidTr="00DD06EC">
        <w:trPr>
          <w:cantSplit/>
          <w:trHeight w:val="285"/>
        </w:trPr>
        <w:tc>
          <w:tcPr>
            <w:tcW w:w="1815" w:type="dxa"/>
            <w:vMerge/>
            <w:tcBorders>
              <w:left w:val="single" w:sz="8" w:space="0" w:color="auto"/>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jc w:val="center"/>
              <w:rPr>
                <w:rFonts w:hAnsi="宋体"/>
                <w:b/>
                <w:bCs/>
                <w:sz w:val="22"/>
                <w:szCs w:val="24"/>
              </w:rPr>
            </w:pPr>
          </w:p>
        </w:tc>
        <w:tc>
          <w:tcPr>
            <w:tcW w:w="925" w:type="dxa"/>
            <w:tcBorders>
              <w:top w:val="nil"/>
              <w:left w:val="nil"/>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jc w:val="center"/>
              <w:rPr>
                <w:rFonts w:hAnsi="宋体"/>
                <w:sz w:val="22"/>
                <w:szCs w:val="24"/>
              </w:rPr>
            </w:pPr>
          </w:p>
        </w:tc>
        <w:tc>
          <w:tcPr>
            <w:tcW w:w="1235" w:type="dxa"/>
            <w:tcBorders>
              <w:top w:val="nil"/>
              <w:left w:val="nil"/>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jc w:val="center"/>
              <w:rPr>
                <w:rFonts w:hAnsi="宋体"/>
                <w:sz w:val="22"/>
                <w:szCs w:val="24"/>
              </w:rPr>
            </w:pPr>
          </w:p>
        </w:tc>
        <w:tc>
          <w:tcPr>
            <w:tcW w:w="1080" w:type="dxa"/>
            <w:tcBorders>
              <w:top w:val="single" w:sz="4" w:space="0" w:color="auto"/>
              <w:left w:val="nil"/>
              <w:bottom w:val="single" w:sz="4" w:space="0" w:color="auto"/>
              <w:right w:val="single" w:sz="4" w:space="0" w:color="auto"/>
            </w:tcBorders>
            <w:vAlign w:val="bottom"/>
          </w:tcPr>
          <w:p w:rsidR="00C367FE" w:rsidRPr="0022731A" w:rsidRDefault="00C367FE" w:rsidP="00DD06EC">
            <w:pPr>
              <w:adjustRightInd w:val="0"/>
              <w:snapToGrid w:val="0"/>
              <w:spacing w:line="240" w:lineRule="auto"/>
              <w:ind w:firstLineChars="0" w:firstLine="0"/>
              <w:jc w:val="center"/>
              <w:rPr>
                <w:rFonts w:hAnsi="宋体"/>
                <w:sz w:val="22"/>
                <w:szCs w:val="24"/>
              </w:rPr>
            </w:pPr>
          </w:p>
        </w:tc>
        <w:tc>
          <w:tcPr>
            <w:tcW w:w="17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1260" w:type="dxa"/>
            <w:tcBorders>
              <w:top w:val="single" w:sz="4" w:space="0" w:color="auto"/>
              <w:left w:val="nil"/>
              <w:bottom w:val="single" w:sz="4" w:space="0" w:color="auto"/>
              <w:right w:val="single" w:sz="4" w:space="0" w:color="auto"/>
            </w:tcBorders>
          </w:tcPr>
          <w:p w:rsidR="00C367FE" w:rsidRPr="0022731A" w:rsidRDefault="00C367FE" w:rsidP="00DD06EC">
            <w:pPr>
              <w:adjustRightInd w:val="0"/>
              <w:snapToGrid w:val="0"/>
              <w:spacing w:line="240" w:lineRule="auto"/>
              <w:ind w:firstLineChars="0" w:firstLine="0"/>
              <w:rPr>
                <w:rFonts w:hAnsi="宋体"/>
                <w:sz w:val="22"/>
                <w:szCs w:val="24"/>
              </w:rPr>
            </w:pPr>
          </w:p>
        </w:tc>
        <w:tc>
          <w:tcPr>
            <w:tcW w:w="12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jc w:val="center"/>
              <w:rPr>
                <w:rFonts w:hAnsi="宋体"/>
                <w:sz w:val="22"/>
                <w:szCs w:val="24"/>
              </w:rPr>
            </w:pPr>
          </w:p>
        </w:tc>
        <w:tc>
          <w:tcPr>
            <w:tcW w:w="1620" w:type="dxa"/>
            <w:tcBorders>
              <w:top w:val="nil"/>
              <w:left w:val="nil"/>
              <w:bottom w:val="single" w:sz="4" w:space="0" w:color="auto"/>
              <w:right w:val="single" w:sz="8" w:space="0" w:color="auto"/>
            </w:tcBorders>
            <w:tcMar>
              <w:top w:w="15" w:type="dxa"/>
              <w:left w:w="15" w:type="dxa"/>
              <w:bottom w:w="0" w:type="dxa"/>
              <w:right w:w="15" w:type="dxa"/>
            </w:tcMar>
          </w:tcPr>
          <w:p w:rsidR="00C367FE" w:rsidRPr="0022731A" w:rsidRDefault="00C367FE" w:rsidP="00DD06EC">
            <w:pPr>
              <w:adjustRightInd w:val="0"/>
              <w:snapToGrid w:val="0"/>
              <w:spacing w:line="240" w:lineRule="auto"/>
              <w:ind w:firstLineChars="0" w:firstLine="0"/>
              <w:rPr>
                <w:sz w:val="22"/>
                <w:szCs w:val="24"/>
              </w:rPr>
            </w:pPr>
            <w:r w:rsidRPr="0022731A">
              <w:rPr>
                <w:rFonts w:hAnsi="宋体" w:hint="eastAsia"/>
                <w:sz w:val="22"/>
                <w:szCs w:val="24"/>
              </w:rPr>
              <w:t>非经营性占用</w:t>
            </w:r>
          </w:p>
        </w:tc>
      </w:tr>
      <w:tr w:rsidR="00C367FE" w:rsidRPr="0022731A" w:rsidTr="00DD06EC">
        <w:trPr>
          <w:cantSplit/>
          <w:trHeight w:val="285"/>
        </w:trPr>
        <w:tc>
          <w:tcPr>
            <w:tcW w:w="1815"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C367FE" w:rsidRPr="0022731A" w:rsidRDefault="00C367FE" w:rsidP="00DD06EC">
            <w:pPr>
              <w:adjustRightInd w:val="0"/>
              <w:snapToGrid w:val="0"/>
              <w:spacing w:line="240" w:lineRule="auto"/>
              <w:ind w:firstLineChars="0" w:firstLine="0"/>
              <w:jc w:val="center"/>
              <w:rPr>
                <w:rFonts w:hAnsi="宋体"/>
                <w:sz w:val="22"/>
                <w:szCs w:val="24"/>
              </w:rPr>
            </w:pPr>
            <w:r w:rsidRPr="0022731A">
              <w:rPr>
                <w:rFonts w:hAnsi="宋体" w:hint="eastAsia"/>
                <w:b/>
                <w:bCs/>
                <w:sz w:val="22"/>
                <w:szCs w:val="24"/>
              </w:rPr>
              <w:t>小计</w:t>
            </w:r>
          </w:p>
        </w:tc>
        <w:tc>
          <w:tcPr>
            <w:tcW w:w="9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jc w:val="center"/>
              <w:rPr>
                <w:rFonts w:hAnsi="宋体" w:cs="Arial Unicode MS"/>
                <w:sz w:val="22"/>
                <w:szCs w:val="24"/>
              </w:rPr>
            </w:pPr>
            <w:r w:rsidRPr="0022731A">
              <w:rPr>
                <w:rFonts w:hAnsi="宋体"/>
                <w:sz w:val="22"/>
                <w:szCs w:val="24"/>
              </w:rPr>
              <w:t>-</w:t>
            </w:r>
          </w:p>
        </w:tc>
        <w:tc>
          <w:tcPr>
            <w:tcW w:w="12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jc w:val="center"/>
              <w:rPr>
                <w:rFonts w:hAnsi="宋体" w:cs="Arial Unicode MS"/>
                <w:sz w:val="22"/>
                <w:szCs w:val="24"/>
              </w:rPr>
            </w:pPr>
            <w:r w:rsidRPr="0022731A">
              <w:rPr>
                <w:rFonts w:hAnsi="宋体"/>
                <w:sz w:val="22"/>
                <w:szCs w:val="24"/>
              </w:rPr>
              <w:t>-</w:t>
            </w:r>
          </w:p>
        </w:tc>
        <w:tc>
          <w:tcPr>
            <w:tcW w:w="1080" w:type="dxa"/>
            <w:tcBorders>
              <w:top w:val="single" w:sz="4" w:space="0" w:color="auto"/>
              <w:left w:val="nil"/>
              <w:bottom w:val="single" w:sz="4" w:space="0" w:color="auto"/>
              <w:right w:val="single" w:sz="4" w:space="0" w:color="auto"/>
            </w:tcBorders>
            <w:vAlign w:val="bottom"/>
          </w:tcPr>
          <w:p w:rsidR="00C367FE" w:rsidRPr="0022731A" w:rsidRDefault="00C367FE" w:rsidP="00DD06EC">
            <w:pPr>
              <w:adjustRightInd w:val="0"/>
              <w:snapToGrid w:val="0"/>
              <w:spacing w:line="240" w:lineRule="auto"/>
              <w:ind w:firstLineChars="0" w:firstLine="0"/>
              <w:jc w:val="center"/>
              <w:rPr>
                <w:rFonts w:hAnsi="宋体" w:cs="Arial Unicode MS"/>
                <w:sz w:val="22"/>
                <w:szCs w:val="24"/>
              </w:rPr>
            </w:pPr>
            <w:r w:rsidRPr="0022731A">
              <w:rPr>
                <w:rFonts w:hAnsi="宋体"/>
                <w:sz w:val="22"/>
                <w:szCs w:val="24"/>
              </w:rPr>
              <w:t>-</w:t>
            </w:r>
          </w:p>
        </w:tc>
        <w:tc>
          <w:tcPr>
            <w:tcW w:w="17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14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1260" w:type="dxa"/>
            <w:tcBorders>
              <w:top w:val="single" w:sz="4" w:space="0" w:color="auto"/>
              <w:left w:val="nil"/>
              <w:bottom w:val="single" w:sz="4" w:space="0" w:color="auto"/>
              <w:right w:val="single" w:sz="4" w:space="0" w:color="auto"/>
            </w:tcBorders>
          </w:tcPr>
          <w:p w:rsidR="00C367FE" w:rsidRPr="0022731A" w:rsidRDefault="00C367FE" w:rsidP="00DD06EC">
            <w:pPr>
              <w:adjustRightInd w:val="0"/>
              <w:snapToGrid w:val="0"/>
              <w:spacing w:line="240" w:lineRule="auto"/>
              <w:ind w:firstLineChars="0" w:firstLine="0"/>
              <w:rPr>
                <w:rFonts w:hAnsi="宋体"/>
                <w:sz w:val="22"/>
                <w:szCs w:val="24"/>
              </w:rPr>
            </w:pPr>
          </w:p>
        </w:tc>
        <w:tc>
          <w:tcPr>
            <w:tcW w:w="12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9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jc w:val="center"/>
              <w:rPr>
                <w:rFonts w:hAnsi="宋体"/>
                <w:sz w:val="22"/>
                <w:szCs w:val="24"/>
              </w:rPr>
            </w:pPr>
            <w:r w:rsidRPr="0022731A">
              <w:rPr>
                <w:rFonts w:hAnsi="宋体"/>
                <w:sz w:val="22"/>
                <w:szCs w:val="24"/>
              </w:rPr>
              <w:t>-</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jc w:val="center"/>
              <w:rPr>
                <w:rFonts w:hAnsi="宋体"/>
                <w:sz w:val="22"/>
                <w:szCs w:val="24"/>
              </w:rPr>
            </w:pPr>
            <w:r w:rsidRPr="0022731A">
              <w:rPr>
                <w:rFonts w:hAnsi="宋体"/>
                <w:sz w:val="22"/>
                <w:szCs w:val="24"/>
              </w:rPr>
              <w:t>-</w:t>
            </w:r>
          </w:p>
        </w:tc>
      </w:tr>
      <w:tr w:rsidR="00C367FE" w:rsidRPr="0022731A" w:rsidTr="00DD06EC">
        <w:trPr>
          <w:trHeight w:val="285"/>
        </w:trPr>
        <w:tc>
          <w:tcPr>
            <w:tcW w:w="181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jc w:val="center"/>
              <w:rPr>
                <w:rFonts w:hAnsi="宋体" w:cs="Arial Unicode MS"/>
                <w:b/>
                <w:bCs/>
                <w:sz w:val="22"/>
                <w:szCs w:val="24"/>
              </w:rPr>
            </w:pPr>
            <w:r w:rsidRPr="0022731A">
              <w:rPr>
                <w:rFonts w:hAnsi="宋体" w:hint="eastAsia"/>
                <w:b/>
                <w:bCs/>
                <w:sz w:val="22"/>
                <w:szCs w:val="24"/>
              </w:rPr>
              <w:t>总计</w:t>
            </w:r>
          </w:p>
        </w:tc>
        <w:tc>
          <w:tcPr>
            <w:tcW w:w="925" w:type="dxa"/>
            <w:tcBorders>
              <w:top w:val="nil"/>
              <w:left w:val="nil"/>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jc w:val="center"/>
              <w:rPr>
                <w:rFonts w:hAnsi="宋体" w:cs="Arial Unicode MS"/>
                <w:sz w:val="22"/>
                <w:szCs w:val="24"/>
              </w:rPr>
            </w:pPr>
            <w:r w:rsidRPr="0022731A">
              <w:rPr>
                <w:rFonts w:hAnsi="宋体"/>
                <w:sz w:val="22"/>
                <w:szCs w:val="24"/>
              </w:rPr>
              <w:t>-</w:t>
            </w:r>
          </w:p>
        </w:tc>
        <w:tc>
          <w:tcPr>
            <w:tcW w:w="1235" w:type="dxa"/>
            <w:tcBorders>
              <w:top w:val="nil"/>
              <w:left w:val="nil"/>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jc w:val="center"/>
              <w:rPr>
                <w:rFonts w:hAnsi="宋体" w:cs="Arial Unicode MS"/>
                <w:sz w:val="22"/>
                <w:szCs w:val="24"/>
              </w:rPr>
            </w:pPr>
            <w:r w:rsidRPr="0022731A">
              <w:rPr>
                <w:rFonts w:hAnsi="宋体"/>
                <w:sz w:val="22"/>
                <w:szCs w:val="24"/>
              </w:rPr>
              <w:t>-</w:t>
            </w:r>
          </w:p>
        </w:tc>
        <w:tc>
          <w:tcPr>
            <w:tcW w:w="1080" w:type="dxa"/>
            <w:tcBorders>
              <w:top w:val="single" w:sz="4" w:space="0" w:color="auto"/>
              <w:left w:val="nil"/>
              <w:bottom w:val="single" w:sz="4" w:space="0" w:color="auto"/>
              <w:right w:val="single" w:sz="4" w:space="0" w:color="auto"/>
            </w:tcBorders>
            <w:vAlign w:val="bottom"/>
          </w:tcPr>
          <w:p w:rsidR="00C367FE" w:rsidRPr="0022731A" w:rsidRDefault="00C367FE" w:rsidP="00DD06EC">
            <w:pPr>
              <w:adjustRightInd w:val="0"/>
              <w:snapToGrid w:val="0"/>
              <w:spacing w:line="240" w:lineRule="auto"/>
              <w:ind w:firstLineChars="0" w:firstLine="0"/>
              <w:jc w:val="center"/>
              <w:rPr>
                <w:rFonts w:hAnsi="宋体" w:cs="Arial Unicode MS"/>
                <w:sz w:val="22"/>
                <w:szCs w:val="24"/>
              </w:rPr>
            </w:pPr>
            <w:r w:rsidRPr="0022731A">
              <w:rPr>
                <w:rFonts w:hAnsi="宋体"/>
                <w:sz w:val="22"/>
                <w:szCs w:val="24"/>
              </w:rPr>
              <w:t>-</w:t>
            </w:r>
          </w:p>
        </w:tc>
        <w:tc>
          <w:tcPr>
            <w:tcW w:w="17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260" w:type="dxa"/>
            <w:tcBorders>
              <w:top w:val="single" w:sz="4" w:space="0" w:color="auto"/>
              <w:left w:val="nil"/>
              <w:bottom w:val="single" w:sz="4" w:space="0" w:color="auto"/>
              <w:right w:val="single" w:sz="4" w:space="0" w:color="auto"/>
            </w:tcBorders>
          </w:tcPr>
          <w:p w:rsidR="00C367FE" w:rsidRPr="0022731A" w:rsidRDefault="00C367FE" w:rsidP="00DD06EC">
            <w:pPr>
              <w:adjustRightInd w:val="0"/>
              <w:snapToGrid w:val="0"/>
              <w:spacing w:line="240" w:lineRule="auto"/>
              <w:ind w:firstLineChars="0" w:firstLine="0"/>
              <w:rPr>
                <w:rFonts w:hAnsi="宋体"/>
                <w:sz w:val="22"/>
                <w:szCs w:val="24"/>
              </w:rPr>
            </w:pPr>
          </w:p>
        </w:tc>
        <w:tc>
          <w:tcPr>
            <w:tcW w:w="12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jc w:val="center"/>
              <w:rPr>
                <w:rFonts w:hAnsi="宋体" w:cs="Arial Unicode MS"/>
                <w:sz w:val="22"/>
                <w:szCs w:val="24"/>
              </w:rPr>
            </w:pPr>
            <w:r w:rsidRPr="0022731A">
              <w:rPr>
                <w:rFonts w:hAnsi="宋体"/>
                <w:sz w:val="22"/>
                <w:szCs w:val="24"/>
              </w:rPr>
              <w:t>-</w:t>
            </w:r>
          </w:p>
        </w:tc>
        <w:tc>
          <w:tcPr>
            <w:tcW w:w="1620" w:type="dxa"/>
            <w:tcBorders>
              <w:top w:val="nil"/>
              <w:left w:val="nil"/>
              <w:bottom w:val="single" w:sz="4" w:space="0" w:color="auto"/>
              <w:right w:val="single" w:sz="8"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jc w:val="center"/>
              <w:rPr>
                <w:rFonts w:hAnsi="宋体" w:cs="Arial Unicode MS"/>
                <w:sz w:val="22"/>
                <w:szCs w:val="24"/>
              </w:rPr>
            </w:pPr>
            <w:r w:rsidRPr="0022731A">
              <w:rPr>
                <w:rFonts w:hAnsi="宋体"/>
                <w:sz w:val="22"/>
                <w:szCs w:val="24"/>
              </w:rPr>
              <w:t>-</w:t>
            </w:r>
          </w:p>
        </w:tc>
      </w:tr>
      <w:tr w:rsidR="00C367FE" w:rsidRPr="0022731A" w:rsidTr="00DD06EC">
        <w:trPr>
          <w:trHeight w:val="855"/>
        </w:trPr>
        <w:tc>
          <w:tcPr>
            <w:tcW w:w="1815" w:type="dxa"/>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b/>
                <w:sz w:val="22"/>
                <w:szCs w:val="24"/>
              </w:rPr>
            </w:pPr>
            <w:r w:rsidRPr="0022731A">
              <w:rPr>
                <w:rFonts w:hAnsi="宋体" w:hint="eastAsia"/>
                <w:b/>
                <w:sz w:val="22"/>
                <w:szCs w:val="24"/>
              </w:rPr>
              <w:t>其它关联资金往来</w:t>
            </w:r>
          </w:p>
        </w:tc>
        <w:tc>
          <w:tcPr>
            <w:tcW w:w="925" w:type="dxa"/>
            <w:tcBorders>
              <w:top w:val="single" w:sz="8" w:space="0" w:color="auto"/>
              <w:left w:val="nil"/>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r w:rsidRPr="0022731A">
              <w:rPr>
                <w:rFonts w:hAnsi="宋体" w:hint="eastAsia"/>
                <w:sz w:val="22"/>
                <w:szCs w:val="24"/>
              </w:rPr>
              <w:t>资金往来方名称</w:t>
            </w:r>
          </w:p>
        </w:tc>
        <w:tc>
          <w:tcPr>
            <w:tcW w:w="1235" w:type="dxa"/>
            <w:tcBorders>
              <w:top w:val="single" w:sz="8" w:space="0" w:color="auto"/>
              <w:left w:val="nil"/>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r w:rsidRPr="0022731A">
              <w:rPr>
                <w:rFonts w:hAnsi="宋体" w:hint="eastAsia"/>
                <w:sz w:val="22"/>
                <w:szCs w:val="24"/>
              </w:rPr>
              <w:t>往来方与上市公司的关联关系</w:t>
            </w:r>
          </w:p>
        </w:tc>
        <w:tc>
          <w:tcPr>
            <w:tcW w:w="1080" w:type="dxa"/>
            <w:tcBorders>
              <w:top w:val="single" w:sz="8" w:space="0" w:color="auto"/>
              <w:left w:val="nil"/>
              <w:bottom w:val="single" w:sz="4" w:space="0" w:color="auto"/>
              <w:right w:val="single" w:sz="4" w:space="0" w:color="auto"/>
            </w:tcBorders>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r w:rsidRPr="0022731A">
              <w:rPr>
                <w:rFonts w:hAnsi="宋体" w:hint="eastAsia"/>
                <w:sz w:val="22"/>
                <w:szCs w:val="24"/>
              </w:rPr>
              <w:t>上市公司核算的会计科目</w:t>
            </w:r>
          </w:p>
        </w:tc>
        <w:tc>
          <w:tcPr>
            <w:tcW w:w="1718" w:type="dxa"/>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C367FE" w:rsidRPr="0022731A" w:rsidRDefault="00DD06EC" w:rsidP="00DD06EC">
            <w:pPr>
              <w:adjustRightInd w:val="0"/>
              <w:snapToGrid w:val="0"/>
              <w:spacing w:line="240" w:lineRule="auto"/>
              <w:ind w:firstLineChars="0" w:firstLine="0"/>
              <w:rPr>
                <w:rFonts w:hAnsi="宋体" w:cs="Arial Unicode MS"/>
                <w:sz w:val="22"/>
                <w:szCs w:val="24"/>
              </w:rPr>
            </w:pPr>
            <w:r>
              <w:rPr>
                <w:rFonts w:hAnsi="宋体" w:hint="eastAsia"/>
                <w:sz w:val="22"/>
                <w:szCs w:val="24"/>
              </w:rPr>
              <w:t>20XX</w:t>
            </w:r>
            <w:r w:rsidR="00C367FE" w:rsidRPr="0022731A">
              <w:rPr>
                <w:rFonts w:hAnsi="宋体"/>
                <w:sz w:val="22"/>
                <w:szCs w:val="24"/>
              </w:rPr>
              <w:t>年期初</w:t>
            </w:r>
            <w:r w:rsidR="00C367FE" w:rsidRPr="0022731A">
              <w:rPr>
                <w:rFonts w:hAnsi="宋体" w:hint="eastAsia"/>
                <w:sz w:val="22"/>
                <w:szCs w:val="24"/>
              </w:rPr>
              <w:t>往来</w:t>
            </w:r>
            <w:r w:rsidR="00C367FE" w:rsidRPr="0022731A">
              <w:rPr>
                <w:rFonts w:hAnsi="宋体"/>
                <w:sz w:val="22"/>
                <w:szCs w:val="24"/>
              </w:rPr>
              <w:t>资金余额</w:t>
            </w:r>
          </w:p>
        </w:tc>
        <w:tc>
          <w:tcPr>
            <w:tcW w:w="1460" w:type="dxa"/>
            <w:tcBorders>
              <w:top w:val="single" w:sz="8" w:space="0" w:color="auto"/>
              <w:left w:val="nil"/>
              <w:bottom w:val="single" w:sz="4" w:space="0" w:color="auto"/>
              <w:right w:val="single" w:sz="4" w:space="0" w:color="auto"/>
            </w:tcBorders>
            <w:tcMar>
              <w:top w:w="15" w:type="dxa"/>
              <w:left w:w="15" w:type="dxa"/>
              <w:bottom w:w="0" w:type="dxa"/>
              <w:right w:w="15" w:type="dxa"/>
            </w:tcMar>
            <w:vAlign w:val="bottom"/>
          </w:tcPr>
          <w:p w:rsidR="00C367FE" w:rsidRPr="0022731A" w:rsidRDefault="00DD06EC" w:rsidP="00DD06EC">
            <w:pPr>
              <w:adjustRightInd w:val="0"/>
              <w:snapToGrid w:val="0"/>
              <w:spacing w:line="240" w:lineRule="auto"/>
              <w:ind w:firstLineChars="0" w:firstLine="0"/>
              <w:rPr>
                <w:rFonts w:hAnsi="宋体" w:cs="Arial Unicode MS"/>
                <w:sz w:val="22"/>
                <w:szCs w:val="24"/>
              </w:rPr>
            </w:pPr>
            <w:r>
              <w:rPr>
                <w:rFonts w:hAnsi="宋体" w:hint="eastAsia"/>
                <w:sz w:val="22"/>
                <w:szCs w:val="24"/>
              </w:rPr>
              <w:t>20XX</w:t>
            </w:r>
            <w:r w:rsidR="00C367FE" w:rsidRPr="0022731A">
              <w:rPr>
                <w:rFonts w:hAnsi="宋体"/>
                <w:sz w:val="22"/>
                <w:szCs w:val="24"/>
              </w:rPr>
              <w:t>年度</w:t>
            </w:r>
            <w:r w:rsidR="00C367FE" w:rsidRPr="0022731A">
              <w:rPr>
                <w:rFonts w:hAnsi="宋体" w:hint="eastAsia"/>
                <w:sz w:val="22"/>
                <w:szCs w:val="24"/>
              </w:rPr>
              <w:t>往来</w:t>
            </w:r>
            <w:r w:rsidR="00C367FE" w:rsidRPr="0022731A">
              <w:rPr>
                <w:rFonts w:hAnsi="宋体"/>
                <w:sz w:val="22"/>
                <w:szCs w:val="24"/>
              </w:rPr>
              <w:t>累计发生金额</w:t>
            </w:r>
            <w:r w:rsidR="00C367FE" w:rsidRPr="0022731A">
              <w:rPr>
                <w:rFonts w:hAnsi="宋体" w:hint="eastAsia"/>
                <w:sz w:val="22"/>
                <w:szCs w:val="24"/>
              </w:rPr>
              <w:t>（不含利息）</w:t>
            </w:r>
          </w:p>
        </w:tc>
        <w:tc>
          <w:tcPr>
            <w:tcW w:w="1260" w:type="dxa"/>
            <w:tcBorders>
              <w:top w:val="single" w:sz="8" w:space="0" w:color="auto"/>
              <w:left w:val="nil"/>
              <w:bottom w:val="single" w:sz="4" w:space="0" w:color="auto"/>
              <w:right w:val="single" w:sz="4" w:space="0" w:color="auto"/>
            </w:tcBorders>
            <w:vAlign w:val="bottom"/>
          </w:tcPr>
          <w:p w:rsidR="00C367FE" w:rsidRPr="0022731A" w:rsidRDefault="00DD06EC" w:rsidP="00DD06EC">
            <w:pPr>
              <w:adjustRightInd w:val="0"/>
              <w:snapToGrid w:val="0"/>
              <w:spacing w:line="240" w:lineRule="auto"/>
              <w:ind w:firstLineChars="0" w:firstLine="0"/>
              <w:rPr>
                <w:rFonts w:hAnsi="宋体"/>
                <w:sz w:val="22"/>
                <w:szCs w:val="24"/>
              </w:rPr>
            </w:pPr>
            <w:r>
              <w:rPr>
                <w:rFonts w:hAnsi="宋体" w:hint="eastAsia"/>
                <w:sz w:val="22"/>
                <w:szCs w:val="24"/>
              </w:rPr>
              <w:t>20XX</w:t>
            </w:r>
            <w:r w:rsidR="00C367FE" w:rsidRPr="0022731A">
              <w:rPr>
                <w:rFonts w:hAnsi="宋体" w:hint="eastAsia"/>
                <w:sz w:val="22"/>
                <w:szCs w:val="24"/>
              </w:rPr>
              <w:t>年度往来资金的利息(如有)</w:t>
            </w:r>
          </w:p>
        </w:tc>
        <w:tc>
          <w:tcPr>
            <w:tcW w:w="1260" w:type="dxa"/>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C367FE" w:rsidRPr="0022731A" w:rsidRDefault="00DD06EC" w:rsidP="00DD06EC">
            <w:pPr>
              <w:adjustRightInd w:val="0"/>
              <w:snapToGrid w:val="0"/>
              <w:spacing w:line="240" w:lineRule="auto"/>
              <w:ind w:firstLineChars="0" w:firstLine="0"/>
              <w:rPr>
                <w:rFonts w:hAnsi="宋体" w:cs="Arial Unicode MS"/>
                <w:sz w:val="22"/>
                <w:szCs w:val="24"/>
              </w:rPr>
            </w:pPr>
            <w:r>
              <w:rPr>
                <w:rFonts w:hAnsi="宋体" w:hint="eastAsia"/>
                <w:sz w:val="22"/>
                <w:szCs w:val="24"/>
              </w:rPr>
              <w:t>20XX</w:t>
            </w:r>
            <w:r w:rsidR="00C367FE" w:rsidRPr="0022731A">
              <w:rPr>
                <w:rFonts w:hAnsi="宋体"/>
                <w:sz w:val="22"/>
                <w:szCs w:val="24"/>
              </w:rPr>
              <w:t>年度偿还累计发生金额</w:t>
            </w:r>
          </w:p>
        </w:tc>
        <w:tc>
          <w:tcPr>
            <w:tcW w:w="920" w:type="dxa"/>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C367FE" w:rsidRPr="0022731A" w:rsidRDefault="00DD06EC" w:rsidP="00DD06EC">
            <w:pPr>
              <w:adjustRightInd w:val="0"/>
              <w:snapToGrid w:val="0"/>
              <w:spacing w:line="240" w:lineRule="auto"/>
              <w:ind w:firstLineChars="0" w:firstLine="0"/>
              <w:rPr>
                <w:rFonts w:hAnsi="宋体" w:cs="Arial Unicode MS"/>
                <w:sz w:val="22"/>
                <w:szCs w:val="24"/>
              </w:rPr>
            </w:pPr>
            <w:r>
              <w:rPr>
                <w:rFonts w:hAnsi="宋体" w:hint="eastAsia"/>
                <w:sz w:val="22"/>
                <w:szCs w:val="24"/>
              </w:rPr>
              <w:t>20XX</w:t>
            </w:r>
            <w:r w:rsidR="00C367FE" w:rsidRPr="0022731A">
              <w:rPr>
                <w:rFonts w:hAnsi="宋体"/>
                <w:sz w:val="22"/>
                <w:szCs w:val="24"/>
              </w:rPr>
              <w:t>年期末</w:t>
            </w:r>
            <w:r w:rsidR="00C367FE" w:rsidRPr="0022731A">
              <w:rPr>
                <w:rFonts w:hAnsi="宋体" w:hint="eastAsia"/>
                <w:sz w:val="22"/>
                <w:szCs w:val="24"/>
              </w:rPr>
              <w:t>往来</w:t>
            </w:r>
            <w:r w:rsidR="00C367FE" w:rsidRPr="0022731A">
              <w:rPr>
                <w:rFonts w:hAnsi="宋体"/>
                <w:sz w:val="22"/>
                <w:szCs w:val="24"/>
              </w:rPr>
              <w:t>资金余额</w:t>
            </w:r>
          </w:p>
        </w:tc>
        <w:tc>
          <w:tcPr>
            <w:tcW w:w="720" w:type="dxa"/>
            <w:tcBorders>
              <w:top w:val="single" w:sz="8" w:space="0" w:color="auto"/>
              <w:left w:val="nil"/>
              <w:bottom w:val="single" w:sz="4"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r w:rsidRPr="0022731A">
              <w:rPr>
                <w:rFonts w:hAnsi="宋体" w:hint="eastAsia"/>
                <w:sz w:val="22"/>
                <w:szCs w:val="24"/>
              </w:rPr>
              <w:t>往来形成原因</w:t>
            </w:r>
          </w:p>
        </w:tc>
        <w:tc>
          <w:tcPr>
            <w:tcW w:w="1620" w:type="dxa"/>
            <w:tcBorders>
              <w:top w:val="single" w:sz="8" w:space="0" w:color="auto"/>
              <w:left w:val="nil"/>
              <w:bottom w:val="single" w:sz="4" w:space="0" w:color="auto"/>
              <w:right w:val="single" w:sz="8"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r w:rsidRPr="0022731A">
              <w:rPr>
                <w:rFonts w:hAnsi="宋体" w:hint="eastAsia"/>
                <w:sz w:val="22"/>
                <w:szCs w:val="24"/>
              </w:rPr>
              <w:t>往来性质</w:t>
            </w:r>
          </w:p>
        </w:tc>
      </w:tr>
      <w:tr w:rsidR="00C367FE" w:rsidRPr="0022731A" w:rsidTr="00DD06EC">
        <w:trPr>
          <w:cantSplit/>
          <w:trHeight w:val="285"/>
        </w:trPr>
        <w:tc>
          <w:tcPr>
            <w:tcW w:w="1815" w:type="dxa"/>
            <w:vMerge w:val="restart"/>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C367FE" w:rsidRPr="0022731A" w:rsidRDefault="00C367FE" w:rsidP="00DD06EC">
            <w:pPr>
              <w:adjustRightInd w:val="0"/>
              <w:snapToGrid w:val="0"/>
              <w:spacing w:line="240" w:lineRule="auto"/>
              <w:ind w:firstLineChars="0" w:firstLine="0"/>
              <w:rPr>
                <w:rFonts w:hAnsi="宋体"/>
                <w:sz w:val="22"/>
                <w:szCs w:val="24"/>
              </w:rPr>
            </w:pPr>
            <w:r w:rsidRPr="0022731A">
              <w:rPr>
                <w:rFonts w:hAnsi="宋体" w:hint="eastAsia"/>
                <w:sz w:val="22"/>
                <w:szCs w:val="24"/>
              </w:rPr>
              <w:t>大股东及其附属企业</w:t>
            </w:r>
          </w:p>
        </w:tc>
        <w:tc>
          <w:tcPr>
            <w:tcW w:w="9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12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1080" w:type="dxa"/>
            <w:tcBorders>
              <w:top w:val="single" w:sz="4" w:space="0" w:color="auto"/>
              <w:left w:val="nil"/>
              <w:bottom w:val="single" w:sz="4" w:space="0" w:color="auto"/>
              <w:right w:val="single" w:sz="4" w:space="0" w:color="auto"/>
            </w:tcBorders>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17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14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1260" w:type="dxa"/>
            <w:tcBorders>
              <w:top w:val="single" w:sz="4" w:space="0" w:color="auto"/>
              <w:left w:val="nil"/>
              <w:bottom w:val="single" w:sz="4" w:space="0" w:color="auto"/>
              <w:right w:val="single" w:sz="4" w:space="0" w:color="auto"/>
            </w:tcBorders>
          </w:tcPr>
          <w:p w:rsidR="00C367FE" w:rsidRPr="0022731A" w:rsidRDefault="00C367FE" w:rsidP="00DD06EC">
            <w:pPr>
              <w:adjustRightInd w:val="0"/>
              <w:snapToGrid w:val="0"/>
              <w:spacing w:line="240" w:lineRule="auto"/>
              <w:ind w:firstLineChars="0" w:firstLine="0"/>
              <w:rPr>
                <w:rFonts w:hAnsi="宋体"/>
                <w:sz w:val="22"/>
                <w:szCs w:val="24"/>
              </w:rPr>
            </w:pPr>
          </w:p>
        </w:tc>
        <w:tc>
          <w:tcPr>
            <w:tcW w:w="12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9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r w:rsidRPr="0022731A">
              <w:rPr>
                <w:rFonts w:hAnsi="宋体" w:hint="eastAsia"/>
                <w:sz w:val="22"/>
                <w:szCs w:val="24"/>
              </w:rPr>
              <w:t>经营性往来</w:t>
            </w:r>
          </w:p>
        </w:tc>
      </w:tr>
      <w:tr w:rsidR="00C367FE" w:rsidRPr="0022731A" w:rsidTr="00DD06EC">
        <w:trPr>
          <w:cantSplit/>
          <w:trHeight w:val="285"/>
        </w:trPr>
        <w:tc>
          <w:tcPr>
            <w:tcW w:w="1815" w:type="dxa"/>
            <w:vMerge/>
            <w:tcBorders>
              <w:left w:val="single" w:sz="8" w:space="0" w:color="auto"/>
              <w:bottom w:val="single" w:sz="4" w:space="0" w:color="auto"/>
              <w:right w:val="single" w:sz="4" w:space="0" w:color="auto"/>
            </w:tcBorders>
            <w:tcMar>
              <w:top w:w="15" w:type="dxa"/>
              <w:left w:w="15" w:type="dxa"/>
              <w:bottom w:w="0" w:type="dxa"/>
              <w:right w:w="15" w:type="dxa"/>
            </w:tcMar>
            <w:vAlign w:val="center"/>
          </w:tcPr>
          <w:p w:rsidR="00C367FE" w:rsidRPr="0022731A" w:rsidRDefault="00C367FE" w:rsidP="00DD06EC">
            <w:pPr>
              <w:adjustRightInd w:val="0"/>
              <w:snapToGrid w:val="0"/>
              <w:spacing w:line="240" w:lineRule="auto"/>
              <w:ind w:firstLineChars="0" w:firstLine="0"/>
              <w:rPr>
                <w:rFonts w:hAnsi="宋体"/>
                <w:sz w:val="22"/>
                <w:szCs w:val="24"/>
              </w:rPr>
            </w:pPr>
          </w:p>
        </w:tc>
        <w:tc>
          <w:tcPr>
            <w:tcW w:w="9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12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1080" w:type="dxa"/>
            <w:tcBorders>
              <w:top w:val="single" w:sz="4" w:space="0" w:color="auto"/>
              <w:left w:val="nil"/>
              <w:bottom w:val="single" w:sz="4" w:space="0" w:color="auto"/>
              <w:right w:val="single" w:sz="4" w:space="0" w:color="auto"/>
            </w:tcBorders>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17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14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1260" w:type="dxa"/>
            <w:tcBorders>
              <w:top w:val="single" w:sz="4" w:space="0" w:color="auto"/>
              <w:left w:val="nil"/>
              <w:bottom w:val="single" w:sz="4" w:space="0" w:color="auto"/>
              <w:right w:val="single" w:sz="4" w:space="0" w:color="auto"/>
            </w:tcBorders>
          </w:tcPr>
          <w:p w:rsidR="00C367FE" w:rsidRPr="0022731A" w:rsidRDefault="00C367FE" w:rsidP="00DD06EC">
            <w:pPr>
              <w:adjustRightInd w:val="0"/>
              <w:snapToGrid w:val="0"/>
              <w:spacing w:line="240" w:lineRule="auto"/>
              <w:ind w:firstLineChars="0" w:firstLine="0"/>
              <w:rPr>
                <w:rFonts w:hAnsi="宋体"/>
                <w:sz w:val="22"/>
                <w:szCs w:val="24"/>
              </w:rPr>
            </w:pPr>
          </w:p>
        </w:tc>
        <w:tc>
          <w:tcPr>
            <w:tcW w:w="12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9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sz w:val="22"/>
                <w:szCs w:val="24"/>
              </w:rPr>
            </w:pPr>
            <w:r w:rsidRPr="0022731A">
              <w:rPr>
                <w:rFonts w:hAnsi="宋体" w:hint="eastAsia"/>
                <w:sz w:val="22"/>
                <w:szCs w:val="24"/>
              </w:rPr>
              <w:t>经营性往来</w:t>
            </w:r>
          </w:p>
        </w:tc>
      </w:tr>
      <w:tr w:rsidR="00C367FE" w:rsidRPr="0022731A" w:rsidTr="00DD06EC">
        <w:trPr>
          <w:cantSplit/>
          <w:trHeight w:val="285"/>
        </w:trPr>
        <w:tc>
          <w:tcPr>
            <w:tcW w:w="1815" w:type="dxa"/>
            <w:vMerge w:val="restart"/>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C367FE" w:rsidRPr="0022731A" w:rsidRDefault="00C367FE" w:rsidP="00DD06EC">
            <w:pPr>
              <w:adjustRightInd w:val="0"/>
              <w:snapToGrid w:val="0"/>
              <w:spacing w:line="240" w:lineRule="auto"/>
              <w:ind w:firstLineChars="0" w:firstLine="0"/>
              <w:rPr>
                <w:rFonts w:hAnsi="宋体" w:cs="Arial Unicode MS"/>
                <w:sz w:val="22"/>
                <w:szCs w:val="24"/>
              </w:rPr>
            </w:pPr>
            <w:r w:rsidRPr="0022731A">
              <w:rPr>
                <w:rFonts w:hAnsi="宋体" w:hint="eastAsia"/>
                <w:sz w:val="22"/>
                <w:szCs w:val="24"/>
              </w:rPr>
              <w:t>上市公司的子公司及其附属企业</w:t>
            </w:r>
          </w:p>
        </w:tc>
        <w:tc>
          <w:tcPr>
            <w:tcW w:w="9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2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080" w:type="dxa"/>
            <w:tcBorders>
              <w:top w:val="single" w:sz="4" w:space="0" w:color="auto"/>
              <w:left w:val="nil"/>
              <w:bottom w:val="single" w:sz="4" w:space="0" w:color="auto"/>
              <w:right w:val="single" w:sz="4" w:space="0" w:color="auto"/>
            </w:tcBorders>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7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4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260" w:type="dxa"/>
            <w:tcBorders>
              <w:top w:val="single" w:sz="4" w:space="0" w:color="auto"/>
              <w:left w:val="nil"/>
              <w:bottom w:val="single" w:sz="4" w:space="0" w:color="auto"/>
              <w:right w:val="single" w:sz="4" w:space="0" w:color="auto"/>
            </w:tcBorders>
          </w:tcPr>
          <w:p w:rsidR="00C367FE" w:rsidRPr="0022731A" w:rsidRDefault="00C367FE" w:rsidP="00DD06EC">
            <w:pPr>
              <w:adjustRightInd w:val="0"/>
              <w:snapToGrid w:val="0"/>
              <w:spacing w:line="240" w:lineRule="auto"/>
              <w:ind w:firstLineChars="0" w:firstLine="0"/>
              <w:rPr>
                <w:rFonts w:hAnsi="宋体"/>
                <w:sz w:val="22"/>
                <w:szCs w:val="24"/>
              </w:rPr>
            </w:pPr>
          </w:p>
        </w:tc>
        <w:tc>
          <w:tcPr>
            <w:tcW w:w="12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9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r w:rsidRPr="0022731A">
              <w:rPr>
                <w:rFonts w:hAnsi="宋体" w:hint="eastAsia"/>
                <w:sz w:val="22"/>
                <w:szCs w:val="24"/>
              </w:rPr>
              <w:t>非经营性往来</w:t>
            </w:r>
          </w:p>
        </w:tc>
      </w:tr>
      <w:tr w:rsidR="00C367FE" w:rsidRPr="0022731A" w:rsidTr="00DD06EC">
        <w:trPr>
          <w:cantSplit/>
          <w:trHeight w:val="285"/>
        </w:trPr>
        <w:tc>
          <w:tcPr>
            <w:tcW w:w="1815" w:type="dxa"/>
            <w:vMerge/>
            <w:tcBorders>
              <w:top w:val="nil"/>
              <w:left w:val="single" w:sz="8" w:space="0" w:color="auto"/>
              <w:bottom w:val="single" w:sz="4" w:space="0" w:color="auto"/>
              <w:right w:val="single" w:sz="4" w:space="0" w:color="auto"/>
            </w:tcBorders>
            <w:vAlign w:val="center"/>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9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2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080" w:type="dxa"/>
            <w:tcBorders>
              <w:top w:val="single" w:sz="4" w:space="0" w:color="auto"/>
              <w:left w:val="nil"/>
              <w:bottom w:val="single" w:sz="4" w:space="0" w:color="auto"/>
              <w:right w:val="single" w:sz="4" w:space="0" w:color="auto"/>
            </w:tcBorders>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7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4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260" w:type="dxa"/>
            <w:tcBorders>
              <w:top w:val="single" w:sz="4" w:space="0" w:color="auto"/>
              <w:left w:val="nil"/>
              <w:bottom w:val="single" w:sz="4" w:space="0" w:color="auto"/>
              <w:right w:val="single" w:sz="4" w:space="0" w:color="auto"/>
            </w:tcBorders>
          </w:tcPr>
          <w:p w:rsidR="00C367FE" w:rsidRPr="0022731A" w:rsidRDefault="00C367FE" w:rsidP="00DD06EC">
            <w:pPr>
              <w:adjustRightInd w:val="0"/>
              <w:snapToGrid w:val="0"/>
              <w:spacing w:line="240" w:lineRule="auto"/>
              <w:ind w:firstLineChars="0" w:firstLine="0"/>
              <w:rPr>
                <w:rFonts w:hAnsi="宋体"/>
                <w:sz w:val="22"/>
                <w:szCs w:val="24"/>
              </w:rPr>
            </w:pPr>
          </w:p>
        </w:tc>
        <w:tc>
          <w:tcPr>
            <w:tcW w:w="12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9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r w:rsidRPr="0022731A">
              <w:rPr>
                <w:rFonts w:hAnsi="宋体" w:hint="eastAsia"/>
                <w:sz w:val="22"/>
                <w:szCs w:val="24"/>
              </w:rPr>
              <w:t>非经营性往来</w:t>
            </w:r>
          </w:p>
        </w:tc>
      </w:tr>
      <w:tr w:rsidR="00C367FE" w:rsidRPr="0022731A" w:rsidTr="00DD06EC">
        <w:trPr>
          <w:cantSplit/>
          <w:trHeight w:val="285"/>
        </w:trPr>
        <w:tc>
          <w:tcPr>
            <w:tcW w:w="1815" w:type="dxa"/>
            <w:vMerge/>
            <w:tcBorders>
              <w:top w:val="nil"/>
              <w:left w:val="single" w:sz="8" w:space="0" w:color="auto"/>
              <w:bottom w:val="single" w:sz="4" w:space="0" w:color="auto"/>
              <w:right w:val="single" w:sz="4" w:space="0" w:color="auto"/>
            </w:tcBorders>
            <w:vAlign w:val="center"/>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9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2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080" w:type="dxa"/>
            <w:tcBorders>
              <w:top w:val="single" w:sz="4" w:space="0" w:color="auto"/>
              <w:left w:val="nil"/>
              <w:bottom w:val="single" w:sz="4" w:space="0" w:color="auto"/>
              <w:right w:val="single" w:sz="4" w:space="0" w:color="auto"/>
            </w:tcBorders>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7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4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260" w:type="dxa"/>
            <w:tcBorders>
              <w:top w:val="single" w:sz="4" w:space="0" w:color="auto"/>
              <w:left w:val="nil"/>
              <w:bottom w:val="single" w:sz="4" w:space="0" w:color="auto"/>
              <w:right w:val="single" w:sz="4" w:space="0" w:color="auto"/>
            </w:tcBorders>
          </w:tcPr>
          <w:p w:rsidR="00C367FE" w:rsidRPr="0022731A" w:rsidRDefault="00C367FE" w:rsidP="00DD06EC">
            <w:pPr>
              <w:adjustRightInd w:val="0"/>
              <w:snapToGrid w:val="0"/>
              <w:spacing w:line="240" w:lineRule="auto"/>
              <w:ind w:firstLineChars="0" w:firstLine="0"/>
              <w:rPr>
                <w:rFonts w:hAnsi="宋体"/>
                <w:sz w:val="22"/>
                <w:szCs w:val="24"/>
              </w:rPr>
            </w:pPr>
          </w:p>
        </w:tc>
        <w:tc>
          <w:tcPr>
            <w:tcW w:w="12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9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r w:rsidRPr="0022731A">
              <w:rPr>
                <w:rFonts w:hAnsi="宋体" w:hint="eastAsia"/>
                <w:sz w:val="22"/>
                <w:szCs w:val="24"/>
              </w:rPr>
              <w:t>非经营性往来</w:t>
            </w:r>
          </w:p>
        </w:tc>
      </w:tr>
      <w:tr w:rsidR="00C367FE" w:rsidRPr="0022731A" w:rsidTr="00DD06EC">
        <w:trPr>
          <w:cantSplit/>
          <w:trHeight w:val="285"/>
        </w:trPr>
        <w:tc>
          <w:tcPr>
            <w:tcW w:w="1815" w:type="dxa"/>
            <w:vMerge w:val="restart"/>
            <w:tcBorders>
              <w:top w:val="nil"/>
              <w:left w:val="single" w:sz="8" w:space="0" w:color="auto"/>
              <w:bottom w:val="single" w:sz="4" w:space="0" w:color="auto"/>
              <w:right w:val="single" w:sz="4" w:space="0" w:color="auto"/>
            </w:tcBorders>
            <w:tcMar>
              <w:top w:w="15" w:type="dxa"/>
              <w:left w:w="15" w:type="dxa"/>
              <w:bottom w:w="0" w:type="dxa"/>
              <w:right w:w="15" w:type="dxa"/>
            </w:tcMar>
          </w:tcPr>
          <w:p w:rsidR="00C367FE" w:rsidRPr="0022731A" w:rsidRDefault="00C367FE" w:rsidP="00DD06EC">
            <w:pPr>
              <w:adjustRightInd w:val="0"/>
              <w:snapToGrid w:val="0"/>
              <w:spacing w:line="240" w:lineRule="auto"/>
              <w:ind w:firstLineChars="0" w:firstLine="0"/>
              <w:rPr>
                <w:rFonts w:hAnsi="宋体" w:cs="Arial Unicode MS"/>
                <w:sz w:val="22"/>
                <w:szCs w:val="24"/>
              </w:rPr>
            </w:pPr>
            <w:r w:rsidRPr="0022731A">
              <w:rPr>
                <w:rFonts w:hAnsi="宋体" w:hint="eastAsia"/>
                <w:sz w:val="22"/>
                <w:szCs w:val="24"/>
              </w:rPr>
              <w:t>关联自然人</w:t>
            </w:r>
          </w:p>
        </w:tc>
        <w:tc>
          <w:tcPr>
            <w:tcW w:w="9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2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080" w:type="dxa"/>
            <w:tcBorders>
              <w:top w:val="single" w:sz="4" w:space="0" w:color="auto"/>
              <w:left w:val="nil"/>
              <w:bottom w:val="single" w:sz="4" w:space="0" w:color="auto"/>
              <w:right w:val="single" w:sz="4" w:space="0" w:color="auto"/>
            </w:tcBorders>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7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4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260" w:type="dxa"/>
            <w:tcBorders>
              <w:top w:val="single" w:sz="4" w:space="0" w:color="auto"/>
              <w:left w:val="nil"/>
              <w:bottom w:val="single" w:sz="4" w:space="0" w:color="auto"/>
              <w:right w:val="single" w:sz="4" w:space="0" w:color="auto"/>
            </w:tcBorders>
          </w:tcPr>
          <w:p w:rsidR="00C367FE" w:rsidRPr="0022731A" w:rsidRDefault="00C367FE" w:rsidP="00DD06EC">
            <w:pPr>
              <w:adjustRightInd w:val="0"/>
              <w:snapToGrid w:val="0"/>
              <w:spacing w:line="240" w:lineRule="auto"/>
              <w:ind w:firstLineChars="0" w:firstLine="0"/>
              <w:rPr>
                <w:rFonts w:hAnsi="宋体"/>
                <w:sz w:val="22"/>
                <w:szCs w:val="24"/>
              </w:rPr>
            </w:pPr>
          </w:p>
        </w:tc>
        <w:tc>
          <w:tcPr>
            <w:tcW w:w="12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9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r w:rsidRPr="0022731A">
              <w:rPr>
                <w:rFonts w:hAnsi="宋体" w:hint="eastAsia"/>
                <w:sz w:val="22"/>
                <w:szCs w:val="24"/>
              </w:rPr>
              <w:t>非经营性往来</w:t>
            </w:r>
          </w:p>
        </w:tc>
      </w:tr>
      <w:tr w:rsidR="00C367FE" w:rsidRPr="0022731A" w:rsidTr="00DD06EC">
        <w:trPr>
          <w:cantSplit/>
          <w:trHeight w:val="285"/>
        </w:trPr>
        <w:tc>
          <w:tcPr>
            <w:tcW w:w="1815" w:type="dxa"/>
            <w:vMerge/>
            <w:tcBorders>
              <w:top w:val="nil"/>
              <w:left w:val="single" w:sz="8" w:space="0" w:color="auto"/>
              <w:bottom w:val="single" w:sz="4" w:space="0" w:color="auto"/>
              <w:right w:val="single" w:sz="4" w:space="0" w:color="auto"/>
            </w:tcBorders>
            <w:vAlign w:val="center"/>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9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2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080" w:type="dxa"/>
            <w:tcBorders>
              <w:top w:val="single" w:sz="4" w:space="0" w:color="auto"/>
              <w:left w:val="nil"/>
              <w:bottom w:val="single" w:sz="4" w:space="0" w:color="auto"/>
              <w:right w:val="single" w:sz="4" w:space="0" w:color="auto"/>
            </w:tcBorders>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7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4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260" w:type="dxa"/>
            <w:tcBorders>
              <w:top w:val="single" w:sz="4" w:space="0" w:color="auto"/>
              <w:left w:val="nil"/>
              <w:bottom w:val="single" w:sz="4" w:space="0" w:color="auto"/>
              <w:right w:val="single" w:sz="4" w:space="0" w:color="auto"/>
            </w:tcBorders>
          </w:tcPr>
          <w:p w:rsidR="00C367FE" w:rsidRPr="0022731A" w:rsidRDefault="00C367FE" w:rsidP="00DD06EC">
            <w:pPr>
              <w:adjustRightInd w:val="0"/>
              <w:snapToGrid w:val="0"/>
              <w:spacing w:line="240" w:lineRule="auto"/>
              <w:ind w:firstLineChars="0" w:firstLine="0"/>
              <w:rPr>
                <w:rFonts w:hAnsi="宋体"/>
                <w:sz w:val="22"/>
                <w:szCs w:val="24"/>
              </w:rPr>
            </w:pPr>
          </w:p>
        </w:tc>
        <w:tc>
          <w:tcPr>
            <w:tcW w:w="12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9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r w:rsidRPr="0022731A">
              <w:rPr>
                <w:rFonts w:hAnsi="宋体" w:hint="eastAsia"/>
                <w:sz w:val="22"/>
                <w:szCs w:val="24"/>
              </w:rPr>
              <w:t>非经营性往来</w:t>
            </w:r>
          </w:p>
        </w:tc>
      </w:tr>
      <w:tr w:rsidR="00C367FE" w:rsidRPr="0022731A" w:rsidTr="00DD06EC">
        <w:trPr>
          <w:cantSplit/>
          <w:trHeight w:val="285"/>
        </w:trPr>
        <w:tc>
          <w:tcPr>
            <w:tcW w:w="1815" w:type="dxa"/>
            <w:vMerge w:val="restart"/>
            <w:tcBorders>
              <w:top w:val="nil"/>
              <w:left w:val="single" w:sz="8" w:space="0" w:color="auto"/>
              <w:bottom w:val="single" w:sz="4" w:space="0" w:color="auto"/>
              <w:right w:val="single" w:sz="4" w:space="0" w:color="auto"/>
            </w:tcBorders>
            <w:tcMar>
              <w:top w:w="15" w:type="dxa"/>
              <w:left w:w="15" w:type="dxa"/>
              <w:bottom w:w="0" w:type="dxa"/>
              <w:right w:w="15" w:type="dxa"/>
            </w:tcMar>
          </w:tcPr>
          <w:p w:rsidR="00C367FE" w:rsidRPr="0022731A" w:rsidRDefault="00C367FE" w:rsidP="00DD06EC">
            <w:pPr>
              <w:adjustRightInd w:val="0"/>
              <w:snapToGrid w:val="0"/>
              <w:spacing w:line="240" w:lineRule="auto"/>
              <w:ind w:firstLineChars="0" w:firstLine="0"/>
              <w:rPr>
                <w:rFonts w:hAnsi="宋体" w:cs="Arial Unicode MS"/>
                <w:sz w:val="22"/>
                <w:szCs w:val="24"/>
              </w:rPr>
            </w:pPr>
            <w:r w:rsidRPr="0022731A">
              <w:rPr>
                <w:rFonts w:hAnsi="宋体" w:hint="eastAsia"/>
                <w:sz w:val="22"/>
                <w:szCs w:val="24"/>
              </w:rPr>
              <w:t>其他关联方及其附属企业</w:t>
            </w:r>
          </w:p>
        </w:tc>
        <w:tc>
          <w:tcPr>
            <w:tcW w:w="9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2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080" w:type="dxa"/>
            <w:tcBorders>
              <w:top w:val="single" w:sz="4" w:space="0" w:color="auto"/>
              <w:left w:val="nil"/>
              <w:bottom w:val="single" w:sz="4" w:space="0" w:color="auto"/>
              <w:right w:val="single" w:sz="4" w:space="0" w:color="auto"/>
            </w:tcBorders>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7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4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260" w:type="dxa"/>
            <w:tcBorders>
              <w:top w:val="single" w:sz="4" w:space="0" w:color="auto"/>
              <w:left w:val="nil"/>
              <w:bottom w:val="single" w:sz="4" w:space="0" w:color="auto"/>
              <w:right w:val="single" w:sz="4" w:space="0" w:color="auto"/>
            </w:tcBorders>
          </w:tcPr>
          <w:p w:rsidR="00C367FE" w:rsidRPr="0022731A" w:rsidRDefault="00C367FE" w:rsidP="00DD06EC">
            <w:pPr>
              <w:adjustRightInd w:val="0"/>
              <w:snapToGrid w:val="0"/>
              <w:spacing w:line="240" w:lineRule="auto"/>
              <w:ind w:firstLineChars="0" w:firstLine="0"/>
              <w:rPr>
                <w:rFonts w:hAnsi="宋体"/>
                <w:sz w:val="22"/>
                <w:szCs w:val="24"/>
              </w:rPr>
            </w:pPr>
          </w:p>
        </w:tc>
        <w:tc>
          <w:tcPr>
            <w:tcW w:w="12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9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r w:rsidRPr="0022731A">
              <w:rPr>
                <w:rFonts w:hAnsi="宋体" w:hint="eastAsia"/>
                <w:sz w:val="22"/>
                <w:szCs w:val="24"/>
              </w:rPr>
              <w:t>非经营性往来</w:t>
            </w:r>
          </w:p>
        </w:tc>
      </w:tr>
      <w:tr w:rsidR="00C367FE" w:rsidRPr="0022731A" w:rsidTr="00DD06EC">
        <w:trPr>
          <w:cantSplit/>
          <w:trHeight w:val="285"/>
        </w:trPr>
        <w:tc>
          <w:tcPr>
            <w:tcW w:w="1815" w:type="dxa"/>
            <w:vMerge/>
            <w:tcBorders>
              <w:top w:val="nil"/>
              <w:left w:val="single" w:sz="8" w:space="0" w:color="auto"/>
              <w:bottom w:val="single" w:sz="4" w:space="0" w:color="auto"/>
              <w:right w:val="single" w:sz="4" w:space="0" w:color="auto"/>
            </w:tcBorders>
            <w:vAlign w:val="center"/>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9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2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080" w:type="dxa"/>
            <w:tcBorders>
              <w:top w:val="single" w:sz="4" w:space="0" w:color="auto"/>
              <w:left w:val="nil"/>
              <w:bottom w:val="single" w:sz="4" w:space="0" w:color="auto"/>
              <w:right w:val="single" w:sz="4" w:space="0" w:color="auto"/>
            </w:tcBorders>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7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4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260" w:type="dxa"/>
            <w:tcBorders>
              <w:top w:val="single" w:sz="4" w:space="0" w:color="auto"/>
              <w:left w:val="nil"/>
              <w:bottom w:val="single" w:sz="4" w:space="0" w:color="auto"/>
              <w:right w:val="single" w:sz="4" w:space="0" w:color="auto"/>
            </w:tcBorders>
          </w:tcPr>
          <w:p w:rsidR="00C367FE" w:rsidRPr="0022731A" w:rsidRDefault="00C367FE" w:rsidP="00DD06EC">
            <w:pPr>
              <w:adjustRightInd w:val="0"/>
              <w:snapToGrid w:val="0"/>
              <w:spacing w:line="240" w:lineRule="auto"/>
              <w:ind w:firstLineChars="0" w:firstLine="0"/>
              <w:rPr>
                <w:rFonts w:hAnsi="宋体"/>
                <w:sz w:val="22"/>
                <w:szCs w:val="24"/>
              </w:rPr>
            </w:pPr>
          </w:p>
        </w:tc>
        <w:tc>
          <w:tcPr>
            <w:tcW w:w="12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9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r w:rsidRPr="0022731A">
              <w:rPr>
                <w:rFonts w:hAnsi="宋体" w:hint="eastAsia"/>
                <w:sz w:val="22"/>
                <w:szCs w:val="24"/>
              </w:rPr>
              <w:t>非经营性往来</w:t>
            </w:r>
          </w:p>
        </w:tc>
      </w:tr>
      <w:tr w:rsidR="00C367FE" w:rsidRPr="0022731A" w:rsidTr="00DD06EC">
        <w:trPr>
          <w:trHeight w:val="300"/>
        </w:trPr>
        <w:tc>
          <w:tcPr>
            <w:tcW w:w="1815" w:type="dxa"/>
            <w:tcBorders>
              <w:top w:val="nil"/>
              <w:left w:val="single" w:sz="8" w:space="0" w:color="auto"/>
              <w:bottom w:val="single" w:sz="8"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jc w:val="center"/>
              <w:rPr>
                <w:rFonts w:hAnsi="宋体" w:cs="Arial Unicode MS"/>
                <w:b/>
                <w:bCs/>
                <w:sz w:val="22"/>
                <w:szCs w:val="24"/>
              </w:rPr>
            </w:pPr>
            <w:r w:rsidRPr="0022731A">
              <w:rPr>
                <w:rFonts w:hAnsi="宋体" w:hint="eastAsia"/>
                <w:b/>
                <w:bCs/>
                <w:sz w:val="22"/>
                <w:szCs w:val="24"/>
              </w:rPr>
              <w:t>总计</w:t>
            </w:r>
          </w:p>
        </w:tc>
        <w:tc>
          <w:tcPr>
            <w:tcW w:w="925" w:type="dxa"/>
            <w:tcBorders>
              <w:top w:val="nil"/>
              <w:left w:val="nil"/>
              <w:bottom w:val="single" w:sz="8"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jc w:val="center"/>
              <w:rPr>
                <w:rFonts w:hAnsi="宋体" w:cs="Arial Unicode MS"/>
                <w:sz w:val="22"/>
                <w:szCs w:val="24"/>
              </w:rPr>
            </w:pPr>
            <w:r w:rsidRPr="0022731A">
              <w:rPr>
                <w:rFonts w:hAnsi="宋体"/>
                <w:sz w:val="22"/>
                <w:szCs w:val="24"/>
              </w:rPr>
              <w:t>-</w:t>
            </w:r>
          </w:p>
        </w:tc>
        <w:tc>
          <w:tcPr>
            <w:tcW w:w="1235" w:type="dxa"/>
            <w:tcBorders>
              <w:top w:val="nil"/>
              <w:left w:val="nil"/>
              <w:bottom w:val="single" w:sz="8"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jc w:val="center"/>
              <w:rPr>
                <w:rFonts w:hAnsi="宋体" w:cs="Arial Unicode MS"/>
                <w:sz w:val="22"/>
                <w:szCs w:val="24"/>
              </w:rPr>
            </w:pPr>
            <w:r w:rsidRPr="0022731A">
              <w:rPr>
                <w:rFonts w:hAnsi="宋体"/>
                <w:sz w:val="22"/>
                <w:szCs w:val="24"/>
              </w:rPr>
              <w:t>-</w:t>
            </w:r>
          </w:p>
        </w:tc>
        <w:tc>
          <w:tcPr>
            <w:tcW w:w="1080" w:type="dxa"/>
            <w:tcBorders>
              <w:top w:val="single" w:sz="4" w:space="0" w:color="auto"/>
              <w:left w:val="nil"/>
              <w:bottom w:val="single" w:sz="8" w:space="0" w:color="auto"/>
              <w:right w:val="single" w:sz="4" w:space="0" w:color="auto"/>
            </w:tcBorders>
            <w:vAlign w:val="bottom"/>
          </w:tcPr>
          <w:p w:rsidR="00C367FE" w:rsidRPr="0022731A" w:rsidRDefault="00C367FE" w:rsidP="00DD06EC">
            <w:pPr>
              <w:adjustRightInd w:val="0"/>
              <w:snapToGrid w:val="0"/>
              <w:spacing w:line="240" w:lineRule="auto"/>
              <w:ind w:firstLineChars="0" w:firstLine="0"/>
              <w:jc w:val="center"/>
              <w:rPr>
                <w:rFonts w:hAnsi="宋体" w:cs="Arial Unicode MS"/>
                <w:sz w:val="22"/>
                <w:szCs w:val="24"/>
              </w:rPr>
            </w:pPr>
            <w:r w:rsidRPr="0022731A">
              <w:rPr>
                <w:rFonts w:hAnsi="宋体"/>
                <w:sz w:val="22"/>
                <w:szCs w:val="24"/>
              </w:rPr>
              <w:t>-</w:t>
            </w:r>
          </w:p>
        </w:tc>
        <w:tc>
          <w:tcPr>
            <w:tcW w:w="1718" w:type="dxa"/>
            <w:tcBorders>
              <w:top w:val="nil"/>
              <w:left w:val="single" w:sz="4" w:space="0" w:color="auto"/>
              <w:bottom w:val="single" w:sz="8"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460" w:type="dxa"/>
            <w:tcBorders>
              <w:top w:val="nil"/>
              <w:left w:val="nil"/>
              <w:bottom w:val="single" w:sz="8"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1260" w:type="dxa"/>
            <w:tcBorders>
              <w:top w:val="single" w:sz="4" w:space="0" w:color="auto"/>
              <w:left w:val="nil"/>
              <w:bottom w:val="single" w:sz="8" w:space="0" w:color="auto"/>
              <w:right w:val="single" w:sz="4" w:space="0" w:color="auto"/>
            </w:tcBorders>
          </w:tcPr>
          <w:p w:rsidR="00C367FE" w:rsidRPr="0022731A" w:rsidRDefault="00C367FE" w:rsidP="00DD06EC">
            <w:pPr>
              <w:adjustRightInd w:val="0"/>
              <w:snapToGrid w:val="0"/>
              <w:spacing w:line="240" w:lineRule="auto"/>
              <w:ind w:firstLineChars="0" w:firstLine="0"/>
              <w:rPr>
                <w:rFonts w:hAnsi="宋体"/>
                <w:sz w:val="22"/>
                <w:szCs w:val="24"/>
              </w:rPr>
            </w:pPr>
          </w:p>
        </w:tc>
        <w:tc>
          <w:tcPr>
            <w:tcW w:w="1260" w:type="dxa"/>
            <w:tcBorders>
              <w:top w:val="nil"/>
              <w:left w:val="single" w:sz="4" w:space="0" w:color="auto"/>
              <w:bottom w:val="single" w:sz="8"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920" w:type="dxa"/>
            <w:tcBorders>
              <w:top w:val="nil"/>
              <w:left w:val="single" w:sz="4" w:space="0" w:color="auto"/>
              <w:bottom w:val="single" w:sz="8"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rPr>
                <w:rFonts w:hAnsi="宋体" w:cs="Arial Unicode MS"/>
                <w:sz w:val="22"/>
                <w:szCs w:val="24"/>
              </w:rPr>
            </w:pPr>
          </w:p>
        </w:tc>
        <w:tc>
          <w:tcPr>
            <w:tcW w:w="720" w:type="dxa"/>
            <w:tcBorders>
              <w:top w:val="nil"/>
              <w:left w:val="nil"/>
              <w:bottom w:val="single" w:sz="8" w:space="0" w:color="auto"/>
              <w:right w:val="single" w:sz="4"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jc w:val="center"/>
              <w:rPr>
                <w:rFonts w:hAnsi="宋体" w:cs="Arial Unicode MS"/>
                <w:sz w:val="22"/>
                <w:szCs w:val="24"/>
              </w:rPr>
            </w:pPr>
            <w:r w:rsidRPr="0022731A">
              <w:rPr>
                <w:rFonts w:hAnsi="宋体"/>
                <w:sz w:val="22"/>
                <w:szCs w:val="24"/>
              </w:rPr>
              <w:t>-</w:t>
            </w:r>
          </w:p>
        </w:tc>
        <w:tc>
          <w:tcPr>
            <w:tcW w:w="1620" w:type="dxa"/>
            <w:tcBorders>
              <w:top w:val="nil"/>
              <w:left w:val="nil"/>
              <w:bottom w:val="single" w:sz="8" w:space="0" w:color="auto"/>
              <w:right w:val="single" w:sz="8" w:space="0" w:color="auto"/>
            </w:tcBorders>
            <w:tcMar>
              <w:top w:w="15" w:type="dxa"/>
              <w:left w:w="15" w:type="dxa"/>
              <w:bottom w:w="0" w:type="dxa"/>
              <w:right w:w="15" w:type="dxa"/>
            </w:tcMar>
            <w:vAlign w:val="bottom"/>
          </w:tcPr>
          <w:p w:rsidR="00C367FE" w:rsidRPr="0022731A" w:rsidRDefault="00C367FE" w:rsidP="00DD06EC">
            <w:pPr>
              <w:adjustRightInd w:val="0"/>
              <w:snapToGrid w:val="0"/>
              <w:spacing w:line="240" w:lineRule="auto"/>
              <w:ind w:firstLineChars="0" w:firstLine="0"/>
              <w:jc w:val="center"/>
              <w:rPr>
                <w:rFonts w:hAnsi="宋体" w:cs="Arial Unicode MS"/>
                <w:sz w:val="22"/>
                <w:szCs w:val="24"/>
              </w:rPr>
            </w:pPr>
            <w:r w:rsidRPr="0022731A">
              <w:rPr>
                <w:rFonts w:hAnsi="宋体"/>
                <w:sz w:val="22"/>
                <w:szCs w:val="24"/>
              </w:rPr>
              <w:t>-</w:t>
            </w:r>
          </w:p>
        </w:tc>
      </w:tr>
    </w:tbl>
    <w:p w:rsidR="00C367FE" w:rsidRPr="0022731A" w:rsidRDefault="00C367FE" w:rsidP="00C367FE">
      <w:pPr>
        <w:spacing w:line="560" w:lineRule="exact"/>
        <w:ind w:firstLine="560"/>
        <w:rPr>
          <w:sz w:val="28"/>
          <w:szCs w:val="30"/>
        </w:rPr>
        <w:sectPr w:rsidR="00C367FE" w:rsidRPr="0022731A" w:rsidSect="00DD06EC">
          <w:footerReference w:type="even" r:id="rId7"/>
          <w:footerReference w:type="default" r:id="rId8"/>
          <w:pgSz w:w="16838" w:h="11906" w:orient="landscape"/>
          <w:pgMar w:top="1134" w:right="1440" w:bottom="1797" w:left="1440" w:header="851" w:footer="992" w:gutter="0"/>
          <w:cols w:space="425"/>
          <w:docGrid w:type="linesAndChars" w:linePitch="312"/>
        </w:sectPr>
      </w:pPr>
    </w:p>
    <w:p w:rsidR="00C367FE" w:rsidRPr="0022731A" w:rsidRDefault="00C367FE" w:rsidP="00C367FE">
      <w:pPr>
        <w:spacing w:line="560" w:lineRule="exact"/>
        <w:ind w:firstLine="480"/>
        <w:rPr>
          <w:sz w:val="24"/>
        </w:rPr>
      </w:pPr>
      <w:r w:rsidRPr="0022731A">
        <w:rPr>
          <w:rFonts w:hint="eastAsia"/>
          <w:sz w:val="24"/>
        </w:rPr>
        <w:lastRenderedPageBreak/>
        <w:t>填表说明：</w:t>
      </w:r>
    </w:p>
    <w:p w:rsidR="00C367FE" w:rsidRPr="0022731A" w:rsidRDefault="00C367FE" w:rsidP="00C367FE">
      <w:pPr>
        <w:spacing w:line="560" w:lineRule="exact"/>
        <w:ind w:firstLine="480"/>
        <w:rPr>
          <w:sz w:val="24"/>
        </w:rPr>
      </w:pPr>
      <w:r w:rsidRPr="0022731A">
        <w:rPr>
          <w:rFonts w:hint="eastAsia"/>
          <w:sz w:val="24"/>
        </w:rPr>
        <w:t>1.上市公司</w:t>
      </w:r>
      <w:r w:rsidR="00DD06EC">
        <w:rPr>
          <w:rFonts w:hint="eastAsia"/>
          <w:sz w:val="24"/>
        </w:rPr>
        <w:t>20XX</w:t>
      </w:r>
      <w:r w:rsidRPr="0022731A">
        <w:rPr>
          <w:rFonts w:hint="eastAsia"/>
          <w:sz w:val="24"/>
        </w:rPr>
        <w:t>年期初存在非经营性资金占用和资金往来的（</w:t>
      </w:r>
      <w:r w:rsidR="00DD06EC">
        <w:rPr>
          <w:rFonts w:hint="eastAsia"/>
          <w:sz w:val="24"/>
        </w:rPr>
        <w:t>20XX</w:t>
      </w:r>
      <w:r w:rsidRPr="0022731A">
        <w:rPr>
          <w:rFonts w:hint="eastAsia"/>
          <w:sz w:val="24"/>
        </w:rPr>
        <w:t>年期初相关会计科目存在借方余额），以及</w:t>
      </w:r>
      <w:r w:rsidR="00DD06EC">
        <w:rPr>
          <w:rFonts w:hint="eastAsia"/>
          <w:sz w:val="24"/>
        </w:rPr>
        <w:t>20XX</w:t>
      </w:r>
      <w:r w:rsidRPr="0022731A">
        <w:rPr>
          <w:rFonts w:hint="eastAsia"/>
          <w:sz w:val="24"/>
        </w:rPr>
        <w:t>年度新出现非经营性资金占用和资金往来情形的（</w:t>
      </w:r>
      <w:r w:rsidR="00DD06EC">
        <w:rPr>
          <w:rFonts w:hint="eastAsia"/>
          <w:sz w:val="24"/>
        </w:rPr>
        <w:t>20XX</w:t>
      </w:r>
      <w:r w:rsidRPr="0022731A">
        <w:rPr>
          <w:rFonts w:hint="eastAsia"/>
          <w:sz w:val="24"/>
        </w:rPr>
        <w:t>年度相关会计科目存在借方发生额），需要填写“汇总表”。汇总表中的相关数据应当填写在当年年报</w:t>
      </w:r>
      <w:r w:rsidRPr="0022731A">
        <w:rPr>
          <w:sz w:val="24"/>
        </w:rPr>
        <w:t>XBRL业务模板中。</w:t>
      </w:r>
    </w:p>
    <w:p w:rsidR="00C367FE" w:rsidRPr="0022731A" w:rsidRDefault="00C367FE" w:rsidP="00C367FE">
      <w:pPr>
        <w:spacing w:line="560" w:lineRule="exact"/>
        <w:ind w:firstLine="480"/>
        <w:rPr>
          <w:sz w:val="24"/>
        </w:rPr>
      </w:pPr>
      <w:r w:rsidRPr="0022731A">
        <w:rPr>
          <w:rFonts w:hint="eastAsia"/>
          <w:sz w:val="24"/>
        </w:rPr>
        <w:t>2.上市公司只需要填写向大股东及其附属企业和其它关联方提供资金的情形，大股东及其附属企业和其它关联方向上市公司提供资金的，不需要在汇总表中反映。</w:t>
      </w:r>
    </w:p>
    <w:p w:rsidR="00C367FE" w:rsidRPr="0022731A" w:rsidRDefault="00C367FE" w:rsidP="00C367FE">
      <w:pPr>
        <w:spacing w:line="560" w:lineRule="exact"/>
        <w:ind w:firstLine="480"/>
        <w:rPr>
          <w:sz w:val="24"/>
        </w:rPr>
      </w:pPr>
      <w:r w:rsidRPr="0022731A">
        <w:rPr>
          <w:rFonts w:hint="eastAsia"/>
          <w:sz w:val="24"/>
        </w:rPr>
        <w:t>3.非经营性资金占用</w:t>
      </w:r>
      <w:r>
        <w:rPr>
          <w:rFonts w:hint="eastAsia"/>
          <w:sz w:val="24"/>
        </w:rPr>
        <w:t>，指</w:t>
      </w:r>
      <w:r w:rsidRPr="0022731A">
        <w:rPr>
          <w:rFonts w:hint="eastAsia"/>
          <w:sz w:val="24"/>
        </w:rPr>
        <w:t>上市公司为大股东及其附属企业垫付的工资、福利、保险、广告等费用和其他支出；代大股东及其附属企业偿还债务而支付的资金；有偿或无偿、直接或间接拆借给大股东及其附属企业的资金；为大股东及其附属企业承担担保责任而形成的债权；其他在没有商品和劳务对价情况下提供给大股东及其附属企业使用的资金。</w:t>
      </w:r>
    </w:p>
    <w:p w:rsidR="00C367FE" w:rsidRPr="0022731A" w:rsidRDefault="00C367FE" w:rsidP="00C367FE">
      <w:pPr>
        <w:spacing w:line="560" w:lineRule="exact"/>
        <w:ind w:firstLine="480"/>
        <w:rPr>
          <w:sz w:val="24"/>
        </w:rPr>
      </w:pPr>
      <w:r w:rsidRPr="0022731A">
        <w:rPr>
          <w:rFonts w:hint="eastAsia"/>
          <w:sz w:val="24"/>
        </w:rPr>
        <w:t>4.</w:t>
      </w:r>
      <w:r w:rsidRPr="0022731A">
        <w:rPr>
          <w:sz w:val="24"/>
        </w:rPr>
        <w:t>其他关联资金往来，指上市公司与“大股东及其附属企业”之间的经营性资金往来，以及上市公司与“上市公司的子公司及其附属企业”、“关联自然人”和“其它关联方及其附属企业”之间的非经营性资金往来。</w:t>
      </w:r>
      <w:r w:rsidRPr="0022731A">
        <w:rPr>
          <w:rFonts w:hint="eastAsia"/>
          <w:sz w:val="24"/>
        </w:rPr>
        <w:t>上市公司需要从资金往来款项是否被长期拖欠的角度出发，认真分析资金往来是否属于非经营性资金往来，非经营性资金往来的认定标准参照适用前条非经营性资金占用的认定标准。</w:t>
      </w:r>
    </w:p>
    <w:p w:rsidR="00C367FE" w:rsidRPr="0022731A" w:rsidRDefault="00C367FE" w:rsidP="00C367FE">
      <w:pPr>
        <w:spacing w:line="560" w:lineRule="exact"/>
        <w:ind w:firstLine="480"/>
        <w:rPr>
          <w:sz w:val="24"/>
        </w:rPr>
      </w:pPr>
      <w:r w:rsidRPr="0022731A">
        <w:rPr>
          <w:rFonts w:hint="eastAsia"/>
          <w:sz w:val="24"/>
        </w:rPr>
        <w:t>5.“现大股东及其附属企业”包括以下几种情形：</w:t>
      </w:r>
    </w:p>
    <w:p w:rsidR="00C367FE" w:rsidRPr="0022731A" w:rsidRDefault="00C367FE" w:rsidP="00C367FE">
      <w:pPr>
        <w:spacing w:line="560" w:lineRule="exact"/>
        <w:ind w:firstLine="480"/>
        <w:rPr>
          <w:sz w:val="24"/>
        </w:rPr>
      </w:pPr>
      <w:r w:rsidRPr="0022731A">
        <w:rPr>
          <w:rFonts w:hint="eastAsia"/>
          <w:sz w:val="24"/>
        </w:rPr>
        <w:t>（1）实际控制人；</w:t>
      </w:r>
    </w:p>
    <w:p w:rsidR="00C367FE" w:rsidRPr="0022731A" w:rsidRDefault="00C367FE" w:rsidP="00C367FE">
      <w:pPr>
        <w:spacing w:line="560" w:lineRule="exact"/>
        <w:ind w:firstLine="480"/>
        <w:rPr>
          <w:sz w:val="24"/>
        </w:rPr>
      </w:pPr>
      <w:r w:rsidRPr="0022731A">
        <w:rPr>
          <w:rFonts w:hint="eastAsia"/>
          <w:sz w:val="24"/>
        </w:rPr>
        <w:t>（2）控股股东；</w:t>
      </w:r>
    </w:p>
    <w:p w:rsidR="00C367FE" w:rsidRPr="0022731A" w:rsidRDefault="00C367FE" w:rsidP="00C367FE">
      <w:pPr>
        <w:spacing w:line="560" w:lineRule="exact"/>
        <w:ind w:firstLine="480"/>
        <w:rPr>
          <w:sz w:val="24"/>
        </w:rPr>
      </w:pPr>
      <w:r w:rsidRPr="0022731A">
        <w:rPr>
          <w:rFonts w:hint="eastAsia"/>
          <w:sz w:val="24"/>
        </w:rPr>
        <w:t>（3）控股股东、实际控制人的附属企业。</w:t>
      </w:r>
    </w:p>
    <w:p w:rsidR="00C367FE" w:rsidRPr="0022731A" w:rsidRDefault="00C367FE" w:rsidP="00C367FE">
      <w:pPr>
        <w:spacing w:line="560" w:lineRule="exact"/>
        <w:ind w:firstLine="480"/>
        <w:rPr>
          <w:sz w:val="24"/>
        </w:rPr>
      </w:pPr>
      <w:r w:rsidRPr="0022731A">
        <w:rPr>
          <w:rFonts w:hint="eastAsia"/>
          <w:sz w:val="24"/>
        </w:rPr>
        <w:t>6.“前大股东及其附属企业”包括以下几种情形：</w:t>
      </w:r>
    </w:p>
    <w:p w:rsidR="00C367FE" w:rsidRPr="0022731A" w:rsidRDefault="00C367FE" w:rsidP="00C367FE">
      <w:pPr>
        <w:spacing w:line="560" w:lineRule="exact"/>
        <w:ind w:firstLine="480"/>
        <w:rPr>
          <w:sz w:val="24"/>
        </w:rPr>
      </w:pPr>
      <w:r w:rsidRPr="0022731A">
        <w:rPr>
          <w:rFonts w:hint="eastAsia"/>
          <w:sz w:val="24"/>
        </w:rPr>
        <w:lastRenderedPageBreak/>
        <w:t>（1）公司前实际控制人；</w:t>
      </w:r>
    </w:p>
    <w:p w:rsidR="00C367FE" w:rsidRPr="0022731A" w:rsidRDefault="00C367FE" w:rsidP="00C367FE">
      <w:pPr>
        <w:spacing w:line="560" w:lineRule="exact"/>
        <w:ind w:firstLine="480"/>
        <w:rPr>
          <w:sz w:val="24"/>
        </w:rPr>
      </w:pPr>
      <w:r w:rsidRPr="0022731A">
        <w:rPr>
          <w:rFonts w:hint="eastAsia"/>
          <w:sz w:val="24"/>
        </w:rPr>
        <w:t>（2）公司前控股股东；</w:t>
      </w:r>
    </w:p>
    <w:p w:rsidR="00C367FE" w:rsidRPr="0022731A" w:rsidRDefault="00C367FE" w:rsidP="00C367FE">
      <w:pPr>
        <w:spacing w:line="560" w:lineRule="exact"/>
        <w:ind w:firstLine="480"/>
        <w:rPr>
          <w:sz w:val="24"/>
        </w:rPr>
      </w:pPr>
      <w:r w:rsidRPr="0022731A">
        <w:rPr>
          <w:rFonts w:hint="eastAsia"/>
          <w:sz w:val="24"/>
        </w:rPr>
        <w:t>（3）公司前控股股东、前实际控制人的附属企业。</w:t>
      </w:r>
    </w:p>
    <w:p w:rsidR="00C367FE" w:rsidRPr="0022731A" w:rsidRDefault="00C367FE" w:rsidP="00C367FE">
      <w:pPr>
        <w:spacing w:line="560" w:lineRule="exact"/>
        <w:ind w:firstLine="480"/>
        <w:rPr>
          <w:sz w:val="24"/>
        </w:rPr>
      </w:pPr>
      <w:r w:rsidRPr="0022731A">
        <w:rPr>
          <w:rFonts w:hint="eastAsia"/>
          <w:sz w:val="24"/>
        </w:rPr>
        <w:t>7.附属企业是指控股股东、实际控制人控制的企业，但不含上市公司以及上市公司控制的企业。</w:t>
      </w:r>
    </w:p>
    <w:p w:rsidR="00C367FE" w:rsidRPr="0022731A" w:rsidRDefault="00C367FE" w:rsidP="00C367FE">
      <w:pPr>
        <w:spacing w:line="560" w:lineRule="exact"/>
        <w:ind w:firstLine="480"/>
        <w:rPr>
          <w:sz w:val="24"/>
        </w:rPr>
      </w:pPr>
      <w:r w:rsidRPr="0022731A">
        <w:rPr>
          <w:rFonts w:hint="eastAsia"/>
          <w:sz w:val="24"/>
        </w:rPr>
        <w:t>8.“大股东及其附属企业”包括“现大股东及其附属企业”和“前大股东及其附属企业”。</w:t>
      </w:r>
    </w:p>
    <w:p w:rsidR="00C367FE" w:rsidRPr="0022731A" w:rsidRDefault="00C367FE" w:rsidP="00C367FE">
      <w:pPr>
        <w:spacing w:line="560" w:lineRule="exact"/>
        <w:ind w:firstLine="480"/>
        <w:rPr>
          <w:sz w:val="24"/>
        </w:rPr>
      </w:pPr>
      <w:r w:rsidRPr="0022731A">
        <w:rPr>
          <w:rFonts w:hint="eastAsia"/>
          <w:sz w:val="24"/>
        </w:rPr>
        <w:t>9.“上市公司的子公司及其附属企业”包括以下几种情形：</w:t>
      </w:r>
    </w:p>
    <w:p w:rsidR="00C367FE" w:rsidRPr="0022731A" w:rsidRDefault="00C367FE" w:rsidP="00C367FE">
      <w:pPr>
        <w:spacing w:line="560" w:lineRule="exact"/>
        <w:ind w:firstLine="480"/>
        <w:rPr>
          <w:sz w:val="24"/>
        </w:rPr>
      </w:pPr>
      <w:r w:rsidRPr="0022731A">
        <w:rPr>
          <w:rFonts w:hint="eastAsia"/>
          <w:sz w:val="24"/>
        </w:rPr>
        <w:t>（1）子公司及其控制的法人；</w:t>
      </w:r>
    </w:p>
    <w:p w:rsidR="00C367FE" w:rsidRPr="0022731A" w:rsidRDefault="00C367FE" w:rsidP="00C367FE">
      <w:pPr>
        <w:spacing w:line="560" w:lineRule="exact"/>
        <w:ind w:firstLine="480"/>
        <w:rPr>
          <w:sz w:val="24"/>
        </w:rPr>
      </w:pPr>
      <w:r w:rsidRPr="0022731A">
        <w:rPr>
          <w:rFonts w:hint="eastAsia"/>
          <w:sz w:val="24"/>
        </w:rPr>
        <w:t>（2）上市公司的其他附属企业。</w:t>
      </w:r>
    </w:p>
    <w:p w:rsidR="00C367FE" w:rsidRPr="0022731A" w:rsidRDefault="00C367FE" w:rsidP="00C367FE">
      <w:pPr>
        <w:spacing w:line="560" w:lineRule="exact"/>
        <w:ind w:firstLine="480"/>
        <w:rPr>
          <w:sz w:val="24"/>
        </w:rPr>
      </w:pPr>
      <w:r w:rsidRPr="0022731A">
        <w:rPr>
          <w:rFonts w:hint="eastAsia"/>
          <w:sz w:val="24"/>
        </w:rPr>
        <w:t>10.“关联自然人”包括《股票上市规则》第</w:t>
      </w:r>
      <w:smartTag w:uri="urn:schemas-microsoft-com:office:smarttags" w:element="chsdate">
        <w:smartTagPr>
          <w:attr w:name="Year" w:val="1899"/>
          <w:attr w:name="Month" w:val="12"/>
          <w:attr w:name="Day" w:val="30"/>
          <w:attr w:name="IsLunarDate" w:val="False"/>
          <w:attr w:name="IsROCDate" w:val="False"/>
        </w:smartTagPr>
        <w:r w:rsidRPr="0022731A">
          <w:rPr>
            <w:rFonts w:hint="eastAsia"/>
            <w:sz w:val="24"/>
          </w:rPr>
          <w:t>10.1.5</w:t>
        </w:r>
      </w:smartTag>
      <w:r w:rsidRPr="0022731A">
        <w:rPr>
          <w:rFonts w:hint="eastAsia"/>
          <w:sz w:val="24"/>
        </w:rPr>
        <w:t>条、第10.1.6以及《上海证券交易所上市公司关联交易实施指引》第二章认定的关联自然人。如果关联自然人同时是上市公司控股股东或实际控制人的，相关资金占用情况应当在“大股东及其附属企业”占用资金中反映。</w:t>
      </w:r>
    </w:p>
    <w:p w:rsidR="00C367FE" w:rsidRPr="0022731A" w:rsidRDefault="00C367FE" w:rsidP="00C367FE">
      <w:pPr>
        <w:spacing w:line="560" w:lineRule="exact"/>
        <w:ind w:firstLine="480"/>
        <w:rPr>
          <w:sz w:val="24"/>
        </w:rPr>
      </w:pPr>
      <w:r w:rsidRPr="0022731A">
        <w:rPr>
          <w:rFonts w:hint="eastAsia"/>
          <w:sz w:val="24"/>
        </w:rPr>
        <w:t>11.“其他关联方及其附属企业”包括《股票上市规则》第</w:t>
      </w:r>
      <w:smartTag w:uri="urn:schemas-microsoft-com:office:smarttags" w:element="chsdate">
        <w:smartTagPr>
          <w:attr w:name="Year" w:val="1899"/>
          <w:attr w:name="Month" w:val="12"/>
          <w:attr w:name="Day" w:val="30"/>
          <w:attr w:name="IsLunarDate" w:val="False"/>
          <w:attr w:name="IsROCDate" w:val="False"/>
        </w:smartTagPr>
        <w:r w:rsidRPr="0022731A">
          <w:rPr>
            <w:rFonts w:hint="eastAsia"/>
            <w:sz w:val="24"/>
          </w:rPr>
          <w:t>10.1.3</w:t>
        </w:r>
      </w:smartTag>
      <w:r w:rsidRPr="0022731A">
        <w:rPr>
          <w:rFonts w:hint="eastAsia"/>
          <w:sz w:val="24"/>
        </w:rPr>
        <w:t>条、第10.1.6以及《上海证券交易所上市公司关联交易实施指引》第二章认定的关联法人，包括但不限于：</w:t>
      </w:r>
    </w:p>
    <w:p w:rsidR="00C367FE" w:rsidRPr="0022731A" w:rsidRDefault="00C367FE" w:rsidP="00C367FE">
      <w:pPr>
        <w:spacing w:line="560" w:lineRule="exact"/>
        <w:ind w:firstLine="480"/>
        <w:rPr>
          <w:sz w:val="24"/>
        </w:rPr>
      </w:pPr>
      <w:r w:rsidRPr="0022731A">
        <w:rPr>
          <w:rFonts w:hint="eastAsia"/>
          <w:sz w:val="24"/>
        </w:rPr>
        <w:t>（1）根据与上市公司或者其关联人签署的协议或者作出的安排，在协议或者安排生效后，或在未来十二个月内，将具有《股票上市规则》第</w:t>
      </w:r>
      <w:smartTag w:uri="urn:schemas-microsoft-com:office:smarttags" w:element="chsdate">
        <w:smartTagPr>
          <w:attr w:name="Year" w:val="1899"/>
          <w:attr w:name="Month" w:val="12"/>
          <w:attr w:name="Day" w:val="30"/>
          <w:attr w:name="IsLunarDate" w:val="False"/>
          <w:attr w:name="IsROCDate" w:val="False"/>
        </w:smartTagPr>
        <w:r w:rsidRPr="0022731A">
          <w:rPr>
            <w:rFonts w:hint="eastAsia"/>
            <w:sz w:val="24"/>
          </w:rPr>
          <w:t>10.1.3</w:t>
        </w:r>
      </w:smartTag>
      <w:r w:rsidRPr="0022731A">
        <w:rPr>
          <w:rFonts w:hint="eastAsia"/>
          <w:sz w:val="24"/>
        </w:rPr>
        <w:t>条规定的情形之一的；</w:t>
      </w:r>
    </w:p>
    <w:p w:rsidR="00C367FE" w:rsidRPr="0022731A" w:rsidRDefault="00C367FE" w:rsidP="00C367FE">
      <w:pPr>
        <w:spacing w:line="560" w:lineRule="exact"/>
        <w:ind w:firstLine="480"/>
        <w:rPr>
          <w:sz w:val="24"/>
        </w:rPr>
      </w:pPr>
      <w:r w:rsidRPr="0022731A">
        <w:rPr>
          <w:rFonts w:hint="eastAsia"/>
          <w:sz w:val="24"/>
        </w:rPr>
        <w:t>（2）过去十二个月内，曾经具有《股票上市规则》第</w:t>
      </w:r>
      <w:smartTag w:uri="urn:schemas-microsoft-com:office:smarttags" w:element="chsdate">
        <w:smartTagPr>
          <w:attr w:name="Year" w:val="1899"/>
          <w:attr w:name="Month" w:val="12"/>
          <w:attr w:name="Day" w:val="30"/>
          <w:attr w:name="IsLunarDate" w:val="False"/>
          <w:attr w:name="IsROCDate" w:val="False"/>
        </w:smartTagPr>
        <w:r w:rsidRPr="0022731A">
          <w:rPr>
            <w:rFonts w:hint="eastAsia"/>
            <w:sz w:val="24"/>
          </w:rPr>
          <w:t>10.1.3</w:t>
        </w:r>
      </w:smartTag>
      <w:r w:rsidRPr="0022731A">
        <w:rPr>
          <w:rFonts w:hint="eastAsia"/>
          <w:sz w:val="24"/>
        </w:rPr>
        <w:t>条规定的情形之一的（不含公司原控股股东、原实际控制人及其附属企业）；</w:t>
      </w:r>
    </w:p>
    <w:p w:rsidR="00C367FE" w:rsidRPr="0022731A" w:rsidRDefault="00C367FE" w:rsidP="00C367FE">
      <w:pPr>
        <w:spacing w:line="560" w:lineRule="exact"/>
        <w:ind w:firstLine="480"/>
        <w:rPr>
          <w:sz w:val="24"/>
        </w:rPr>
      </w:pPr>
      <w:r w:rsidRPr="0022731A">
        <w:rPr>
          <w:rFonts w:hint="eastAsia"/>
          <w:sz w:val="24"/>
        </w:rPr>
        <w:t>（3）持有上市公司5%以上股份的法人或其他组织（不含控股股东）</w:t>
      </w:r>
      <w:r>
        <w:rPr>
          <w:rFonts w:hint="eastAsia"/>
          <w:sz w:val="24"/>
        </w:rPr>
        <w:t>；</w:t>
      </w:r>
    </w:p>
    <w:p w:rsidR="00C367FE" w:rsidRPr="0022731A" w:rsidRDefault="00C367FE" w:rsidP="00C367FE">
      <w:pPr>
        <w:spacing w:line="560" w:lineRule="exact"/>
        <w:ind w:firstLine="480"/>
        <w:rPr>
          <w:sz w:val="24"/>
        </w:rPr>
      </w:pPr>
      <w:r w:rsidRPr="0022731A">
        <w:rPr>
          <w:rFonts w:hint="eastAsia"/>
          <w:sz w:val="24"/>
        </w:rPr>
        <w:lastRenderedPageBreak/>
        <w:t>（4）联营企业或合营企业及其控制的法人；</w:t>
      </w:r>
    </w:p>
    <w:p w:rsidR="00C367FE" w:rsidRPr="0022731A" w:rsidRDefault="00C367FE" w:rsidP="00C367FE">
      <w:pPr>
        <w:spacing w:line="560" w:lineRule="exact"/>
        <w:ind w:firstLine="480"/>
        <w:rPr>
          <w:sz w:val="24"/>
        </w:rPr>
      </w:pPr>
      <w:r w:rsidRPr="0022731A">
        <w:rPr>
          <w:rFonts w:hint="eastAsia"/>
          <w:sz w:val="24"/>
        </w:rPr>
        <w:t xml:space="preserve">（5）根据实质重于形式原则认定的其他与上市公司有特殊关系，可能导致上市公司利益对其倾斜的法人或其他组织，包括持有对上市公司具有重要影响的控股子公司10%以上股份的法人或其他组织等。 </w:t>
      </w:r>
    </w:p>
    <w:p w:rsidR="00C367FE" w:rsidRPr="0022731A" w:rsidRDefault="00C367FE" w:rsidP="00C367FE">
      <w:pPr>
        <w:spacing w:line="560" w:lineRule="exact"/>
        <w:ind w:firstLine="480"/>
        <w:rPr>
          <w:sz w:val="24"/>
        </w:rPr>
      </w:pPr>
      <w:r w:rsidRPr="0022731A">
        <w:rPr>
          <w:rFonts w:hint="eastAsia"/>
          <w:sz w:val="24"/>
        </w:rPr>
        <w:t>12.会计科目包括但不限于：（1）应收账款；（2）其他应收款；（3）预付款项；（4）应收票据；（5）其他反映占用实质的会计科目等。在其他会计科目，如应付账款、其他应付款等科目借方核算占用资金或其他资金往来的，其借方金额应当在表格中按正数填列，并在“上市公司核算的会计科目”一栏中填列为“其他会计科目”。公司对非经营性资金占用计提的减值准备或核销的金额，不应当从期末占用余额中扣除。</w:t>
      </w:r>
    </w:p>
    <w:p w:rsidR="00C367FE" w:rsidRPr="0022731A" w:rsidRDefault="00C367FE" w:rsidP="00C367FE">
      <w:pPr>
        <w:spacing w:line="560" w:lineRule="exact"/>
        <w:ind w:firstLine="480"/>
        <w:rPr>
          <w:sz w:val="24"/>
        </w:rPr>
      </w:pPr>
      <w:r w:rsidRPr="0022731A">
        <w:rPr>
          <w:rFonts w:hint="eastAsia"/>
          <w:sz w:val="24"/>
        </w:rPr>
        <w:t>13.其他资金往来中，“大股东及其附属企业”只需要填写其与上市公司之间的经营性资金往来；“上市公司的子公司及</w:t>
      </w:r>
      <w:r>
        <w:rPr>
          <w:rFonts w:hint="eastAsia"/>
          <w:sz w:val="24"/>
        </w:rPr>
        <w:t>其附属企业”</w:t>
      </w:r>
      <w:r w:rsidRPr="0022731A">
        <w:rPr>
          <w:rFonts w:hint="eastAsia"/>
          <w:sz w:val="24"/>
        </w:rPr>
        <w:t>“关联自然人”和“其它关联方及其附属企业”只需要填写其与上市公司之间非经营性资金往来。上市公司先向有关关联人借入资金，其后向该债权人归还资金的，不需要在汇总表中反映。</w:t>
      </w:r>
    </w:p>
    <w:p w:rsidR="00C367FE" w:rsidRPr="00270F92" w:rsidRDefault="00C367FE" w:rsidP="00270F92">
      <w:pPr>
        <w:spacing w:line="560" w:lineRule="exact"/>
        <w:ind w:firstLine="480"/>
        <w:rPr>
          <w:sz w:val="24"/>
        </w:rPr>
      </w:pPr>
      <w:r w:rsidRPr="0022731A">
        <w:rPr>
          <w:rFonts w:hint="eastAsia"/>
          <w:sz w:val="24"/>
        </w:rPr>
        <w:t>14.在上述表格中，除“上市公司的子公司及其附属企业”一项外，其他项目中的“上市公司”应当包括上市公司以及上市公司控制的企业。</w:t>
      </w:r>
      <w:bookmarkStart w:id="1" w:name="_GoBack"/>
      <w:bookmarkEnd w:id="1"/>
      <w:r w:rsidR="00270F92" w:rsidRPr="00C55673">
        <w:t xml:space="preserve"> </w:t>
      </w:r>
    </w:p>
    <w:p w:rsidR="0054741D" w:rsidRDefault="0054741D" w:rsidP="00C367FE">
      <w:pPr>
        <w:ind w:firstLine="600"/>
      </w:pPr>
    </w:p>
    <w:sectPr w:rsidR="0054741D" w:rsidSect="00DD06EC">
      <w:footerReference w:type="even" r:id="rId9"/>
      <w:footerReference w:type="default" r:id="rId1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96E" w:rsidRDefault="005C496E" w:rsidP="00DD06EC">
      <w:pPr>
        <w:spacing w:line="240" w:lineRule="auto"/>
        <w:ind w:firstLine="600"/>
      </w:pPr>
      <w:r>
        <w:separator/>
      </w:r>
    </w:p>
  </w:endnote>
  <w:endnote w:type="continuationSeparator" w:id="0">
    <w:p w:rsidR="005C496E" w:rsidRDefault="005C496E" w:rsidP="00DD06EC">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angSong">
    <w:altName w:val="Arial Unicode MS"/>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77" w:rsidRDefault="00544380" w:rsidP="00DD06EC">
    <w:pPr>
      <w:pStyle w:val="a7"/>
      <w:framePr w:wrap="around" w:vAnchor="text" w:hAnchor="margin" w:xAlign="right" w:y="1"/>
      <w:ind w:firstLine="360"/>
      <w:rPr>
        <w:rStyle w:val="a9"/>
      </w:rPr>
    </w:pPr>
    <w:r>
      <w:rPr>
        <w:rStyle w:val="a9"/>
      </w:rPr>
      <w:fldChar w:fldCharType="begin"/>
    </w:r>
    <w:r w:rsidR="00286A77">
      <w:rPr>
        <w:rStyle w:val="a9"/>
      </w:rPr>
      <w:instrText xml:space="preserve">PAGE  </w:instrText>
    </w:r>
    <w:r>
      <w:rPr>
        <w:rStyle w:val="a9"/>
      </w:rPr>
      <w:fldChar w:fldCharType="end"/>
    </w:r>
  </w:p>
  <w:p w:rsidR="00286A77" w:rsidRDefault="00286A77" w:rsidP="00DD06EC">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77" w:rsidRDefault="005C496E" w:rsidP="00DD06EC">
    <w:pPr>
      <w:pStyle w:val="a7"/>
      <w:ind w:firstLine="360"/>
      <w:jc w:val="center"/>
    </w:pPr>
    <w:r>
      <w:fldChar w:fldCharType="begin"/>
    </w:r>
    <w:r>
      <w:instrText xml:space="preserve"> PAGE   \* MERGEFORMAT </w:instrText>
    </w:r>
    <w:r>
      <w:fldChar w:fldCharType="separate"/>
    </w:r>
    <w:r w:rsidR="00270F92" w:rsidRPr="00270F92">
      <w:rPr>
        <w:noProof/>
        <w:lang w:val="zh-CN"/>
      </w:rPr>
      <w:t>1</w:t>
    </w:r>
    <w:r>
      <w:rPr>
        <w:noProof/>
        <w:lang w:val="zh-CN"/>
      </w:rPr>
      <w:fldChar w:fldCharType="end"/>
    </w:r>
  </w:p>
  <w:p w:rsidR="00286A77" w:rsidRDefault="00286A77" w:rsidP="00DD06EC">
    <w:pPr>
      <w:pStyle w:val="a7"/>
      <w:ind w:right="360"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77" w:rsidRDefault="00544380" w:rsidP="00DD06EC">
    <w:pPr>
      <w:pStyle w:val="a7"/>
      <w:framePr w:wrap="around" w:vAnchor="text" w:hAnchor="margin" w:xAlign="right" w:y="1"/>
      <w:ind w:firstLine="360"/>
      <w:rPr>
        <w:rStyle w:val="a9"/>
      </w:rPr>
    </w:pPr>
    <w:r>
      <w:rPr>
        <w:rStyle w:val="a9"/>
      </w:rPr>
      <w:fldChar w:fldCharType="begin"/>
    </w:r>
    <w:r w:rsidR="00286A77">
      <w:rPr>
        <w:rStyle w:val="a9"/>
      </w:rPr>
      <w:instrText xml:space="preserve">PAGE  </w:instrText>
    </w:r>
    <w:r>
      <w:rPr>
        <w:rStyle w:val="a9"/>
      </w:rPr>
      <w:fldChar w:fldCharType="end"/>
    </w:r>
  </w:p>
  <w:p w:rsidR="00286A77" w:rsidRDefault="00286A77" w:rsidP="00DD06EC">
    <w:pPr>
      <w:pStyle w:val="a7"/>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77" w:rsidRDefault="005C496E" w:rsidP="00DD06EC">
    <w:pPr>
      <w:pStyle w:val="a7"/>
      <w:ind w:firstLine="360"/>
      <w:jc w:val="center"/>
    </w:pPr>
    <w:r>
      <w:fldChar w:fldCharType="begin"/>
    </w:r>
    <w:r>
      <w:instrText xml:space="preserve"> PAGE   \* MERGEFORMAT </w:instrText>
    </w:r>
    <w:r>
      <w:fldChar w:fldCharType="separate"/>
    </w:r>
    <w:r w:rsidR="00270F92" w:rsidRPr="00270F92">
      <w:rPr>
        <w:noProof/>
        <w:lang w:val="zh-CN"/>
      </w:rPr>
      <w:t>4</w:t>
    </w:r>
    <w:r>
      <w:rPr>
        <w:noProof/>
        <w:lang w:val="zh-CN"/>
      </w:rPr>
      <w:fldChar w:fldCharType="end"/>
    </w:r>
  </w:p>
  <w:p w:rsidR="00286A77" w:rsidRDefault="00286A77" w:rsidP="00DD06EC">
    <w:pPr>
      <w:pStyle w:val="a7"/>
      <w:ind w:right="360"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96E" w:rsidRDefault="005C496E" w:rsidP="00DD06EC">
      <w:pPr>
        <w:spacing w:line="240" w:lineRule="auto"/>
        <w:ind w:firstLine="600"/>
      </w:pPr>
      <w:r>
        <w:separator/>
      </w:r>
    </w:p>
  </w:footnote>
  <w:footnote w:type="continuationSeparator" w:id="0">
    <w:p w:rsidR="005C496E" w:rsidRDefault="005C496E" w:rsidP="00DD06EC">
      <w:pPr>
        <w:spacing w:line="240" w:lineRule="auto"/>
        <w:ind w:firstLine="60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8062E"/>
    <w:multiLevelType w:val="hybridMultilevel"/>
    <w:tmpl w:val="024C7DFA"/>
    <w:lvl w:ilvl="0" w:tplc="A26812D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C8F7A94"/>
    <w:multiLevelType w:val="multilevel"/>
    <w:tmpl w:val="C212AB8A"/>
    <w:lvl w:ilvl="0">
      <w:start w:val="1"/>
      <w:numFmt w:val="decimal"/>
      <w:lvlText w:val="%1."/>
      <w:lvlJc w:val="left"/>
      <w:pPr>
        <w:tabs>
          <w:tab w:val="num" w:pos="254"/>
        </w:tabs>
        <w:ind w:left="254" w:hanging="425"/>
      </w:pPr>
      <w:rPr>
        <w:rFonts w:hint="eastAsia"/>
      </w:rPr>
    </w:lvl>
    <w:lvl w:ilvl="1">
      <w:start w:val="1"/>
      <w:numFmt w:val="decimal"/>
      <w:lvlText w:val="%1.%2."/>
      <w:lvlJc w:val="left"/>
      <w:pPr>
        <w:tabs>
          <w:tab w:val="num" w:pos="396"/>
        </w:tabs>
        <w:ind w:left="396" w:hanging="567"/>
      </w:pPr>
      <w:rPr>
        <w:rFonts w:hint="eastAsia"/>
      </w:rPr>
    </w:lvl>
    <w:lvl w:ilvl="2">
      <w:start w:val="1"/>
      <w:numFmt w:val="decimal"/>
      <w:lvlText w:val="11.3.%3"/>
      <w:lvlJc w:val="left"/>
      <w:pPr>
        <w:tabs>
          <w:tab w:val="num" w:pos="538"/>
        </w:tabs>
        <w:ind w:left="538" w:hanging="709"/>
      </w:pPr>
      <w:rPr>
        <w:rFonts w:ascii="仿宋_GB2312" w:eastAsia="仿宋_GB2312" w:hAnsi="Times New Roman" w:hint="eastAsia"/>
        <w:b w:val="0"/>
        <w:i w:val="0"/>
        <w:sz w:val="30"/>
        <w:szCs w:val="30"/>
      </w:rPr>
    </w:lvl>
    <w:lvl w:ilvl="3">
      <w:start w:val="1"/>
      <w:numFmt w:val="decimal"/>
      <w:lvlText w:val="%1.%2.%3.%4."/>
      <w:lvlJc w:val="left"/>
      <w:pPr>
        <w:tabs>
          <w:tab w:val="num" w:pos="680"/>
        </w:tabs>
        <w:ind w:left="680" w:hanging="851"/>
      </w:pPr>
      <w:rPr>
        <w:rFonts w:hint="eastAsia"/>
      </w:rPr>
    </w:lvl>
    <w:lvl w:ilvl="4">
      <w:start w:val="1"/>
      <w:numFmt w:val="decimal"/>
      <w:lvlText w:val="%1.%2.%3.%4.%5."/>
      <w:lvlJc w:val="left"/>
      <w:pPr>
        <w:tabs>
          <w:tab w:val="num" w:pos="821"/>
        </w:tabs>
        <w:ind w:left="821" w:hanging="992"/>
      </w:pPr>
      <w:rPr>
        <w:rFonts w:hint="eastAsia"/>
      </w:rPr>
    </w:lvl>
    <w:lvl w:ilvl="5">
      <w:start w:val="1"/>
      <w:numFmt w:val="decimal"/>
      <w:lvlText w:val="%1.%2.%3.%4.%5.%6."/>
      <w:lvlJc w:val="left"/>
      <w:pPr>
        <w:tabs>
          <w:tab w:val="num" w:pos="963"/>
        </w:tabs>
        <w:ind w:left="963" w:hanging="1134"/>
      </w:pPr>
      <w:rPr>
        <w:rFonts w:hint="eastAsia"/>
      </w:rPr>
    </w:lvl>
    <w:lvl w:ilvl="6">
      <w:start w:val="1"/>
      <w:numFmt w:val="decimal"/>
      <w:lvlText w:val="%1.%2.%3.%4.%5.%6.%7."/>
      <w:lvlJc w:val="left"/>
      <w:pPr>
        <w:tabs>
          <w:tab w:val="num" w:pos="1105"/>
        </w:tabs>
        <w:ind w:left="1105" w:hanging="1276"/>
      </w:pPr>
      <w:rPr>
        <w:rFonts w:hint="eastAsia"/>
      </w:rPr>
    </w:lvl>
    <w:lvl w:ilvl="7">
      <w:start w:val="1"/>
      <w:numFmt w:val="decimal"/>
      <w:lvlText w:val="%1.%2.%3.%4.%5.%6.%7.%8."/>
      <w:lvlJc w:val="left"/>
      <w:pPr>
        <w:tabs>
          <w:tab w:val="num" w:pos="1247"/>
        </w:tabs>
        <w:ind w:left="1247" w:hanging="1418"/>
      </w:pPr>
      <w:rPr>
        <w:rFonts w:hint="eastAsia"/>
      </w:rPr>
    </w:lvl>
    <w:lvl w:ilvl="8">
      <w:start w:val="1"/>
      <w:numFmt w:val="decimal"/>
      <w:lvlText w:val="%1.%2.%3.%4.%5.%6.%7.%8.%9."/>
      <w:lvlJc w:val="left"/>
      <w:pPr>
        <w:tabs>
          <w:tab w:val="num" w:pos="1388"/>
        </w:tabs>
        <w:ind w:left="1388" w:hanging="1559"/>
      </w:pPr>
      <w:rPr>
        <w:rFonts w:hint="eastAsia"/>
      </w:rPr>
    </w:lvl>
  </w:abstractNum>
  <w:abstractNum w:abstractNumId="2" w15:restartNumberingAfterBreak="0">
    <w:nsid w:val="4EA970E4"/>
    <w:multiLevelType w:val="hybridMultilevel"/>
    <w:tmpl w:val="BE2C2A4A"/>
    <w:lvl w:ilvl="0" w:tplc="DBCA5768">
      <w:start w:val="1"/>
      <w:numFmt w:val="japaneseCounting"/>
      <w:lvlText w:val="（%1）"/>
      <w:lvlJc w:val="left"/>
      <w:pPr>
        <w:ind w:left="1647" w:hanging="1080"/>
      </w:pPr>
      <w:rPr>
        <w:rFonts w:hAnsi="Times New Roman"/>
        <w:b w:val="0"/>
      </w:rPr>
    </w:lvl>
    <w:lvl w:ilvl="1" w:tplc="04090019">
      <w:start w:val="1"/>
      <w:numFmt w:val="lowerLetter"/>
      <w:lvlText w:val="%2)"/>
      <w:lvlJc w:val="left"/>
      <w:pPr>
        <w:ind w:left="1407" w:hanging="420"/>
      </w:pPr>
    </w:lvl>
    <w:lvl w:ilvl="2" w:tplc="0409001B">
      <w:start w:val="1"/>
      <w:numFmt w:val="lowerRoman"/>
      <w:lvlText w:val="%3."/>
      <w:lvlJc w:val="right"/>
      <w:pPr>
        <w:ind w:left="1827" w:hanging="420"/>
      </w:pPr>
    </w:lvl>
    <w:lvl w:ilvl="3" w:tplc="0409000F">
      <w:start w:val="1"/>
      <w:numFmt w:val="decimal"/>
      <w:lvlText w:val="%4."/>
      <w:lvlJc w:val="left"/>
      <w:pPr>
        <w:ind w:left="2247" w:hanging="420"/>
      </w:pPr>
    </w:lvl>
    <w:lvl w:ilvl="4" w:tplc="04090019">
      <w:start w:val="1"/>
      <w:numFmt w:val="lowerLetter"/>
      <w:lvlText w:val="%5)"/>
      <w:lvlJc w:val="left"/>
      <w:pPr>
        <w:ind w:left="2667" w:hanging="420"/>
      </w:pPr>
    </w:lvl>
    <w:lvl w:ilvl="5" w:tplc="0409001B">
      <w:start w:val="1"/>
      <w:numFmt w:val="lowerRoman"/>
      <w:lvlText w:val="%6."/>
      <w:lvlJc w:val="right"/>
      <w:pPr>
        <w:ind w:left="3087" w:hanging="420"/>
      </w:pPr>
    </w:lvl>
    <w:lvl w:ilvl="6" w:tplc="0409000F">
      <w:start w:val="1"/>
      <w:numFmt w:val="decimal"/>
      <w:lvlText w:val="%7."/>
      <w:lvlJc w:val="left"/>
      <w:pPr>
        <w:ind w:left="3507" w:hanging="420"/>
      </w:pPr>
    </w:lvl>
    <w:lvl w:ilvl="7" w:tplc="04090019">
      <w:start w:val="1"/>
      <w:numFmt w:val="lowerLetter"/>
      <w:lvlText w:val="%8)"/>
      <w:lvlJc w:val="left"/>
      <w:pPr>
        <w:ind w:left="3927" w:hanging="420"/>
      </w:pPr>
    </w:lvl>
    <w:lvl w:ilvl="8" w:tplc="0409001B">
      <w:start w:val="1"/>
      <w:numFmt w:val="lowerRoman"/>
      <w:lvlText w:val="%9."/>
      <w:lvlJc w:val="right"/>
      <w:pPr>
        <w:ind w:left="4347" w:hanging="420"/>
      </w:pPr>
    </w:lvl>
  </w:abstractNum>
  <w:abstractNum w:abstractNumId="3" w15:restartNumberingAfterBreak="0">
    <w:nsid w:val="574F3B51"/>
    <w:multiLevelType w:val="hybridMultilevel"/>
    <w:tmpl w:val="B1DE3F3E"/>
    <w:lvl w:ilvl="0" w:tplc="B0F8D096">
      <w:start w:val="6"/>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68E203A9"/>
    <w:multiLevelType w:val="multilevel"/>
    <w:tmpl w:val="D0E8E1B0"/>
    <w:lvl w:ilvl="0">
      <w:start w:val="1"/>
      <w:numFmt w:val="decimal"/>
      <w:lvlText w:val="%1"/>
      <w:lvlJc w:val="left"/>
      <w:pPr>
        <w:tabs>
          <w:tab w:val="num" w:pos="425"/>
        </w:tabs>
        <w:ind w:left="425" w:hanging="425"/>
      </w:pPr>
      <w:rPr>
        <w:rFonts w:hint="eastAsia"/>
      </w:rPr>
    </w:lvl>
    <w:lvl w:ilvl="1">
      <w:start w:val="1"/>
      <w:numFmt w:val="none"/>
      <w:lvlText w:val="6.1"/>
      <w:lvlJc w:val="left"/>
      <w:pPr>
        <w:tabs>
          <w:tab w:val="num" w:pos="992"/>
        </w:tabs>
        <w:ind w:left="992" w:hanging="567"/>
      </w:pPr>
      <w:rPr>
        <w:rFonts w:ascii="Times New Roman" w:hAnsi="Times New Roman" w:hint="default"/>
        <w:b w:val="0"/>
        <w:i w:val="0"/>
        <w:sz w:val="24"/>
      </w:rPr>
    </w:lvl>
    <w:lvl w:ilvl="2">
      <w:start w:val="1"/>
      <w:numFmt w:val="decimal"/>
      <w:lvlText w:val="6.%2%3"/>
      <w:lvlJc w:val="left"/>
      <w:pPr>
        <w:tabs>
          <w:tab w:val="num" w:pos="1107"/>
        </w:tabs>
        <w:ind w:left="1107" w:hanging="567"/>
      </w:pPr>
      <w:rPr>
        <w:rFonts w:ascii="仿宋_GB2312" w:eastAsia="仿宋_GB2312" w:hAnsi="宋体" w:hint="eastAsia"/>
        <w:b w:val="0"/>
        <w:i w:val="0"/>
        <w:sz w:val="30"/>
        <w:szCs w:val="3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7FE"/>
    <w:rsid w:val="00107F3D"/>
    <w:rsid w:val="001475E0"/>
    <w:rsid w:val="0017558C"/>
    <w:rsid w:val="001B226B"/>
    <w:rsid w:val="00207B41"/>
    <w:rsid w:val="00270F92"/>
    <w:rsid w:val="00286A77"/>
    <w:rsid w:val="002C04E1"/>
    <w:rsid w:val="002E3EAC"/>
    <w:rsid w:val="0039113C"/>
    <w:rsid w:val="003D1187"/>
    <w:rsid w:val="003F019E"/>
    <w:rsid w:val="004265C2"/>
    <w:rsid w:val="00455A2C"/>
    <w:rsid w:val="004E1FD4"/>
    <w:rsid w:val="00544380"/>
    <w:rsid w:val="0054741D"/>
    <w:rsid w:val="00581389"/>
    <w:rsid w:val="005C496E"/>
    <w:rsid w:val="00606B9A"/>
    <w:rsid w:val="00673F9C"/>
    <w:rsid w:val="006F264E"/>
    <w:rsid w:val="00820AB9"/>
    <w:rsid w:val="00834350"/>
    <w:rsid w:val="0097512B"/>
    <w:rsid w:val="00A01470"/>
    <w:rsid w:val="00A521BA"/>
    <w:rsid w:val="00A55501"/>
    <w:rsid w:val="00B136A6"/>
    <w:rsid w:val="00BE1746"/>
    <w:rsid w:val="00C25902"/>
    <w:rsid w:val="00C367FE"/>
    <w:rsid w:val="00CA1A22"/>
    <w:rsid w:val="00D00B60"/>
    <w:rsid w:val="00D90CBF"/>
    <w:rsid w:val="00DD06EC"/>
    <w:rsid w:val="00E1064F"/>
    <w:rsid w:val="00EC2D37"/>
    <w:rsid w:val="00F264C8"/>
    <w:rsid w:val="00F42545"/>
    <w:rsid w:val="00F76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7F6C7C9"/>
  <w15:docId w15:val="{F5283594-36CE-4AC1-BC10-CFDB15FD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7FE"/>
    <w:pPr>
      <w:widowControl w:val="0"/>
      <w:spacing w:line="600" w:lineRule="exact"/>
      <w:ind w:firstLineChars="200" w:firstLine="200"/>
      <w:jc w:val="both"/>
    </w:pPr>
    <w:rPr>
      <w:rFonts w:ascii="仿宋_GB2312" w:eastAsia="仿宋_GB2312" w:hAnsi="仿宋_GB2312" w:cs="Times New Roman"/>
      <w:sz w:val="30"/>
    </w:rPr>
  </w:style>
  <w:style w:type="paragraph" w:styleId="1">
    <w:name w:val="heading 1"/>
    <w:basedOn w:val="a"/>
    <w:next w:val="a"/>
    <w:link w:val="10"/>
    <w:uiPriority w:val="9"/>
    <w:qFormat/>
    <w:rsid w:val="00C367FE"/>
    <w:pPr>
      <w:keepNext/>
      <w:keepLines/>
      <w:spacing w:before="340" w:after="330" w:line="578" w:lineRule="auto"/>
      <w:jc w:val="center"/>
      <w:outlineLvl w:val="0"/>
    </w:pPr>
    <w:rPr>
      <w:rFonts w:ascii="Calibri" w:eastAsia="黑体" w:hAnsi="Calibri"/>
      <w:b/>
      <w:bCs/>
      <w:kern w:val="44"/>
      <w:szCs w:val="44"/>
    </w:rPr>
  </w:style>
  <w:style w:type="paragraph" w:styleId="2">
    <w:name w:val="heading 2"/>
    <w:basedOn w:val="a"/>
    <w:next w:val="a"/>
    <w:link w:val="20"/>
    <w:uiPriority w:val="9"/>
    <w:semiHidden/>
    <w:unhideWhenUsed/>
    <w:qFormat/>
    <w:rsid w:val="00C367FE"/>
    <w:pPr>
      <w:keepNext/>
      <w:keepLines/>
      <w:spacing w:before="260" w:after="260" w:line="416" w:lineRule="atLeast"/>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7FE"/>
    <w:rPr>
      <w:rFonts w:ascii="Calibri" w:eastAsia="黑体" w:hAnsi="Calibri" w:cs="Times New Roman"/>
      <w:b/>
      <w:bCs/>
      <w:kern w:val="44"/>
      <w:sz w:val="30"/>
      <w:szCs w:val="44"/>
    </w:rPr>
  </w:style>
  <w:style w:type="character" w:customStyle="1" w:styleId="20">
    <w:name w:val="标题 2 字符"/>
    <w:basedOn w:val="a0"/>
    <w:link w:val="2"/>
    <w:uiPriority w:val="9"/>
    <w:semiHidden/>
    <w:rsid w:val="00C367FE"/>
    <w:rPr>
      <w:rFonts w:ascii="Cambria" w:eastAsia="宋体" w:hAnsi="Cambria" w:cs="Times New Roman"/>
      <w:b/>
      <w:bCs/>
      <w:sz w:val="32"/>
      <w:szCs w:val="32"/>
    </w:rPr>
  </w:style>
  <w:style w:type="paragraph" w:styleId="a3">
    <w:name w:val="List Paragraph"/>
    <w:basedOn w:val="a"/>
    <w:uiPriority w:val="34"/>
    <w:qFormat/>
    <w:rsid w:val="00C367FE"/>
    <w:pPr>
      <w:ind w:firstLine="420"/>
    </w:pPr>
  </w:style>
  <w:style w:type="paragraph" w:styleId="a4">
    <w:name w:val="No Spacing"/>
    <w:uiPriority w:val="1"/>
    <w:qFormat/>
    <w:rsid w:val="00C367FE"/>
    <w:pPr>
      <w:widowControl w:val="0"/>
      <w:jc w:val="both"/>
    </w:pPr>
    <w:rPr>
      <w:rFonts w:ascii="Calibri" w:eastAsia="宋体" w:hAnsi="Calibri" w:cs="Times New Roman"/>
    </w:rPr>
  </w:style>
  <w:style w:type="paragraph" w:styleId="a5">
    <w:name w:val="header"/>
    <w:basedOn w:val="a"/>
    <w:link w:val="a6"/>
    <w:uiPriority w:val="99"/>
    <w:semiHidden/>
    <w:unhideWhenUsed/>
    <w:rsid w:val="00C367FE"/>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customStyle="1" w:styleId="a6">
    <w:name w:val="页眉 字符"/>
    <w:basedOn w:val="a0"/>
    <w:link w:val="a5"/>
    <w:uiPriority w:val="99"/>
    <w:semiHidden/>
    <w:rsid w:val="00C367FE"/>
    <w:rPr>
      <w:rFonts w:ascii="Calibri" w:eastAsia="宋体" w:hAnsi="Calibri" w:cs="Times New Roman"/>
      <w:kern w:val="0"/>
      <w:sz w:val="18"/>
      <w:szCs w:val="18"/>
    </w:rPr>
  </w:style>
  <w:style w:type="paragraph" w:styleId="a7">
    <w:name w:val="footer"/>
    <w:basedOn w:val="a"/>
    <w:link w:val="a8"/>
    <w:uiPriority w:val="99"/>
    <w:unhideWhenUsed/>
    <w:rsid w:val="00C367FE"/>
    <w:pPr>
      <w:tabs>
        <w:tab w:val="center" w:pos="4153"/>
        <w:tab w:val="right" w:pos="8306"/>
      </w:tabs>
      <w:snapToGrid w:val="0"/>
      <w:jc w:val="left"/>
    </w:pPr>
    <w:rPr>
      <w:rFonts w:ascii="Calibri" w:eastAsia="宋体" w:hAnsi="Calibri"/>
      <w:kern w:val="0"/>
      <w:sz w:val="18"/>
      <w:szCs w:val="18"/>
    </w:rPr>
  </w:style>
  <w:style w:type="character" w:customStyle="1" w:styleId="a8">
    <w:name w:val="页脚 字符"/>
    <w:basedOn w:val="a0"/>
    <w:link w:val="a7"/>
    <w:uiPriority w:val="99"/>
    <w:rsid w:val="00C367FE"/>
    <w:rPr>
      <w:rFonts w:ascii="Calibri" w:eastAsia="宋体" w:hAnsi="Calibri" w:cs="Times New Roman"/>
      <w:kern w:val="0"/>
      <w:sz w:val="18"/>
      <w:szCs w:val="18"/>
    </w:rPr>
  </w:style>
  <w:style w:type="paragraph" w:customStyle="1" w:styleId="Default">
    <w:name w:val="Default"/>
    <w:rsid w:val="00C367FE"/>
    <w:pPr>
      <w:widowControl w:val="0"/>
      <w:autoSpaceDE w:val="0"/>
      <w:autoSpaceDN w:val="0"/>
      <w:adjustRightInd w:val="0"/>
    </w:pPr>
    <w:rPr>
      <w:rFonts w:ascii="FangSong" w:eastAsia="宋体" w:hAnsi="FangSong" w:cs="FangSong"/>
      <w:color w:val="000000"/>
      <w:kern w:val="0"/>
      <w:sz w:val="24"/>
      <w:szCs w:val="24"/>
    </w:rPr>
  </w:style>
  <w:style w:type="character" w:styleId="a9">
    <w:name w:val="page number"/>
    <w:basedOn w:val="a0"/>
    <w:rsid w:val="00C367FE"/>
  </w:style>
  <w:style w:type="paragraph" w:styleId="aa">
    <w:name w:val="Subtitle"/>
    <w:basedOn w:val="a"/>
    <w:next w:val="a"/>
    <w:link w:val="ab"/>
    <w:qFormat/>
    <w:rsid w:val="00C367FE"/>
    <w:pPr>
      <w:spacing w:before="240" w:after="60" w:line="312" w:lineRule="auto"/>
      <w:ind w:firstLineChars="0" w:firstLine="0"/>
      <w:jc w:val="center"/>
      <w:outlineLvl w:val="1"/>
    </w:pPr>
    <w:rPr>
      <w:rFonts w:ascii="Cambria" w:eastAsia="宋体" w:hAnsi="Cambria"/>
      <w:b/>
      <w:bCs/>
      <w:kern w:val="28"/>
      <w:sz w:val="32"/>
      <w:szCs w:val="32"/>
    </w:rPr>
  </w:style>
  <w:style w:type="character" w:customStyle="1" w:styleId="ab">
    <w:name w:val="副标题 字符"/>
    <w:basedOn w:val="a0"/>
    <w:link w:val="aa"/>
    <w:rsid w:val="00C367FE"/>
    <w:rPr>
      <w:rFonts w:ascii="Cambria" w:eastAsia="宋体" w:hAnsi="Cambria" w:cs="Times New Roman"/>
      <w:b/>
      <w:bCs/>
      <w:kern w:val="28"/>
      <w:sz w:val="32"/>
      <w:szCs w:val="32"/>
    </w:rPr>
  </w:style>
  <w:style w:type="paragraph" w:styleId="ac">
    <w:name w:val="Balloon Text"/>
    <w:basedOn w:val="a"/>
    <w:link w:val="ad"/>
    <w:uiPriority w:val="99"/>
    <w:semiHidden/>
    <w:unhideWhenUsed/>
    <w:rsid w:val="00C367FE"/>
    <w:pPr>
      <w:spacing w:line="240" w:lineRule="auto"/>
    </w:pPr>
    <w:rPr>
      <w:kern w:val="0"/>
      <w:sz w:val="18"/>
      <w:szCs w:val="18"/>
    </w:rPr>
  </w:style>
  <w:style w:type="character" w:customStyle="1" w:styleId="ad">
    <w:name w:val="批注框文本 字符"/>
    <w:basedOn w:val="a0"/>
    <w:link w:val="ac"/>
    <w:uiPriority w:val="99"/>
    <w:semiHidden/>
    <w:rsid w:val="00C367FE"/>
    <w:rPr>
      <w:rFonts w:ascii="仿宋_GB2312" w:eastAsia="仿宋_GB2312" w:hAnsi="仿宋_GB2312" w:cs="Times New Roman"/>
      <w:kern w:val="0"/>
      <w:sz w:val="18"/>
      <w:szCs w:val="18"/>
    </w:rPr>
  </w:style>
  <w:style w:type="character" w:styleId="ae">
    <w:name w:val="annotation reference"/>
    <w:uiPriority w:val="99"/>
    <w:semiHidden/>
    <w:unhideWhenUsed/>
    <w:rsid w:val="00C367FE"/>
    <w:rPr>
      <w:sz w:val="21"/>
      <w:szCs w:val="21"/>
    </w:rPr>
  </w:style>
  <w:style w:type="paragraph" w:styleId="af">
    <w:name w:val="annotation text"/>
    <w:basedOn w:val="a"/>
    <w:link w:val="af0"/>
    <w:uiPriority w:val="99"/>
    <w:semiHidden/>
    <w:unhideWhenUsed/>
    <w:rsid w:val="00C367FE"/>
    <w:pPr>
      <w:jc w:val="left"/>
    </w:pPr>
    <w:rPr>
      <w:kern w:val="0"/>
      <w:szCs w:val="20"/>
    </w:rPr>
  </w:style>
  <w:style w:type="character" w:customStyle="1" w:styleId="af0">
    <w:name w:val="批注文字 字符"/>
    <w:basedOn w:val="a0"/>
    <w:link w:val="af"/>
    <w:uiPriority w:val="99"/>
    <w:semiHidden/>
    <w:rsid w:val="00C367FE"/>
    <w:rPr>
      <w:rFonts w:ascii="仿宋_GB2312" w:eastAsia="仿宋_GB2312" w:hAnsi="仿宋_GB2312" w:cs="Times New Roman"/>
      <w:kern w:val="0"/>
      <w:sz w:val="30"/>
      <w:szCs w:val="20"/>
    </w:rPr>
  </w:style>
  <w:style w:type="paragraph" w:styleId="af1">
    <w:name w:val="annotation subject"/>
    <w:basedOn w:val="af"/>
    <w:next w:val="af"/>
    <w:link w:val="af2"/>
    <w:uiPriority w:val="99"/>
    <w:semiHidden/>
    <w:unhideWhenUsed/>
    <w:rsid w:val="00C367FE"/>
    <w:rPr>
      <w:b/>
      <w:bCs/>
    </w:rPr>
  </w:style>
  <w:style w:type="character" w:customStyle="1" w:styleId="af2">
    <w:name w:val="批注主题 字符"/>
    <w:basedOn w:val="af0"/>
    <w:link w:val="af1"/>
    <w:uiPriority w:val="99"/>
    <w:semiHidden/>
    <w:rsid w:val="00C367FE"/>
    <w:rPr>
      <w:rFonts w:ascii="仿宋_GB2312" w:eastAsia="仿宋_GB2312" w:hAnsi="仿宋_GB2312" w:cs="Times New Roman"/>
      <w:b/>
      <w:bCs/>
      <w:kern w:val="0"/>
      <w:sz w:val="30"/>
      <w:szCs w:val="20"/>
    </w:rPr>
  </w:style>
  <w:style w:type="paragraph" w:styleId="af3">
    <w:name w:val="Document Map"/>
    <w:basedOn w:val="a"/>
    <w:link w:val="af4"/>
    <w:uiPriority w:val="99"/>
    <w:semiHidden/>
    <w:unhideWhenUsed/>
    <w:rsid w:val="00C367FE"/>
    <w:rPr>
      <w:rFonts w:ascii="宋体" w:eastAsia="宋体"/>
      <w:sz w:val="18"/>
      <w:szCs w:val="18"/>
    </w:rPr>
  </w:style>
  <w:style w:type="character" w:customStyle="1" w:styleId="af4">
    <w:name w:val="文档结构图 字符"/>
    <w:basedOn w:val="a0"/>
    <w:link w:val="af3"/>
    <w:uiPriority w:val="99"/>
    <w:semiHidden/>
    <w:rsid w:val="00C367FE"/>
    <w:rPr>
      <w:rFonts w:ascii="宋体" w:eastAsia="宋体" w:hAnsi="仿宋_GB2312" w:cs="Times New Roman"/>
      <w:sz w:val="18"/>
      <w:szCs w:val="18"/>
    </w:rPr>
  </w:style>
  <w:style w:type="paragraph" w:styleId="TOC">
    <w:name w:val="TOC Heading"/>
    <w:basedOn w:val="1"/>
    <w:next w:val="a"/>
    <w:uiPriority w:val="39"/>
    <w:semiHidden/>
    <w:unhideWhenUsed/>
    <w:qFormat/>
    <w:rsid w:val="00C367FE"/>
    <w:pPr>
      <w:widowControl/>
      <w:spacing w:before="480" w:after="0" w:line="276" w:lineRule="auto"/>
      <w:ind w:firstLineChars="0" w:firstLine="0"/>
      <w:jc w:val="left"/>
      <w:outlineLvl w:val="9"/>
    </w:pPr>
    <w:rPr>
      <w:rFonts w:ascii="Cambria" w:eastAsia="宋体" w:hAnsi="Cambria"/>
      <w:color w:val="365F91"/>
      <w:kern w:val="0"/>
      <w:sz w:val="28"/>
      <w:szCs w:val="28"/>
    </w:rPr>
  </w:style>
  <w:style w:type="paragraph" w:styleId="21">
    <w:name w:val="toc 2"/>
    <w:basedOn w:val="a"/>
    <w:next w:val="a"/>
    <w:autoRedefine/>
    <w:uiPriority w:val="39"/>
    <w:unhideWhenUsed/>
    <w:qFormat/>
    <w:rsid w:val="00C367FE"/>
    <w:pPr>
      <w:widowControl/>
      <w:spacing w:after="100" w:line="276" w:lineRule="auto"/>
      <w:ind w:left="220" w:firstLineChars="0" w:firstLine="0"/>
      <w:jc w:val="left"/>
    </w:pPr>
    <w:rPr>
      <w:rFonts w:ascii="Calibri" w:eastAsia="宋体" w:hAnsi="Calibri"/>
      <w:kern w:val="0"/>
      <w:sz w:val="22"/>
    </w:rPr>
  </w:style>
  <w:style w:type="paragraph" w:styleId="11">
    <w:name w:val="toc 1"/>
    <w:basedOn w:val="a"/>
    <w:next w:val="a"/>
    <w:autoRedefine/>
    <w:uiPriority w:val="39"/>
    <w:unhideWhenUsed/>
    <w:qFormat/>
    <w:rsid w:val="00C367FE"/>
    <w:pPr>
      <w:widowControl/>
      <w:spacing w:after="100" w:line="276" w:lineRule="auto"/>
      <w:ind w:firstLineChars="0" w:firstLine="0"/>
      <w:jc w:val="left"/>
    </w:pPr>
    <w:rPr>
      <w:rFonts w:ascii="Calibri" w:eastAsia="宋体" w:hAnsi="Calibri"/>
      <w:kern w:val="0"/>
      <w:sz w:val="22"/>
    </w:rPr>
  </w:style>
  <w:style w:type="paragraph" w:styleId="3">
    <w:name w:val="toc 3"/>
    <w:basedOn w:val="a"/>
    <w:next w:val="a"/>
    <w:autoRedefine/>
    <w:uiPriority w:val="39"/>
    <w:semiHidden/>
    <w:unhideWhenUsed/>
    <w:qFormat/>
    <w:rsid w:val="00C367FE"/>
    <w:pPr>
      <w:widowControl/>
      <w:spacing w:after="100" w:line="276" w:lineRule="auto"/>
      <w:ind w:left="440" w:firstLineChars="0" w:firstLine="0"/>
      <w:jc w:val="left"/>
    </w:pPr>
    <w:rPr>
      <w:rFonts w:ascii="Calibri" w:eastAsia="宋体" w:hAnsi="Calibri"/>
      <w:kern w:val="0"/>
      <w:sz w:val="22"/>
    </w:rPr>
  </w:style>
  <w:style w:type="character" w:styleId="af5">
    <w:name w:val="Hyperlink"/>
    <w:basedOn w:val="a0"/>
    <w:uiPriority w:val="99"/>
    <w:unhideWhenUsed/>
    <w:rsid w:val="00C367FE"/>
    <w:rPr>
      <w:color w:val="0000FF"/>
      <w:u w:val="single"/>
    </w:rPr>
  </w:style>
  <w:style w:type="character" w:styleId="af6">
    <w:name w:val="FollowedHyperlink"/>
    <w:basedOn w:val="a0"/>
    <w:uiPriority w:val="99"/>
    <w:semiHidden/>
    <w:unhideWhenUsed/>
    <w:rsid w:val="00C367F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赵雪纯(拟稿)</dc:creator>
  <cp:lastModifiedBy>Mimy</cp:lastModifiedBy>
  <cp:revision>3</cp:revision>
  <cp:lastPrinted>2020-08-18T08:48:00Z</cp:lastPrinted>
  <dcterms:created xsi:type="dcterms:W3CDTF">2020-08-18T13:13:00Z</dcterms:created>
  <dcterms:modified xsi:type="dcterms:W3CDTF">2020-08-18T13:14:00Z</dcterms:modified>
</cp:coreProperties>
</file>