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4F5" w:rsidRPr="00D6381B" w:rsidRDefault="00DC6E5C" w:rsidP="007804F5">
      <w:pPr>
        <w:widowControl/>
        <w:ind w:firstLineChars="0" w:firstLine="0"/>
        <w:jc w:val="left"/>
        <w:rPr>
          <w:rFonts w:ascii="仿宋_GB2312"/>
          <w:color w:val="000000" w:themeColor="text1"/>
        </w:rPr>
      </w:pPr>
      <w:r w:rsidRPr="00DC6E5C">
        <w:rPr>
          <w:rFonts w:ascii="仿宋_GB2312" w:hint="eastAsia"/>
          <w:color w:val="000000" w:themeColor="text1"/>
        </w:rPr>
        <w:t>附件：</w:t>
      </w:r>
    </w:p>
    <w:p w:rsidR="007804F5" w:rsidRPr="00D6381B" w:rsidRDefault="007804F5" w:rsidP="007804F5">
      <w:pPr>
        <w:ind w:firstLineChars="0" w:firstLine="0"/>
        <w:rPr>
          <w:rFonts w:ascii="仿宋_GB2312"/>
          <w:color w:val="000000" w:themeColor="text1"/>
        </w:rPr>
      </w:pPr>
    </w:p>
    <w:p w:rsidR="007804F5" w:rsidRPr="00D6381B" w:rsidRDefault="00DC6E5C" w:rsidP="007804F5">
      <w:pPr>
        <w:pStyle w:val="20"/>
        <w:rPr>
          <w:rFonts w:ascii="宋体" w:eastAsia="宋体" w:hAnsi="宋体" w:cs="宋体"/>
          <w:b/>
          <w:color w:val="000000" w:themeColor="text1"/>
          <w:kern w:val="0"/>
          <w:sz w:val="36"/>
          <w:szCs w:val="36"/>
        </w:rPr>
      </w:pPr>
      <w:r w:rsidRPr="00DC6E5C">
        <w:rPr>
          <w:rFonts w:ascii="宋体" w:eastAsia="宋体" w:hAnsi="宋体" w:cs="宋体" w:hint="eastAsia"/>
          <w:b/>
          <w:bCs/>
          <w:color w:val="000000" w:themeColor="text1"/>
          <w:kern w:val="0"/>
          <w:sz w:val="36"/>
          <w:szCs w:val="36"/>
        </w:rPr>
        <w:t>非金融企业债务融资工具主承销商尽职调查指引</w:t>
      </w:r>
    </w:p>
    <w:p w:rsidR="007804F5" w:rsidRPr="00D6381B" w:rsidRDefault="00DC6E5C" w:rsidP="00ED2C7C">
      <w:pPr>
        <w:pStyle w:val="20"/>
        <w:ind w:rightChars="-19" w:right="-57"/>
        <w:rPr>
          <w:rFonts w:ascii="仿宋_GB2312"/>
          <w:color w:val="000000" w:themeColor="text1"/>
        </w:rPr>
      </w:pPr>
      <w:r w:rsidRPr="00DC6E5C">
        <w:rPr>
          <w:rFonts w:ascii="仿宋_GB2312" w:hint="eastAsia"/>
          <w:color w:val="000000" w:themeColor="text1"/>
        </w:rPr>
        <w:t>（2008年4月15日第一届常务理事会第二次会议审议通过，2020年10月16日第五届常务理事会第十八次会议修订）</w:t>
      </w:r>
    </w:p>
    <w:p w:rsidR="007804F5" w:rsidRPr="00D6381B" w:rsidRDefault="007804F5" w:rsidP="007804F5">
      <w:pPr>
        <w:ind w:firstLine="720"/>
        <w:jc w:val="center"/>
        <w:outlineLvl w:val="0"/>
        <w:rPr>
          <w:rFonts w:ascii="仿宋_GB2312" w:hAnsi="宋体"/>
          <w:color w:val="000000" w:themeColor="text1"/>
          <w:kern w:val="0"/>
          <w:sz w:val="36"/>
          <w:szCs w:val="36"/>
        </w:rPr>
      </w:pPr>
    </w:p>
    <w:p w:rsidR="007804F5" w:rsidRPr="00D6381B" w:rsidRDefault="00DC6E5C" w:rsidP="007804F5">
      <w:pPr>
        <w:widowControl/>
        <w:ind w:firstLine="643"/>
        <w:jc w:val="center"/>
        <w:rPr>
          <w:rFonts w:ascii="仿宋_GB2312" w:hAnsi="黑体" w:cs="宋体"/>
          <w:b/>
          <w:bCs/>
          <w:color w:val="000000" w:themeColor="text1"/>
          <w:kern w:val="0"/>
          <w:sz w:val="32"/>
          <w:szCs w:val="32"/>
        </w:rPr>
      </w:pPr>
      <w:r w:rsidRPr="00DC6E5C">
        <w:rPr>
          <w:rFonts w:ascii="仿宋_GB2312" w:hAnsi="黑体" w:cs="宋体" w:hint="eastAsia"/>
          <w:b/>
          <w:bCs/>
          <w:color w:val="000000" w:themeColor="text1"/>
          <w:kern w:val="0"/>
          <w:sz w:val="32"/>
          <w:szCs w:val="32"/>
        </w:rPr>
        <w:t>第一章</w:t>
      </w:r>
      <w:r w:rsidRPr="00DC6E5C">
        <w:rPr>
          <w:rFonts w:ascii="仿宋_GB2312" w:hAnsi="黑体" w:cs="宋体"/>
          <w:b/>
          <w:bCs/>
          <w:color w:val="000000" w:themeColor="text1"/>
          <w:kern w:val="0"/>
          <w:sz w:val="32"/>
          <w:szCs w:val="32"/>
        </w:rPr>
        <w:t xml:space="preserve"> </w:t>
      </w:r>
      <w:r w:rsidRPr="00DC6E5C">
        <w:rPr>
          <w:rFonts w:ascii="仿宋_GB2312" w:hAnsi="黑体" w:cs="宋体" w:hint="eastAsia"/>
          <w:b/>
          <w:bCs/>
          <w:color w:val="000000" w:themeColor="text1"/>
          <w:kern w:val="0"/>
          <w:sz w:val="32"/>
          <w:szCs w:val="32"/>
        </w:rPr>
        <w:t>总则</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t>第一条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为规范银行间债券市场非金融企业债务融资工具主承销商尽职调查行为</w:t>
      </w:r>
      <w:r w:rsidRPr="00DC6E5C">
        <w:rPr>
          <w:rFonts w:ascii="仿宋_GB2312" w:hAnsi="宋体" w:cs="宋体"/>
          <w:color w:val="000000" w:themeColor="text1"/>
          <w:kern w:val="0"/>
          <w:szCs w:val="30"/>
        </w:rPr>
        <w:t>,提高尽职调查质量，根据中国人民银行《银行间债券市场非金融企业债务融资工具管理办法》（人民银行令〔2008〕第1号）及中国银行间市场交易商协会（以下简称交易商协会）相关自律规则，制定本指引。</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t>第二条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本指引所称的尽职调查，是指主承销商及其工作人员遵循勤勉尽责、诚实信用原则，通过各种有效方法和步骤对企业进行充分调查，通过调查掌握企业的资产权属、债权债务等重大事项以及企业的业务、管理及财务状况等重要信息，对企业的还款意愿和还款能力作出合理的专业判断，核实企业募集资金用途、生产经营等的合法合规性，以合理确信企业注册文件及其披露信息的真实性、准确性和完整性的行为。</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t>第三条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主承销商应按本指引要求对企业进行尽职调查，编写工作底稿，撰写债务融资工具尽职调查报告（以下简称尽职调查报告）</w:t>
      </w:r>
      <w:r w:rsidRPr="00DC6E5C">
        <w:rPr>
          <w:rFonts w:ascii="仿宋_GB2312" w:hAnsi="宋体" w:cs="宋体"/>
          <w:color w:val="000000" w:themeColor="text1"/>
          <w:kern w:val="0"/>
          <w:szCs w:val="30"/>
        </w:rPr>
        <w:t>,作为注册发行债务融资工具的备查文件。</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lastRenderedPageBreak/>
        <w:t>第四条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主承销商应根据本指引的要求，制定尽职调查内部管理制度和内部风险隔离制度，明确尽职调查工作流程，可以针对不同企业安排分层分类的尽职调查工作机制。</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t>第五条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主承销商应遵循勤勉尽责、诚实信用的原则，严格遵守职业道德和执业规范，有计划、有组织、有步骤地开展尽职调查，保证尽职调查质量。主承销商应恪守保密义务，不得利用内幕信息获取不正当利益。</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t>第六条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尽职调查过程中，主承销商应当在获得充分的尽职调查材料基础上综合分析、独立判断，对注册发行材料、其他中介机构专业意见进行核查。对企业注册发行材料、其他中介机构专业意见存在合理怀疑的</w:t>
      </w:r>
      <w:r w:rsidRPr="00DC6E5C">
        <w:rPr>
          <w:rFonts w:ascii="仿宋_GB2312" w:hAnsi="宋体" w:cs="宋体"/>
          <w:color w:val="000000" w:themeColor="text1"/>
          <w:kern w:val="0"/>
          <w:szCs w:val="30"/>
        </w:rPr>
        <w:t>,</w:t>
      </w:r>
      <w:r w:rsidRPr="00DC6E5C">
        <w:rPr>
          <w:rFonts w:ascii="仿宋_GB2312" w:hAnsi="宋体" w:cs="宋体" w:hint="eastAsia"/>
          <w:color w:val="000000" w:themeColor="text1"/>
          <w:kern w:val="0"/>
          <w:szCs w:val="30"/>
        </w:rPr>
        <w:t>应当主动与企业、中介机构沟通，要求其作出解释或出具依据；发现注册发行材料、其他中介机构专业意见与尽职调查过程中获得的信息存在重大差异的</w:t>
      </w:r>
      <w:r w:rsidRPr="00DC6E5C">
        <w:rPr>
          <w:rFonts w:ascii="仿宋_GB2312" w:hAnsi="宋体" w:cs="宋体"/>
          <w:color w:val="000000" w:themeColor="text1"/>
          <w:kern w:val="0"/>
          <w:szCs w:val="30"/>
        </w:rPr>
        <w:t>,应当对有关事项进行调查、复核，在主承销商尽职调查报告等文件中予以充分说明，并督导企业进行信息披露。</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t>第七条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主承销商应当告知会计师事务所、律师事务所、评级机构等相关中介机构在债务融资工具注册发行中将会引用其出具的专业报告及专项意见的内容，并可以要求中介机构出具说明性文件，确认注册发行文件与中介机构出具的专业报告不存在矛盾之处、并对注册发行文件引用的内容无异议。企业及其他中介机构应当配合主承销商的工作。</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t>第八条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主承销商开展尽职调查应制定详细的工作计划。工作计划主要包括工作内容、工作方式、工作时间、工作流程、参与人员等。</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lastRenderedPageBreak/>
        <w:t>第九条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主承销商开展尽职调查应组建尽职调查团队，按照主承销商内部管理制度明确团队成员各自职责。</w:t>
      </w:r>
    </w:p>
    <w:p w:rsidR="007804F5" w:rsidRPr="00D6381B" w:rsidRDefault="007804F5" w:rsidP="007804F5">
      <w:pPr>
        <w:widowControl/>
        <w:ind w:firstLine="600"/>
        <w:jc w:val="left"/>
        <w:rPr>
          <w:rFonts w:ascii="仿宋_GB2312" w:hAnsi="宋体" w:cs="宋体"/>
          <w:color w:val="000000" w:themeColor="text1"/>
          <w:kern w:val="0"/>
          <w:szCs w:val="30"/>
        </w:rPr>
      </w:pPr>
    </w:p>
    <w:p w:rsidR="007804F5" w:rsidRPr="00D6381B" w:rsidRDefault="00DC6E5C" w:rsidP="007804F5">
      <w:pPr>
        <w:widowControl/>
        <w:ind w:firstLine="643"/>
        <w:jc w:val="center"/>
        <w:rPr>
          <w:rFonts w:ascii="仿宋_GB2312" w:hAnsi="黑体" w:cs="宋体"/>
          <w:b/>
          <w:bCs/>
          <w:color w:val="000000" w:themeColor="text1"/>
          <w:kern w:val="0"/>
          <w:sz w:val="32"/>
          <w:szCs w:val="32"/>
        </w:rPr>
      </w:pPr>
      <w:r w:rsidRPr="00DC6E5C">
        <w:rPr>
          <w:rFonts w:ascii="仿宋_GB2312" w:hAnsi="黑体" w:cs="宋体" w:hint="eastAsia"/>
          <w:b/>
          <w:bCs/>
          <w:color w:val="000000" w:themeColor="text1"/>
          <w:kern w:val="0"/>
          <w:sz w:val="32"/>
          <w:szCs w:val="32"/>
        </w:rPr>
        <w:t>第二章</w:t>
      </w:r>
      <w:r w:rsidRPr="00DC6E5C">
        <w:rPr>
          <w:rFonts w:ascii="仿宋_GB2312" w:hAnsi="黑体" w:cs="宋体"/>
          <w:b/>
          <w:bCs/>
          <w:color w:val="000000" w:themeColor="text1"/>
          <w:kern w:val="0"/>
          <w:sz w:val="32"/>
          <w:szCs w:val="32"/>
        </w:rPr>
        <w:t xml:space="preserve"> </w:t>
      </w:r>
      <w:r w:rsidRPr="00DC6E5C">
        <w:rPr>
          <w:rFonts w:ascii="仿宋_GB2312" w:hAnsi="黑体" w:cs="宋体" w:hint="eastAsia"/>
          <w:b/>
          <w:bCs/>
          <w:color w:val="000000" w:themeColor="text1"/>
          <w:kern w:val="0"/>
          <w:sz w:val="32"/>
          <w:szCs w:val="32"/>
        </w:rPr>
        <w:t>尽职调查内容</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t>第十条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尽职调查的内容包括但不限于：</w:t>
      </w:r>
    </w:p>
    <w:p w:rsidR="007804F5" w:rsidRPr="00D6381B" w:rsidRDefault="00DC6E5C" w:rsidP="007804F5">
      <w:pPr>
        <w:widowControl/>
        <w:ind w:firstLine="600"/>
        <w:jc w:val="left"/>
        <w:rPr>
          <w:rFonts w:ascii="仿宋_GB2312" w:hAnsi="宋体" w:cs="宋体"/>
          <w:color w:val="000000" w:themeColor="text1"/>
          <w:kern w:val="0"/>
          <w:szCs w:val="30"/>
        </w:rPr>
      </w:pPr>
      <w:r w:rsidRPr="00DC6E5C">
        <w:rPr>
          <w:rFonts w:ascii="仿宋_GB2312" w:hAnsi="宋体" w:cs="宋体" w:hint="eastAsia"/>
          <w:color w:val="000000" w:themeColor="text1"/>
          <w:kern w:val="0"/>
          <w:szCs w:val="30"/>
        </w:rPr>
        <w:t>（一）企业主要风险；</w:t>
      </w:r>
    </w:p>
    <w:p w:rsidR="007804F5" w:rsidRPr="00D6381B" w:rsidRDefault="00DC6E5C" w:rsidP="007804F5">
      <w:pPr>
        <w:widowControl/>
        <w:ind w:firstLine="600"/>
        <w:jc w:val="left"/>
        <w:rPr>
          <w:rFonts w:ascii="仿宋_GB2312" w:hAnsi="宋体" w:cs="宋体"/>
          <w:color w:val="000000" w:themeColor="text1"/>
          <w:kern w:val="0"/>
          <w:szCs w:val="30"/>
        </w:rPr>
      </w:pPr>
      <w:r w:rsidRPr="00DC6E5C">
        <w:rPr>
          <w:rFonts w:ascii="仿宋_GB2312" w:hAnsi="宋体" w:cs="宋体" w:hint="eastAsia"/>
          <w:color w:val="000000" w:themeColor="text1"/>
          <w:kern w:val="0"/>
          <w:szCs w:val="30"/>
        </w:rPr>
        <w:t>（二）发行条款；</w:t>
      </w:r>
    </w:p>
    <w:p w:rsidR="007804F5" w:rsidRPr="00D6381B" w:rsidRDefault="00DC6E5C" w:rsidP="007804F5">
      <w:pPr>
        <w:widowControl/>
        <w:ind w:firstLine="600"/>
        <w:jc w:val="left"/>
        <w:rPr>
          <w:rFonts w:ascii="仿宋_GB2312" w:hAnsi="宋体" w:cs="宋体"/>
          <w:color w:val="000000" w:themeColor="text1"/>
          <w:kern w:val="0"/>
          <w:szCs w:val="30"/>
        </w:rPr>
      </w:pPr>
      <w:r w:rsidRPr="00DC6E5C">
        <w:rPr>
          <w:rFonts w:ascii="仿宋_GB2312" w:hAnsi="宋体" w:cs="宋体" w:hint="eastAsia"/>
          <w:color w:val="000000" w:themeColor="text1"/>
          <w:kern w:val="0"/>
          <w:szCs w:val="30"/>
        </w:rPr>
        <w:t>（三）募集资金用途；</w:t>
      </w:r>
    </w:p>
    <w:p w:rsidR="007804F5" w:rsidRPr="00D6381B" w:rsidRDefault="00DC6E5C" w:rsidP="007804F5">
      <w:pPr>
        <w:widowControl/>
        <w:ind w:firstLine="600"/>
        <w:jc w:val="left"/>
        <w:rPr>
          <w:rFonts w:ascii="仿宋_GB2312" w:hAnsi="宋体" w:cs="宋体"/>
          <w:color w:val="000000" w:themeColor="text1"/>
          <w:kern w:val="0"/>
          <w:szCs w:val="30"/>
        </w:rPr>
      </w:pPr>
      <w:r w:rsidRPr="00DC6E5C">
        <w:rPr>
          <w:rFonts w:ascii="仿宋_GB2312" w:hAnsi="宋体" w:cs="宋体" w:hint="eastAsia"/>
          <w:color w:val="000000" w:themeColor="text1"/>
          <w:kern w:val="0"/>
          <w:szCs w:val="30"/>
        </w:rPr>
        <w:t>（四）企业基本情况；</w:t>
      </w:r>
    </w:p>
    <w:p w:rsidR="007804F5" w:rsidRPr="00D6381B" w:rsidRDefault="00DC6E5C" w:rsidP="007804F5">
      <w:pPr>
        <w:widowControl/>
        <w:ind w:firstLine="600"/>
        <w:jc w:val="left"/>
        <w:rPr>
          <w:rFonts w:ascii="仿宋_GB2312" w:hAnsi="宋体" w:cs="宋体"/>
          <w:color w:val="000000" w:themeColor="text1"/>
          <w:kern w:val="0"/>
          <w:szCs w:val="30"/>
        </w:rPr>
      </w:pPr>
      <w:r w:rsidRPr="00DC6E5C">
        <w:rPr>
          <w:rFonts w:ascii="仿宋_GB2312" w:hAnsi="宋体" w:cs="宋体" w:hint="eastAsia"/>
          <w:color w:val="000000" w:themeColor="text1"/>
          <w:kern w:val="0"/>
          <w:szCs w:val="30"/>
        </w:rPr>
        <w:t>（五）经营范围和主营业务情况；</w:t>
      </w:r>
    </w:p>
    <w:p w:rsidR="007804F5" w:rsidRPr="00D6381B" w:rsidRDefault="00DC6E5C" w:rsidP="007804F5">
      <w:pPr>
        <w:widowControl/>
        <w:ind w:firstLine="600"/>
        <w:jc w:val="left"/>
        <w:rPr>
          <w:rFonts w:ascii="仿宋_GB2312" w:hAnsi="宋体" w:cs="宋体"/>
          <w:color w:val="000000" w:themeColor="text1"/>
          <w:kern w:val="0"/>
          <w:szCs w:val="30"/>
        </w:rPr>
      </w:pPr>
      <w:r w:rsidRPr="00DC6E5C">
        <w:rPr>
          <w:rFonts w:ascii="仿宋_GB2312" w:hAnsi="宋体" w:cs="宋体" w:hint="eastAsia"/>
          <w:color w:val="000000" w:themeColor="text1"/>
          <w:kern w:val="0"/>
          <w:szCs w:val="30"/>
        </w:rPr>
        <w:t>（六）财务状况；</w:t>
      </w:r>
    </w:p>
    <w:p w:rsidR="007804F5" w:rsidRPr="00D6381B" w:rsidRDefault="00DC6E5C" w:rsidP="007804F5">
      <w:pPr>
        <w:widowControl/>
        <w:ind w:firstLine="600"/>
        <w:jc w:val="left"/>
        <w:rPr>
          <w:rFonts w:ascii="仿宋_GB2312" w:hAnsi="宋体" w:cs="宋体"/>
          <w:color w:val="000000" w:themeColor="text1"/>
          <w:kern w:val="0"/>
          <w:szCs w:val="30"/>
        </w:rPr>
      </w:pPr>
      <w:r w:rsidRPr="00DC6E5C">
        <w:rPr>
          <w:rFonts w:ascii="仿宋_GB2312" w:hAnsi="宋体" w:cs="宋体" w:hint="eastAsia"/>
          <w:color w:val="000000" w:themeColor="text1"/>
          <w:kern w:val="0"/>
          <w:szCs w:val="30"/>
        </w:rPr>
        <w:t>（七）资信状况；</w:t>
      </w:r>
    </w:p>
    <w:p w:rsidR="007804F5" w:rsidRPr="00D6381B" w:rsidRDefault="00DC6E5C" w:rsidP="007804F5">
      <w:pPr>
        <w:widowControl/>
        <w:ind w:firstLine="600"/>
        <w:jc w:val="left"/>
        <w:rPr>
          <w:rFonts w:ascii="仿宋_GB2312" w:hAnsi="宋体" w:cs="宋体"/>
          <w:color w:val="000000" w:themeColor="text1"/>
          <w:kern w:val="0"/>
          <w:szCs w:val="30"/>
        </w:rPr>
      </w:pPr>
      <w:r w:rsidRPr="00DC6E5C">
        <w:rPr>
          <w:rFonts w:ascii="仿宋_GB2312" w:hAnsi="宋体" w:cs="宋体" w:hint="eastAsia"/>
          <w:color w:val="000000" w:themeColor="text1"/>
          <w:kern w:val="0"/>
          <w:szCs w:val="30"/>
        </w:rPr>
        <w:t>（八）信用增进情况；</w:t>
      </w:r>
    </w:p>
    <w:p w:rsidR="007804F5" w:rsidRPr="00D6381B" w:rsidRDefault="00DC6E5C" w:rsidP="007804F5">
      <w:pPr>
        <w:widowControl/>
        <w:ind w:firstLine="600"/>
        <w:jc w:val="left"/>
        <w:rPr>
          <w:rFonts w:ascii="仿宋_GB2312" w:hAnsi="宋体" w:cs="宋体"/>
          <w:color w:val="000000" w:themeColor="text1"/>
          <w:kern w:val="0"/>
          <w:szCs w:val="30"/>
        </w:rPr>
      </w:pPr>
      <w:r w:rsidRPr="00DC6E5C">
        <w:rPr>
          <w:rFonts w:ascii="仿宋_GB2312" w:hAnsi="宋体" w:cs="宋体" w:hint="eastAsia"/>
          <w:color w:val="000000" w:themeColor="text1"/>
          <w:kern w:val="0"/>
          <w:szCs w:val="30"/>
        </w:rPr>
        <w:t>（九）其他重大事项。</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t>第十一条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主承销商应当对企业主要风险进行调查，包括但不限于</w:t>
      </w:r>
      <w:r w:rsidRPr="00DC6E5C">
        <w:rPr>
          <w:rFonts w:ascii="仿宋_GB2312" w:hAnsi="宋体" w:cs="宋体"/>
          <w:color w:val="000000" w:themeColor="text1"/>
          <w:kern w:val="0"/>
          <w:szCs w:val="30"/>
        </w:rPr>
        <w:t>债务融资工具投资风险、企业财务风险、经营风险、管理风险、政策风险和特有风险等</w:t>
      </w:r>
      <w:r w:rsidRPr="00DC6E5C">
        <w:rPr>
          <w:rFonts w:ascii="仿宋_GB2312" w:hAnsi="宋体" w:cs="宋体" w:hint="eastAsia"/>
          <w:color w:val="000000" w:themeColor="text1"/>
          <w:kern w:val="0"/>
          <w:szCs w:val="30"/>
        </w:rPr>
        <w:t>。</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t>第十二条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主承销商应当调查发行条款相关内容是否符合法律法规及自律规则指引规定。</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t>第十三条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主承销商应当调查企业募集资金用途、使用计划、相关承诺及资金管理安排。主承销商需调查募集资金是否符合国家宏观调控和产业政策要求；涉及项目建设的，需</w:t>
      </w:r>
      <w:r w:rsidRPr="00DC6E5C">
        <w:rPr>
          <w:rFonts w:ascii="仿宋_GB2312" w:hAnsi="宋体" w:cs="宋体"/>
          <w:color w:val="000000" w:themeColor="text1"/>
          <w:kern w:val="0"/>
          <w:szCs w:val="30"/>
        </w:rPr>
        <w:t>调查</w:t>
      </w:r>
      <w:r w:rsidRPr="00DC6E5C">
        <w:rPr>
          <w:rFonts w:ascii="仿宋_GB2312" w:hAnsi="宋体" w:cs="宋体" w:hint="eastAsia"/>
          <w:color w:val="000000" w:themeColor="text1"/>
          <w:kern w:val="0"/>
          <w:szCs w:val="30"/>
        </w:rPr>
        <w:t>有关证照。</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t>第十四条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主承销商应当调查企业基本情况，</w:t>
      </w:r>
      <w:r w:rsidRPr="00DC6E5C">
        <w:rPr>
          <w:rFonts w:ascii="仿宋_GB2312" w:hAnsi="宋体" w:cs="宋体"/>
          <w:color w:val="000000" w:themeColor="text1"/>
          <w:kern w:val="0"/>
          <w:szCs w:val="30"/>
        </w:rPr>
        <w:t>分析其对企业持续经营能力和偿债能力的影响。</w:t>
      </w:r>
      <w:r w:rsidRPr="00DC6E5C">
        <w:rPr>
          <w:rFonts w:ascii="仿宋_GB2312" w:hAnsi="宋体" w:cs="宋体" w:hint="eastAsia"/>
          <w:color w:val="000000" w:themeColor="text1"/>
          <w:kern w:val="0"/>
          <w:szCs w:val="30"/>
        </w:rPr>
        <w:t>调查</w:t>
      </w:r>
      <w:r w:rsidRPr="00DC6E5C">
        <w:rPr>
          <w:rFonts w:ascii="仿宋_GB2312" w:hAnsi="宋体" w:cs="宋体"/>
          <w:color w:val="000000" w:themeColor="text1"/>
          <w:kern w:val="0"/>
          <w:szCs w:val="30"/>
        </w:rPr>
        <w:t>内容包括但不限于</w:t>
      </w:r>
      <w:r w:rsidRPr="00DC6E5C">
        <w:rPr>
          <w:rFonts w:ascii="仿宋_GB2312" w:hAnsi="宋体" w:cs="宋体" w:hint="eastAsia"/>
          <w:color w:val="000000" w:themeColor="text1"/>
          <w:kern w:val="0"/>
          <w:szCs w:val="30"/>
        </w:rPr>
        <w:t>：</w:t>
      </w:r>
    </w:p>
    <w:p w:rsidR="007804F5" w:rsidRPr="00D6381B" w:rsidRDefault="00DC6E5C" w:rsidP="007804F5">
      <w:pPr>
        <w:widowControl/>
        <w:ind w:firstLine="600"/>
        <w:jc w:val="left"/>
        <w:rPr>
          <w:rFonts w:ascii="仿宋_GB2312" w:hAnsi="宋体" w:cs="宋体"/>
          <w:color w:val="000000" w:themeColor="text1"/>
          <w:kern w:val="0"/>
          <w:szCs w:val="30"/>
        </w:rPr>
      </w:pPr>
      <w:r w:rsidRPr="00DC6E5C">
        <w:rPr>
          <w:rFonts w:ascii="仿宋_GB2312" w:hAnsi="宋体" w:cs="宋体" w:hint="eastAsia"/>
          <w:color w:val="000000" w:themeColor="text1"/>
          <w:kern w:val="0"/>
          <w:szCs w:val="30"/>
        </w:rPr>
        <w:lastRenderedPageBreak/>
        <w:t>（一）基本情况和历史沿革。查阅工商登记文件、营业执照、公司章程、股权结构图、主要股东名册等文件，调查企业设立、改制、重组、重大增减资、合并、分立等重要事件</w:t>
      </w:r>
      <w:r w:rsidRPr="00DC6E5C">
        <w:rPr>
          <w:rFonts w:ascii="仿宋_GB2312" w:hAnsi="宋体" w:cs="宋体"/>
          <w:color w:val="000000" w:themeColor="text1"/>
          <w:kern w:val="0"/>
          <w:szCs w:val="30"/>
        </w:rPr>
        <w:t>。</w:t>
      </w:r>
    </w:p>
    <w:p w:rsidR="007804F5" w:rsidRPr="00D6381B" w:rsidRDefault="00DC6E5C" w:rsidP="007804F5">
      <w:pPr>
        <w:widowControl/>
        <w:ind w:firstLine="600"/>
        <w:jc w:val="left"/>
        <w:rPr>
          <w:rFonts w:ascii="仿宋_GB2312" w:hAnsi="宋体" w:cs="宋体"/>
          <w:color w:val="000000" w:themeColor="text1"/>
          <w:kern w:val="0"/>
          <w:szCs w:val="30"/>
        </w:rPr>
      </w:pPr>
      <w:r w:rsidRPr="00DC6E5C">
        <w:rPr>
          <w:rFonts w:ascii="仿宋_GB2312" w:hAnsi="宋体" w:cs="宋体" w:hint="eastAsia"/>
          <w:color w:val="000000" w:themeColor="text1"/>
          <w:kern w:val="0"/>
          <w:szCs w:val="30"/>
        </w:rPr>
        <w:t>（二）控股股东及实际控制人。调查企业的控股股东及实际控制人的基本情况及变化情况，实际控制人应当调查到最终的国有控股主体或自然人为止。</w:t>
      </w:r>
    </w:p>
    <w:p w:rsidR="007804F5" w:rsidRPr="00D6381B" w:rsidRDefault="00DC6E5C" w:rsidP="007804F5">
      <w:pPr>
        <w:widowControl/>
        <w:ind w:firstLine="600"/>
        <w:jc w:val="left"/>
        <w:rPr>
          <w:rFonts w:ascii="仿宋_GB2312" w:hAnsi="宋体" w:cs="宋体"/>
          <w:color w:val="000000" w:themeColor="text1"/>
          <w:kern w:val="0"/>
          <w:szCs w:val="30"/>
        </w:rPr>
      </w:pPr>
      <w:r w:rsidRPr="00DC6E5C">
        <w:rPr>
          <w:rFonts w:ascii="仿宋_GB2312" w:hAnsi="宋体" w:cs="宋体" w:hint="eastAsia"/>
          <w:color w:val="000000" w:themeColor="text1"/>
          <w:kern w:val="0"/>
          <w:szCs w:val="30"/>
        </w:rPr>
        <w:t>（三）独立性。调查企业与控股股东、实际控制人在资产、人员、机构、财务、业务经营等方面的独立性情况</w:t>
      </w:r>
      <w:r w:rsidRPr="00DC6E5C">
        <w:rPr>
          <w:rFonts w:ascii="仿宋_GB2312" w:hAnsi="宋体" w:cs="宋体"/>
          <w:color w:val="000000" w:themeColor="text1"/>
          <w:kern w:val="0"/>
          <w:szCs w:val="30"/>
        </w:rPr>
        <w:t>。</w:t>
      </w:r>
    </w:p>
    <w:p w:rsidR="007804F5" w:rsidRPr="00D6381B" w:rsidRDefault="00DC6E5C" w:rsidP="007804F5">
      <w:pPr>
        <w:widowControl/>
        <w:ind w:firstLine="600"/>
        <w:jc w:val="left"/>
        <w:rPr>
          <w:rFonts w:ascii="仿宋_GB2312" w:hAnsi="宋体" w:cs="宋体"/>
          <w:color w:val="000000" w:themeColor="text1"/>
          <w:kern w:val="0"/>
          <w:szCs w:val="30"/>
        </w:rPr>
      </w:pPr>
      <w:r w:rsidRPr="00DC6E5C">
        <w:rPr>
          <w:rFonts w:ascii="仿宋_GB2312" w:hAnsi="宋体" w:cs="宋体" w:hint="eastAsia"/>
          <w:color w:val="000000" w:themeColor="text1"/>
          <w:kern w:val="0"/>
          <w:szCs w:val="30"/>
        </w:rPr>
        <w:t>（四）重要权益投资。</w:t>
      </w:r>
      <w:r w:rsidRPr="00DC6E5C">
        <w:rPr>
          <w:rFonts w:ascii="仿宋_GB2312" w:hAnsi="宋体" w:cs="宋体"/>
          <w:color w:val="000000" w:themeColor="text1"/>
          <w:kern w:val="0"/>
          <w:szCs w:val="30"/>
        </w:rPr>
        <w:t>对于持股比例超过50%但未纳入合并报表或持股比例不高于50%但纳入合并报表的</w:t>
      </w:r>
      <w:r w:rsidRPr="00DC6E5C">
        <w:rPr>
          <w:rFonts w:ascii="仿宋_GB2312" w:hAnsi="宋体" w:cs="宋体" w:hint="eastAsia"/>
          <w:color w:val="000000" w:themeColor="text1"/>
          <w:kern w:val="0"/>
          <w:szCs w:val="30"/>
        </w:rPr>
        <w:t>，</w:t>
      </w:r>
      <w:r w:rsidRPr="00DC6E5C">
        <w:rPr>
          <w:rFonts w:ascii="仿宋_GB2312" w:hAnsi="宋体" w:cs="宋体"/>
          <w:color w:val="000000" w:themeColor="text1"/>
          <w:kern w:val="0"/>
          <w:szCs w:val="30"/>
        </w:rPr>
        <w:t>应当调查其</w:t>
      </w:r>
      <w:r w:rsidRPr="00DC6E5C">
        <w:rPr>
          <w:rFonts w:ascii="仿宋_GB2312" w:hAnsi="宋体" w:cs="宋体" w:hint="eastAsia"/>
          <w:color w:val="000000" w:themeColor="text1"/>
          <w:kern w:val="0"/>
          <w:szCs w:val="30"/>
        </w:rPr>
        <w:t>原因</w:t>
      </w:r>
      <w:r w:rsidRPr="00DC6E5C">
        <w:rPr>
          <w:rFonts w:ascii="仿宋_GB2312" w:hAnsi="宋体" w:cs="宋体"/>
          <w:color w:val="000000" w:themeColor="text1"/>
          <w:kern w:val="0"/>
          <w:szCs w:val="30"/>
        </w:rPr>
        <w:t>。</w:t>
      </w:r>
      <w:r w:rsidRPr="00DC6E5C">
        <w:rPr>
          <w:rFonts w:ascii="仿宋_GB2312" w:hAnsi="宋体" w:cs="宋体" w:hint="eastAsia"/>
          <w:color w:val="000000" w:themeColor="text1"/>
          <w:kern w:val="0"/>
          <w:szCs w:val="30"/>
        </w:rPr>
        <w:t>针对企业重要子公司、主要参股公司及对企业有重要影响的关联方，应当调查其基本情况、主要财务数据及重大变动情况。</w:t>
      </w:r>
    </w:p>
    <w:p w:rsidR="007804F5" w:rsidRPr="00D6381B" w:rsidRDefault="00DC6E5C" w:rsidP="007804F5">
      <w:pPr>
        <w:widowControl/>
        <w:ind w:firstLine="600"/>
        <w:jc w:val="left"/>
        <w:rPr>
          <w:rFonts w:ascii="仿宋_GB2312" w:hAnsi="宋体" w:cs="宋体"/>
          <w:color w:val="000000" w:themeColor="text1"/>
          <w:kern w:val="0"/>
          <w:szCs w:val="30"/>
        </w:rPr>
      </w:pPr>
      <w:r w:rsidRPr="00DC6E5C">
        <w:rPr>
          <w:rFonts w:ascii="仿宋_GB2312" w:hAnsi="宋体" w:cs="宋体" w:hint="eastAsia"/>
          <w:color w:val="000000" w:themeColor="text1"/>
          <w:kern w:val="0"/>
          <w:szCs w:val="30"/>
        </w:rPr>
        <w:t>（五）公司治理及内部控制</w:t>
      </w:r>
    </w:p>
    <w:p w:rsidR="007804F5" w:rsidRPr="00D6381B" w:rsidRDefault="00DC6E5C" w:rsidP="007804F5">
      <w:pPr>
        <w:widowControl/>
        <w:ind w:firstLine="600"/>
        <w:jc w:val="left"/>
        <w:rPr>
          <w:rFonts w:ascii="仿宋_GB2312" w:hAnsi="宋体" w:cs="宋体"/>
          <w:color w:val="000000" w:themeColor="text1"/>
          <w:kern w:val="0"/>
          <w:szCs w:val="30"/>
        </w:rPr>
      </w:pPr>
      <w:r w:rsidRPr="00DC6E5C">
        <w:rPr>
          <w:rFonts w:ascii="仿宋_GB2312" w:hAnsi="宋体" w:cs="宋体"/>
          <w:color w:val="000000" w:themeColor="text1"/>
          <w:kern w:val="0"/>
          <w:szCs w:val="30"/>
        </w:rPr>
        <w:t>1.企业</w:t>
      </w:r>
      <w:r w:rsidRPr="00DC6E5C">
        <w:rPr>
          <w:rFonts w:ascii="仿宋_GB2312" w:hAnsi="宋体" w:cs="宋体" w:hint="eastAsia"/>
          <w:color w:val="000000" w:themeColor="text1"/>
          <w:kern w:val="0"/>
          <w:szCs w:val="30"/>
        </w:rPr>
        <w:t>治理结构、组织机构设置及运行情况。</w:t>
      </w:r>
    </w:p>
    <w:p w:rsidR="007804F5" w:rsidRPr="00D6381B" w:rsidRDefault="00DC6E5C" w:rsidP="007804F5">
      <w:pPr>
        <w:widowControl/>
        <w:ind w:firstLine="600"/>
        <w:jc w:val="left"/>
        <w:rPr>
          <w:rFonts w:ascii="仿宋_GB2312" w:hAnsi="宋体" w:cs="宋体"/>
          <w:color w:val="000000" w:themeColor="text1"/>
          <w:kern w:val="0"/>
          <w:szCs w:val="30"/>
        </w:rPr>
      </w:pPr>
      <w:r w:rsidRPr="00DC6E5C">
        <w:rPr>
          <w:rFonts w:ascii="仿宋_GB2312" w:hAnsi="宋体" w:cs="宋体"/>
          <w:color w:val="000000" w:themeColor="text1"/>
          <w:kern w:val="0"/>
          <w:szCs w:val="30"/>
        </w:rPr>
        <w:t>2.企业内控制度，包括但不限于预算管理、财务管理、重大投融资决策、担保制度、关联交易制度、信息披露制度、对下属子公司的内部控制等。</w:t>
      </w:r>
    </w:p>
    <w:p w:rsidR="007804F5" w:rsidRPr="00D6381B" w:rsidRDefault="00DC6E5C" w:rsidP="007804F5">
      <w:pPr>
        <w:widowControl/>
        <w:ind w:firstLine="600"/>
        <w:jc w:val="left"/>
        <w:rPr>
          <w:rFonts w:ascii="仿宋_GB2312" w:hAnsi="宋体" w:cs="宋体"/>
          <w:color w:val="000000" w:themeColor="text1"/>
          <w:kern w:val="0"/>
          <w:szCs w:val="30"/>
        </w:rPr>
      </w:pPr>
      <w:r w:rsidRPr="00DC6E5C">
        <w:rPr>
          <w:rFonts w:ascii="仿宋_GB2312" w:hAnsi="宋体" w:cs="宋体"/>
          <w:color w:val="000000" w:themeColor="text1"/>
          <w:kern w:val="0"/>
          <w:szCs w:val="30"/>
        </w:rPr>
        <w:t>3.企业人员基本情况，以及高管人员设置是否符合《公司法》等相关法律法规及公司章程要求。</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t>第十五条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主承销商应当调查企业经营范围及主营业务情况。调查各业务板块报告期营业收入、营业成本、毛利率等情况；调查分析各板块盈利模式、上下游产业链情况、产销区域、关键技术工艺、行业地位等。</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t>第十六条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主承销商应当调查企业主要在建工程及拟建工程。</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lastRenderedPageBreak/>
        <w:t>第十七条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主承销商应当查阅企业报告期内的财务报告及财务报表</w:t>
      </w:r>
      <w:r w:rsidRPr="00DC6E5C">
        <w:rPr>
          <w:rFonts w:ascii="仿宋_GB2312" w:hAnsi="宋体" w:cs="宋体"/>
          <w:color w:val="000000" w:themeColor="text1"/>
          <w:kern w:val="0"/>
          <w:szCs w:val="30"/>
        </w:rPr>
        <w:t>,通过比较分析及对重要会计科目的调查，关注企业的资产状况、盈利能力</w:t>
      </w:r>
      <w:r w:rsidRPr="00DC6E5C">
        <w:rPr>
          <w:rFonts w:ascii="仿宋_GB2312" w:hAnsi="宋体" w:cs="宋体" w:hint="eastAsia"/>
          <w:color w:val="000000" w:themeColor="text1"/>
          <w:kern w:val="0"/>
          <w:szCs w:val="30"/>
        </w:rPr>
        <w:t>、</w:t>
      </w:r>
      <w:r w:rsidRPr="00DC6E5C">
        <w:rPr>
          <w:rFonts w:ascii="仿宋_GB2312" w:hAnsi="宋体" w:cs="宋体"/>
          <w:color w:val="000000" w:themeColor="text1"/>
          <w:kern w:val="0"/>
          <w:szCs w:val="30"/>
        </w:rPr>
        <w:t>现金流状况、偿债能力及其可持续性。</w:t>
      </w:r>
    </w:p>
    <w:p w:rsidR="007804F5" w:rsidRPr="00D6381B" w:rsidRDefault="00DC6E5C" w:rsidP="007804F5">
      <w:pPr>
        <w:widowControl/>
        <w:ind w:firstLine="600"/>
        <w:jc w:val="left"/>
        <w:rPr>
          <w:rFonts w:ascii="仿宋_GB2312" w:hAnsi="宋体" w:cs="宋体"/>
          <w:color w:val="000000" w:themeColor="text1"/>
          <w:kern w:val="0"/>
          <w:szCs w:val="30"/>
        </w:rPr>
      </w:pPr>
      <w:r w:rsidRPr="00DC6E5C">
        <w:rPr>
          <w:rFonts w:ascii="仿宋_GB2312" w:hAnsi="宋体" w:cs="宋体" w:hint="eastAsia"/>
          <w:color w:val="000000" w:themeColor="text1"/>
          <w:kern w:val="0"/>
          <w:szCs w:val="30"/>
        </w:rPr>
        <w:t>主承销商应当调查企业报告期经审计的财务报告及会计报表编制基础、重大会计政策变更、审计情况、重要合并报表范围变化情况。如会计师事务所变更或合并报表范围发生重大变化，应调查其变更或变动原因。</w:t>
      </w:r>
    </w:p>
    <w:p w:rsidR="007804F5" w:rsidRPr="00D6381B" w:rsidRDefault="00DC6E5C" w:rsidP="007804F5">
      <w:pPr>
        <w:widowControl/>
        <w:ind w:firstLine="600"/>
        <w:jc w:val="left"/>
        <w:rPr>
          <w:rFonts w:ascii="仿宋_GB2312" w:hAnsi="宋体" w:cs="宋体"/>
          <w:color w:val="000000" w:themeColor="text1"/>
          <w:kern w:val="0"/>
          <w:szCs w:val="30"/>
        </w:rPr>
      </w:pPr>
      <w:r w:rsidRPr="00DC6E5C">
        <w:rPr>
          <w:rFonts w:ascii="仿宋_GB2312" w:hAnsi="宋体" w:cs="宋体" w:hint="eastAsia"/>
          <w:color w:val="000000" w:themeColor="text1"/>
          <w:kern w:val="0"/>
          <w:szCs w:val="30"/>
        </w:rPr>
        <w:t>主承销商应当对近一年及一期占总资产</w:t>
      </w:r>
      <w:r w:rsidRPr="00DC6E5C">
        <w:rPr>
          <w:rFonts w:ascii="仿宋_GB2312" w:hAnsi="宋体" w:cs="宋体"/>
          <w:color w:val="000000" w:themeColor="text1"/>
          <w:kern w:val="0"/>
          <w:szCs w:val="30"/>
        </w:rPr>
        <w:t>10%以上的资产类科目、占总负债10%以上的负债类科目，或者变化幅度在30%以上的会计科目，调查分析变动情况及变动原因。</w:t>
      </w:r>
    </w:p>
    <w:p w:rsidR="007804F5" w:rsidRPr="00D6381B" w:rsidRDefault="00DC6E5C" w:rsidP="007804F5">
      <w:pPr>
        <w:widowControl/>
        <w:ind w:firstLine="600"/>
        <w:jc w:val="left"/>
        <w:rPr>
          <w:rFonts w:ascii="仿宋_GB2312" w:hAnsi="宋体" w:cs="宋体"/>
          <w:color w:val="000000" w:themeColor="text1"/>
          <w:kern w:val="0"/>
          <w:szCs w:val="30"/>
        </w:rPr>
      </w:pPr>
      <w:r w:rsidRPr="00DC6E5C">
        <w:rPr>
          <w:rFonts w:ascii="仿宋_GB2312" w:hAnsi="宋体" w:cs="宋体" w:hint="eastAsia"/>
          <w:color w:val="000000" w:themeColor="text1"/>
          <w:kern w:val="0"/>
          <w:szCs w:val="30"/>
        </w:rPr>
        <w:t>主承销商应当对重要财务指标、有息债务、关联交易、或有事项、受限资产情况、衍生产品情况、重大投资理财产品、海外投资、直接债务融资计划情况进行调查分析。</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t>第十八条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主承销商应当调查企业资信状况。主承销商应当调查企业评级、授信、征信、违约记录、失信被执行、发行及偿付信用债券的历史情况。</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t>第十九条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主承销商应当调查债务融资工具信用增进措施及相关安排，关注相关信用增进措施的有效性。</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t>第二十条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主承销商应当对报告期内企业及其重要子公司、各中介机构是否被采取行政监管措施、受到行政处罚或被有权机关立案调查等可能对</w:t>
      </w:r>
      <w:r w:rsidRPr="00DC6E5C">
        <w:rPr>
          <w:rFonts w:hint="eastAsia"/>
          <w:color w:val="000000" w:themeColor="text1"/>
          <w:kern w:val="0"/>
          <w:szCs w:val="30"/>
        </w:rPr>
        <w:t>投资价值及投资决策判断有重要影响的</w:t>
      </w:r>
      <w:r w:rsidRPr="00DC6E5C">
        <w:rPr>
          <w:rFonts w:ascii="仿宋_GB2312" w:hAnsi="宋体" w:cs="宋体" w:hint="eastAsia"/>
          <w:color w:val="000000" w:themeColor="text1"/>
          <w:kern w:val="0"/>
          <w:szCs w:val="30"/>
        </w:rPr>
        <w:t>情况进行调查。</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lastRenderedPageBreak/>
        <w:t>第二十一条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主承销商应当核查企业注册发行文件中持有人会议机制相关内容是否符合法律法规以及交易商协会相关自律规则。</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t>第二十二条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主承销商应当核查企业注册发行文件中受托管理人机制相关内容是否符合法律法规以及交易商协会相关自律规则。</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t>第二十三条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主承销商应当核查企业注册发行文件中关于投资人保护条款、违约、风险情形及处置的相关约定是否符合法律法规以及交易商协会相关自律规则。</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color w:val="000000" w:themeColor="text1"/>
          <w:kern w:val="0"/>
          <w:szCs w:val="30"/>
        </w:rPr>
        <w:t>第二十四条</w:t>
      </w:r>
      <w:r w:rsidRPr="00DC6E5C">
        <w:rPr>
          <w:rFonts w:ascii="仿宋_GB2312" w:hAnsi="宋体" w:cs="宋体"/>
          <w:b/>
          <w:color w:val="000000" w:themeColor="text1"/>
          <w:kern w:val="0"/>
          <w:szCs w:val="30"/>
        </w:rPr>
        <w:t xml:space="preserve"> </w:t>
      </w:r>
      <w:r w:rsidRPr="00DC6E5C">
        <w:rPr>
          <w:rFonts w:ascii="仿宋_GB2312" w:hAnsi="宋体" w:cs="宋体" w:hint="eastAsia"/>
          <w:color w:val="000000" w:themeColor="text1"/>
          <w:kern w:val="0"/>
          <w:szCs w:val="30"/>
        </w:rPr>
        <w:t>涉及特殊行业、特殊情形的，主承销商应按相关要求开展尽职调查工作。</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t>第二十五条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主承销商应当调查其他可能影响企业偿债能力或对投资人投资决策有重大影响的事项。</w:t>
      </w:r>
    </w:p>
    <w:p w:rsidR="007804F5" w:rsidRPr="00D6381B" w:rsidRDefault="007804F5" w:rsidP="007804F5">
      <w:pPr>
        <w:widowControl/>
        <w:ind w:firstLine="600"/>
        <w:jc w:val="left"/>
        <w:rPr>
          <w:rFonts w:ascii="仿宋_GB2312" w:hAnsi="宋体" w:cs="宋体"/>
          <w:color w:val="000000" w:themeColor="text1"/>
          <w:kern w:val="0"/>
          <w:szCs w:val="30"/>
        </w:rPr>
      </w:pPr>
    </w:p>
    <w:p w:rsidR="007804F5" w:rsidRPr="00D6381B" w:rsidRDefault="00DC6E5C" w:rsidP="007804F5">
      <w:pPr>
        <w:widowControl/>
        <w:ind w:firstLine="643"/>
        <w:jc w:val="center"/>
        <w:rPr>
          <w:rFonts w:ascii="仿宋_GB2312" w:hAnsi="黑体" w:cs="宋体"/>
          <w:b/>
          <w:bCs/>
          <w:color w:val="000000" w:themeColor="text1"/>
          <w:kern w:val="0"/>
          <w:sz w:val="32"/>
          <w:szCs w:val="32"/>
        </w:rPr>
      </w:pPr>
      <w:r w:rsidRPr="00DC6E5C">
        <w:rPr>
          <w:rFonts w:ascii="仿宋_GB2312" w:hAnsi="黑体" w:cs="宋体" w:hint="eastAsia"/>
          <w:b/>
          <w:bCs/>
          <w:color w:val="000000" w:themeColor="text1"/>
          <w:kern w:val="0"/>
          <w:sz w:val="32"/>
          <w:szCs w:val="32"/>
        </w:rPr>
        <w:t>第三章</w:t>
      </w:r>
      <w:r w:rsidRPr="00DC6E5C">
        <w:rPr>
          <w:rFonts w:ascii="仿宋_GB2312" w:hAnsi="黑体" w:cs="宋体"/>
          <w:b/>
          <w:bCs/>
          <w:color w:val="000000" w:themeColor="text1"/>
          <w:kern w:val="0"/>
          <w:sz w:val="32"/>
          <w:szCs w:val="32"/>
        </w:rPr>
        <w:t xml:space="preserve"> </w:t>
      </w:r>
      <w:r w:rsidRPr="00DC6E5C">
        <w:rPr>
          <w:rFonts w:ascii="仿宋_GB2312" w:hAnsi="黑体" w:cs="宋体" w:hint="eastAsia"/>
          <w:b/>
          <w:bCs/>
          <w:color w:val="000000" w:themeColor="text1"/>
          <w:kern w:val="0"/>
          <w:sz w:val="32"/>
          <w:szCs w:val="32"/>
        </w:rPr>
        <w:t>尽职调查方法</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t>第二十六条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主承销商开展尽职调查可采用查阅、访谈、列席会议、实地调查、信息分析、印证和讨论等方法。</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t>第二十七条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查阅的渠道包括但不限于：</w:t>
      </w:r>
    </w:p>
    <w:p w:rsidR="007804F5" w:rsidRPr="00D6381B" w:rsidRDefault="00DC6E5C" w:rsidP="007804F5">
      <w:pPr>
        <w:widowControl/>
        <w:ind w:firstLine="600"/>
        <w:jc w:val="left"/>
        <w:rPr>
          <w:rFonts w:ascii="仿宋_GB2312" w:hAnsi="宋体" w:cs="宋体"/>
          <w:color w:val="000000" w:themeColor="text1"/>
          <w:kern w:val="0"/>
          <w:szCs w:val="30"/>
        </w:rPr>
      </w:pPr>
      <w:r w:rsidRPr="00DC6E5C">
        <w:rPr>
          <w:rFonts w:ascii="仿宋_GB2312" w:hAnsi="宋体" w:cs="宋体" w:hint="eastAsia"/>
          <w:color w:val="000000" w:themeColor="text1"/>
          <w:kern w:val="0"/>
          <w:szCs w:val="30"/>
        </w:rPr>
        <w:t>（一）由企业提供相关资料；</w:t>
      </w:r>
    </w:p>
    <w:p w:rsidR="007804F5" w:rsidRPr="00D6381B" w:rsidRDefault="00DC6E5C" w:rsidP="007804F5">
      <w:pPr>
        <w:widowControl/>
        <w:ind w:firstLine="600"/>
        <w:jc w:val="left"/>
        <w:rPr>
          <w:rFonts w:ascii="仿宋_GB2312" w:hAnsi="宋体" w:cs="宋体"/>
          <w:color w:val="000000" w:themeColor="text1"/>
          <w:kern w:val="0"/>
          <w:szCs w:val="30"/>
        </w:rPr>
      </w:pPr>
      <w:r w:rsidRPr="00DC6E5C">
        <w:rPr>
          <w:rFonts w:ascii="仿宋_GB2312" w:hAnsi="宋体" w:cs="宋体" w:hint="eastAsia"/>
          <w:color w:val="000000" w:themeColor="text1"/>
          <w:kern w:val="0"/>
          <w:szCs w:val="30"/>
        </w:rPr>
        <w:t>（二）通过银行信贷登记咨询系统以及其他信用查询系统获得相关资料（如有）；</w:t>
      </w:r>
    </w:p>
    <w:p w:rsidR="007804F5" w:rsidRPr="00D6381B" w:rsidRDefault="00DC6E5C" w:rsidP="007804F5">
      <w:pPr>
        <w:widowControl/>
        <w:ind w:firstLine="600"/>
        <w:jc w:val="left"/>
        <w:rPr>
          <w:rFonts w:ascii="仿宋_GB2312" w:hAnsi="宋体" w:cs="宋体"/>
          <w:color w:val="000000" w:themeColor="text1"/>
          <w:kern w:val="0"/>
          <w:szCs w:val="30"/>
        </w:rPr>
      </w:pPr>
      <w:r w:rsidRPr="00DC6E5C">
        <w:rPr>
          <w:rFonts w:ascii="仿宋_GB2312" w:hAnsi="宋体" w:cs="宋体" w:hint="eastAsia"/>
          <w:color w:val="000000" w:themeColor="text1"/>
          <w:kern w:val="0"/>
          <w:szCs w:val="30"/>
        </w:rPr>
        <w:t>（三）通过工商税务查询系统获得相关资料；</w:t>
      </w:r>
    </w:p>
    <w:p w:rsidR="007804F5" w:rsidRPr="00D6381B" w:rsidRDefault="00DC6E5C" w:rsidP="007804F5">
      <w:pPr>
        <w:widowControl/>
        <w:ind w:firstLine="600"/>
        <w:jc w:val="left"/>
        <w:rPr>
          <w:rFonts w:ascii="仿宋_GB2312" w:hAnsi="宋体" w:cs="宋体"/>
          <w:color w:val="000000" w:themeColor="text1"/>
          <w:kern w:val="0"/>
          <w:szCs w:val="30"/>
        </w:rPr>
      </w:pPr>
      <w:r w:rsidRPr="00DC6E5C">
        <w:rPr>
          <w:rFonts w:ascii="仿宋_GB2312" w:hAnsi="宋体" w:cs="宋体" w:hint="eastAsia"/>
          <w:color w:val="000000" w:themeColor="text1"/>
          <w:kern w:val="0"/>
          <w:szCs w:val="30"/>
        </w:rPr>
        <w:t>（四）通过公开信息披露媒体、互联网及其他可靠渠道搜集相关资料。</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lastRenderedPageBreak/>
        <w:t>第二十八条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访谈是指通过与企业及相关机构的高级管理人员，以及财务、销售、内部控制等部门的负责人员进行对话和访谈，从而掌握企业的最新情况，并核实已有的资料。</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t>第二十九条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列席会议是指列席企业关于债务融资工具有关事宜的会议。例如股东会、董事会、高级管理层办公会和部门协调会及其他涉及债务融资工具发行目的、用途、资金安排等事宜的会议。</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t>第三十条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实地调查是指到企业的主要生产场地或建设工地等业务基地进行实地调查。实地调查可包括生产状况、设备运行情况、库存情况、生产管理水平、项目进展情况和现场人员工作情况等内容。</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t>第三十一条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信息分析是指通过各种方法对采集的信息、资料进行分析，从而得出结论性意见。</w:t>
      </w:r>
    </w:p>
    <w:p w:rsidR="007804F5" w:rsidRPr="00D6381B" w:rsidRDefault="00DC6E5C" w:rsidP="007804F5">
      <w:pPr>
        <w:widowControl/>
        <w:ind w:firstLine="602"/>
        <w:jc w:val="left"/>
        <w:rPr>
          <w:rFonts w:ascii="仿宋_GB2312" w:hAnsi="宋体" w:cs="宋体"/>
          <w:b/>
          <w:bCs/>
          <w:color w:val="000000" w:themeColor="text1"/>
          <w:kern w:val="0"/>
          <w:szCs w:val="30"/>
        </w:rPr>
      </w:pPr>
      <w:r w:rsidRPr="00DC6E5C">
        <w:rPr>
          <w:rFonts w:ascii="仿宋_GB2312" w:hAnsi="宋体" w:cs="宋体" w:hint="eastAsia"/>
          <w:b/>
          <w:bCs/>
          <w:color w:val="000000" w:themeColor="text1"/>
          <w:kern w:val="0"/>
          <w:szCs w:val="30"/>
        </w:rPr>
        <w:t>第三十二条</w:t>
      </w:r>
      <w:r w:rsidRPr="00DC6E5C">
        <w:rPr>
          <w:rFonts w:ascii="仿宋_GB2312" w:hAnsi="宋体" w:cs="宋体"/>
          <w:b/>
          <w:bCs/>
          <w:color w:val="000000" w:themeColor="text1"/>
          <w:kern w:val="0"/>
          <w:szCs w:val="30"/>
        </w:rPr>
        <w:t xml:space="preserve"> </w:t>
      </w:r>
      <w:r w:rsidRPr="00DC6E5C">
        <w:rPr>
          <w:rFonts w:ascii="仿宋_GB2312" w:hAnsi="宋体" w:cs="宋体" w:hint="eastAsia"/>
          <w:bCs/>
          <w:color w:val="000000" w:themeColor="text1"/>
          <w:kern w:val="0"/>
          <w:szCs w:val="30"/>
        </w:rPr>
        <w:t>印证主要是指通过与有关机构进行沟通和验证，从而确认查阅和实地调查结论的真实性。</w:t>
      </w:r>
    </w:p>
    <w:p w:rsidR="007804F5" w:rsidRPr="00D6381B" w:rsidRDefault="00DC6E5C" w:rsidP="007804F5">
      <w:pPr>
        <w:widowControl/>
        <w:ind w:firstLine="602"/>
        <w:jc w:val="left"/>
        <w:rPr>
          <w:rFonts w:ascii="仿宋_GB2312" w:hAnsi="宋体" w:cs="宋体"/>
          <w:bCs/>
          <w:color w:val="000000" w:themeColor="text1"/>
          <w:kern w:val="0"/>
          <w:szCs w:val="30"/>
        </w:rPr>
      </w:pPr>
      <w:r w:rsidRPr="00DC6E5C">
        <w:rPr>
          <w:rFonts w:ascii="仿宋_GB2312" w:hAnsi="宋体" w:cs="宋体" w:hint="eastAsia"/>
          <w:b/>
          <w:bCs/>
          <w:color w:val="000000" w:themeColor="text1"/>
          <w:kern w:val="0"/>
          <w:szCs w:val="30"/>
        </w:rPr>
        <w:t>第三十三条</w:t>
      </w:r>
      <w:r w:rsidRPr="00DC6E5C">
        <w:rPr>
          <w:rFonts w:ascii="仿宋_GB2312" w:hAnsi="宋体" w:cs="宋体"/>
          <w:b/>
          <w:bCs/>
          <w:color w:val="000000" w:themeColor="text1"/>
          <w:kern w:val="0"/>
          <w:szCs w:val="30"/>
        </w:rPr>
        <w:t xml:space="preserve"> </w:t>
      </w:r>
      <w:r w:rsidRPr="00DC6E5C">
        <w:rPr>
          <w:rFonts w:ascii="仿宋_GB2312" w:hAnsi="宋体" w:cs="宋体" w:hint="eastAsia"/>
          <w:bCs/>
          <w:color w:val="000000" w:themeColor="text1"/>
          <w:kern w:val="0"/>
          <w:szCs w:val="30"/>
        </w:rPr>
        <w:t>讨论主要是指讨论尽职调查中涉及的问题和分歧，并就问题和分歧是否影响债务融资工具注册发行进行说明并发表意见。</w:t>
      </w:r>
    </w:p>
    <w:p w:rsidR="007804F5" w:rsidRPr="00D6381B" w:rsidRDefault="007804F5" w:rsidP="007804F5">
      <w:pPr>
        <w:widowControl/>
        <w:ind w:firstLine="600"/>
        <w:jc w:val="left"/>
        <w:rPr>
          <w:rFonts w:ascii="仿宋_GB2312" w:hAnsi="宋体" w:cs="宋体"/>
          <w:bCs/>
          <w:color w:val="000000" w:themeColor="text1"/>
          <w:kern w:val="0"/>
          <w:szCs w:val="30"/>
        </w:rPr>
      </w:pPr>
    </w:p>
    <w:p w:rsidR="007804F5" w:rsidRPr="00D6381B" w:rsidRDefault="00DC6E5C" w:rsidP="007804F5">
      <w:pPr>
        <w:widowControl/>
        <w:ind w:firstLine="643"/>
        <w:jc w:val="center"/>
        <w:rPr>
          <w:rFonts w:ascii="仿宋_GB2312" w:hAnsi="黑体" w:cs="宋体"/>
          <w:b/>
          <w:bCs/>
          <w:color w:val="000000" w:themeColor="text1"/>
          <w:kern w:val="0"/>
          <w:sz w:val="32"/>
          <w:szCs w:val="32"/>
        </w:rPr>
      </w:pPr>
      <w:r w:rsidRPr="00DC6E5C">
        <w:rPr>
          <w:rFonts w:ascii="仿宋_GB2312" w:hAnsi="黑体" w:cs="宋体" w:hint="eastAsia"/>
          <w:b/>
          <w:bCs/>
          <w:color w:val="000000" w:themeColor="text1"/>
          <w:kern w:val="0"/>
          <w:sz w:val="32"/>
          <w:szCs w:val="32"/>
        </w:rPr>
        <w:t>第四章</w:t>
      </w:r>
      <w:r w:rsidRPr="00DC6E5C">
        <w:rPr>
          <w:rFonts w:ascii="仿宋_GB2312" w:hAnsi="黑体" w:cs="宋体"/>
          <w:b/>
          <w:bCs/>
          <w:color w:val="000000" w:themeColor="text1"/>
          <w:kern w:val="0"/>
          <w:sz w:val="32"/>
          <w:szCs w:val="32"/>
        </w:rPr>
        <w:t xml:space="preserve"> </w:t>
      </w:r>
      <w:r w:rsidRPr="00DC6E5C">
        <w:rPr>
          <w:rFonts w:ascii="仿宋_GB2312" w:hAnsi="黑体" w:cs="宋体" w:hint="eastAsia"/>
          <w:b/>
          <w:bCs/>
          <w:color w:val="000000" w:themeColor="text1"/>
          <w:kern w:val="0"/>
          <w:sz w:val="32"/>
          <w:szCs w:val="32"/>
        </w:rPr>
        <w:t>尽职调查报告与相关工作底稿</w:t>
      </w:r>
    </w:p>
    <w:p w:rsidR="007804F5" w:rsidRPr="00D6381B" w:rsidRDefault="00DC6E5C" w:rsidP="007804F5">
      <w:pPr>
        <w:widowControl/>
        <w:ind w:firstLine="602"/>
        <w:jc w:val="left"/>
        <w:rPr>
          <w:rFonts w:ascii="仿宋_GB2312" w:hAnsi="宋体" w:cs="宋体"/>
          <w:b/>
          <w:bCs/>
          <w:color w:val="000000" w:themeColor="text1"/>
          <w:kern w:val="0"/>
          <w:szCs w:val="30"/>
        </w:rPr>
      </w:pPr>
      <w:r w:rsidRPr="00DC6E5C">
        <w:rPr>
          <w:rFonts w:ascii="仿宋_GB2312" w:hAnsi="宋体" w:cs="宋体" w:hint="eastAsia"/>
          <w:b/>
          <w:bCs/>
          <w:color w:val="000000" w:themeColor="text1"/>
          <w:kern w:val="0"/>
          <w:szCs w:val="30"/>
        </w:rPr>
        <w:t>第三十四条</w:t>
      </w:r>
      <w:r w:rsidRPr="00DC6E5C">
        <w:rPr>
          <w:rFonts w:ascii="仿宋_GB2312" w:hAnsi="宋体" w:cs="宋体"/>
          <w:b/>
          <w:bCs/>
          <w:color w:val="000000" w:themeColor="text1"/>
          <w:kern w:val="0"/>
          <w:szCs w:val="30"/>
        </w:rPr>
        <w:t xml:space="preserve"> </w:t>
      </w:r>
      <w:r w:rsidRPr="00DC6E5C">
        <w:rPr>
          <w:rFonts w:ascii="仿宋_GB2312" w:hAnsi="宋体" w:cs="宋体" w:hint="eastAsia"/>
          <w:bCs/>
          <w:color w:val="000000" w:themeColor="text1"/>
          <w:kern w:val="0"/>
          <w:szCs w:val="30"/>
        </w:rPr>
        <w:t>尽职调查报告应层次分明、条理清晰、重点突出、结论明确，充分反映尽职调查的过程和结果，包括但不限于尽职调查的计划、步骤、时间、内容及结论性意见。</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lastRenderedPageBreak/>
        <w:t>第三十五条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尽职调查报告应由调查团队签字，加盖主承销商公章或经授权的部门章并注明报告日期，作为出具推荐函的基础。</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color w:val="000000" w:themeColor="text1"/>
          <w:kern w:val="0"/>
          <w:szCs w:val="30"/>
        </w:rPr>
        <w:t>第三十六条</w:t>
      </w:r>
      <w:r w:rsidRPr="00DC6E5C">
        <w:rPr>
          <w:rFonts w:ascii="仿宋_GB2312" w:hAnsi="宋体" w:cs="宋体"/>
          <w:b/>
          <w:color w:val="000000" w:themeColor="text1"/>
          <w:kern w:val="0"/>
          <w:szCs w:val="30"/>
        </w:rPr>
        <w:t xml:space="preserve"> </w:t>
      </w:r>
      <w:r w:rsidRPr="00DC6E5C">
        <w:rPr>
          <w:rFonts w:ascii="仿宋_GB2312" w:hAnsi="宋体" w:cs="宋体" w:hint="eastAsia"/>
          <w:color w:val="000000" w:themeColor="text1"/>
          <w:kern w:val="0"/>
          <w:szCs w:val="30"/>
        </w:rPr>
        <w:t>主承销商应对已经注册的企业的情况进行跟踪，关注企业经营和财务状况的重大变化，并进行尽职调查。</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t>第三十七条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主承销商应于每期债务融资工具发行前，就未在尽职调查报告中体现的重大变化进行补充尽职调查，出具补充尽职调查报告。</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color w:val="000000" w:themeColor="text1"/>
          <w:kern w:val="0"/>
          <w:szCs w:val="30"/>
        </w:rPr>
        <w:t>第三十八条</w:t>
      </w:r>
      <w:r w:rsidRPr="00DC6E5C">
        <w:rPr>
          <w:rFonts w:ascii="仿宋_GB2312" w:hAnsi="宋体" w:cs="宋体"/>
          <w:b/>
          <w:color w:val="000000" w:themeColor="text1"/>
          <w:kern w:val="0"/>
          <w:szCs w:val="30"/>
        </w:rPr>
        <w:t xml:space="preserve"> </w:t>
      </w:r>
      <w:r w:rsidRPr="00DC6E5C">
        <w:rPr>
          <w:rFonts w:ascii="仿宋_GB2312" w:hAnsi="宋体" w:cs="宋体" w:hint="eastAsia"/>
          <w:color w:val="000000" w:themeColor="text1"/>
          <w:kern w:val="0"/>
          <w:szCs w:val="30"/>
        </w:rPr>
        <w:t>债务融资工具主承销商的尽职调查工作底稿应当真实、准确、完整地反映其尽职调查、内部控制等主要工作，成为其出具尽职调查报告、推荐函等的基础。</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color w:val="000000" w:themeColor="text1"/>
          <w:kern w:val="0"/>
          <w:szCs w:val="30"/>
        </w:rPr>
        <w:t>第三十九条</w:t>
      </w:r>
      <w:r w:rsidRPr="00DC6E5C">
        <w:rPr>
          <w:rFonts w:ascii="仿宋_GB2312" w:hAnsi="宋体" w:cs="宋体"/>
          <w:b/>
          <w:color w:val="000000" w:themeColor="text1"/>
          <w:kern w:val="0"/>
          <w:szCs w:val="30"/>
        </w:rPr>
        <w:t xml:space="preserve"> </w:t>
      </w:r>
      <w:r w:rsidRPr="00DC6E5C">
        <w:rPr>
          <w:rFonts w:ascii="仿宋_GB2312" w:hAnsi="宋体" w:cs="宋体" w:hint="eastAsia"/>
          <w:color w:val="000000" w:themeColor="text1"/>
          <w:kern w:val="0"/>
          <w:szCs w:val="30"/>
        </w:rPr>
        <w:t>尽职调查</w:t>
      </w:r>
      <w:r w:rsidRPr="00DC6E5C">
        <w:rPr>
          <w:rFonts w:ascii="仿宋_GB2312" w:hAnsi="宋体" w:cs="宋体"/>
          <w:color w:val="000000" w:themeColor="text1"/>
          <w:kern w:val="0"/>
          <w:szCs w:val="30"/>
        </w:rPr>
        <w:t>工作底稿是评价</w:t>
      </w:r>
      <w:r w:rsidRPr="00DC6E5C">
        <w:rPr>
          <w:rFonts w:ascii="仿宋_GB2312" w:hAnsi="宋体" w:cs="宋体" w:hint="eastAsia"/>
          <w:color w:val="000000" w:themeColor="text1"/>
          <w:kern w:val="0"/>
          <w:szCs w:val="30"/>
        </w:rPr>
        <w:t>债务融资工具主承销商</w:t>
      </w:r>
      <w:r w:rsidRPr="00DC6E5C">
        <w:rPr>
          <w:rFonts w:ascii="仿宋_GB2312" w:hAnsi="宋体" w:cs="宋体"/>
          <w:color w:val="000000" w:themeColor="text1"/>
          <w:kern w:val="0"/>
          <w:szCs w:val="30"/>
        </w:rPr>
        <w:t>从事</w:t>
      </w:r>
      <w:r w:rsidRPr="00DC6E5C">
        <w:rPr>
          <w:rFonts w:ascii="仿宋_GB2312" w:hAnsi="宋体" w:cs="宋体" w:hint="eastAsia"/>
          <w:color w:val="000000" w:themeColor="text1"/>
          <w:kern w:val="0"/>
          <w:szCs w:val="30"/>
        </w:rPr>
        <w:t>债务融资工具业务</w:t>
      </w:r>
      <w:r w:rsidRPr="00DC6E5C">
        <w:rPr>
          <w:rFonts w:ascii="仿宋_GB2312" w:hAnsi="宋体" w:cs="宋体"/>
          <w:color w:val="000000" w:themeColor="text1"/>
          <w:kern w:val="0"/>
          <w:szCs w:val="30"/>
        </w:rPr>
        <w:t>是否诚实守信、勤勉尽责的重要依据。</w:t>
      </w:r>
    </w:p>
    <w:p w:rsidR="007804F5" w:rsidRPr="00D6381B" w:rsidRDefault="00DC6E5C" w:rsidP="007804F5">
      <w:pPr>
        <w:widowControl/>
        <w:ind w:firstLine="602"/>
        <w:jc w:val="left"/>
        <w:rPr>
          <w:rFonts w:ascii="仿宋_GB2312" w:hAnsi="宋体" w:cs="宋体"/>
          <w:b/>
          <w:color w:val="000000" w:themeColor="text1"/>
          <w:kern w:val="0"/>
          <w:szCs w:val="30"/>
        </w:rPr>
      </w:pPr>
      <w:r w:rsidRPr="00DC6E5C">
        <w:rPr>
          <w:rFonts w:ascii="仿宋_GB2312" w:hAnsi="宋体" w:cs="宋体" w:hint="eastAsia"/>
          <w:b/>
          <w:color w:val="000000" w:themeColor="text1"/>
          <w:kern w:val="0"/>
          <w:szCs w:val="30"/>
        </w:rPr>
        <w:t>第四十条</w:t>
      </w:r>
      <w:r w:rsidRPr="00DC6E5C">
        <w:rPr>
          <w:rFonts w:ascii="仿宋_GB2312" w:hAnsi="宋体" w:cs="宋体"/>
          <w:b/>
          <w:color w:val="000000" w:themeColor="text1"/>
          <w:kern w:val="0"/>
          <w:szCs w:val="30"/>
        </w:rPr>
        <w:t xml:space="preserve"> </w:t>
      </w:r>
      <w:r w:rsidRPr="00DC6E5C">
        <w:rPr>
          <w:rFonts w:ascii="仿宋_GB2312" w:hAnsi="宋体" w:cs="宋体" w:hint="eastAsia"/>
          <w:color w:val="000000" w:themeColor="text1"/>
          <w:kern w:val="0"/>
          <w:szCs w:val="30"/>
        </w:rPr>
        <w:t>债务融资工具</w:t>
      </w:r>
      <w:r w:rsidRPr="00DC6E5C">
        <w:rPr>
          <w:rFonts w:ascii="仿宋_GB2312" w:hAnsi="宋体" w:cs="宋体"/>
          <w:color w:val="000000" w:themeColor="text1"/>
          <w:kern w:val="0"/>
          <w:szCs w:val="30"/>
        </w:rPr>
        <w:t>主承销商</w:t>
      </w:r>
      <w:r w:rsidRPr="00DC6E5C">
        <w:rPr>
          <w:rFonts w:ascii="仿宋_GB2312" w:hAnsi="宋体" w:cs="宋体" w:hint="eastAsia"/>
          <w:color w:val="000000" w:themeColor="text1"/>
          <w:kern w:val="0"/>
          <w:szCs w:val="30"/>
        </w:rPr>
        <w:t>尽职调查工作</w:t>
      </w:r>
      <w:r w:rsidRPr="00DC6E5C">
        <w:rPr>
          <w:rFonts w:ascii="仿宋_GB2312" w:hAnsi="宋体" w:cs="宋体"/>
          <w:color w:val="000000" w:themeColor="text1"/>
          <w:kern w:val="0"/>
          <w:szCs w:val="30"/>
        </w:rPr>
        <w:t>底稿应当包括以下内容：</w:t>
      </w:r>
    </w:p>
    <w:p w:rsidR="007804F5" w:rsidRPr="00D6381B" w:rsidRDefault="00DC6E5C" w:rsidP="007804F5">
      <w:pPr>
        <w:widowControl/>
        <w:ind w:firstLine="600"/>
        <w:jc w:val="left"/>
        <w:rPr>
          <w:rFonts w:ascii="仿宋_GB2312" w:hAnsi="宋体" w:cs="宋体"/>
          <w:color w:val="000000" w:themeColor="text1"/>
          <w:kern w:val="0"/>
          <w:szCs w:val="30"/>
        </w:rPr>
      </w:pPr>
      <w:r w:rsidRPr="00DC6E5C">
        <w:rPr>
          <w:rFonts w:ascii="仿宋_GB2312" w:hAnsi="宋体" w:cs="宋体" w:hint="eastAsia"/>
          <w:color w:val="000000" w:themeColor="text1"/>
          <w:kern w:val="0"/>
          <w:szCs w:val="30"/>
        </w:rPr>
        <w:t>（一）立项、内部管理审批部门以及其他内部管理工作所形成的文件资料；</w:t>
      </w:r>
    </w:p>
    <w:p w:rsidR="007804F5" w:rsidRPr="00D6381B" w:rsidRDefault="00DC6E5C" w:rsidP="007804F5">
      <w:pPr>
        <w:widowControl/>
        <w:ind w:firstLine="600"/>
        <w:jc w:val="left"/>
        <w:rPr>
          <w:rFonts w:ascii="仿宋_GB2312" w:hAnsi="宋体" w:cs="宋体"/>
          <w:color w:val="000000" w:themeColor="text1"/>
          <w:kern w:val="0"/>
          <w:szCs w:val="30"/>
        </w:rPr>
      </w:pPr>
      <w:r w:rsidRPr="00DC6E5C">
        <w:rPr>
          <w:rFonts w:ascii="仿宋_GB2312" w:hAnsi="宋体" w:cs="宋体" w:hint="eastAsia"/>
          <w:color w:val="000000" w:themeColor="text1"/>
          <w:kern w:val="0"/>
          <w:szCs w:val="30"/>
        </w:rPr>
        <w:t>（二）尽职调查过程中获取和形成的文件资料；</w:t>
      </w:r>
    </w:p>
    <w:p w:rsidR="007804F5" w:rsidRPr="00D6381B" w:rsidRDefault="00DC6E5C" w:rsidP="007804F5">
      <w:pPr>
        <w:widowControl/>
        <w:ind w:firstLine="600"/>
        <w:jc w:val="left"/>
        <w:rPr>
          <w:rFonts w:ascii="仿宋_GB2312" w:hAnsi="宋体" w:cs="宋体"/>
          <w:color w:val="000000" w:themeColor="text1"/>
          <w:kern w:val="0"/>
          <w:szCs w:val="30"/>
        </w:rPr>
      </w:pPr>
      <w:r w:rsidRPr="00DC6E5C">
        <w:rPr>
          <w:rFonts w:ascii="仿宋_GB2312" w:hAnsi="宋体" w:cs="宋体" w:hint="eastAsia"/>
          <w:color w:val="000000" w:themeColor="text1"/>
          <w:kern w:val="0"/>
          <w:szCs w:val="30"/>
        </w:rPr>
        <w:t>（三）其他对主承销商履行职责或对债务融资工具持有人权益有重大影响的文件资料及信息；</w:t>
      </w:r>
    </w:p>
    <w:p w:rsidR="007804F5" w:rsidRPr="00D6381B" w:rsidRDefault="00DC6E5C" w:rsidP="007804F5">
      <w:pPr>
        <w:widowControl/>
        <w:ind w:firstLine="600"/>
        <w:jc w:val="left"/>
        <w:rPr>
          <w:rFonts w:ascii="仿宋_GB2312" w:hAnsi="宋体" w:cs="宋体"/>
          <w:color w:val="000000" w:themeColor="text1"/>
          <w:kern w:val="0"/>
          <w:szCs w:val="30"/>
        </w:rPr>
      </w:pPr>
      <w:r w:rsidRPr="00DC6E5C">
        <w:rPr>
          <w:rFonts w:ascii="仿宋_GB2312" w:hAnsi="宋体" w:cs="宋体" w:hint="eastAsia"/>
          <w:color w:val="000000" w:themeColor="text1"/>
          <w:kern w:val="0"/>
          <w:szCs w:val="30"/>
        </w:rPr>
        <w:t>（四）簿记建档</w:t>
      </w:r>
      <w:r w:rsidRPr="00DC6E5C">
        <w:rPr>
          <w:rFonts w:ascii="仿宋_GB2312" w:hAnsi="宋体" w:cs="宋体"/>
          <w:color w:val="000000" w:themeColor="text1"/>
          <w:kern w:val="0"/>
          <w:szCs w:val="30"/>
        </w:rPr>
        <w:t>/招标发行、缴款、登记等相关文件资料（如有）。</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t>第四十一条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主承销商应当将尽职调查报告及尽职调查工作底稿留存保管纳入内部管理制度，明确责任人员、归档保管流程、</w:t>
      </w:r>
      <w:r w:rsidRPr="00DC6E5C">
        <w:rPr>
          <w:rFonts w:ascii="仿宋_GB2312" w:hAnsi="宋体" w:cs="宋体" w:hint="eastAsia"/>
          <w:color w:val="000000" w:themeColor="text1"/>
          <w:kern w:val="0"/>
          <w:szCs w:val="30"/>
        </w:rPr>
        <w:lastRenderedPageBreak/>
        <w:t>借阅程序与检查办法等。尽职调查报告及尽职调查工作底稿应当以纸质或电子形式的文档留存备查，保存期限在债务融资工具债权债务关系终结后不少于五年。</w:t>
      </w:r>
    </w:p>
    <w:p w:rsidR="007804F5" w:rsidRPr="00D6381B" w:rsidRDefault="007804F5" w:rsidP="007804F5">
      <w:pPr>
        <w:widowControl/>
        <w:ind w:firstLine="600"/>
        <w:jc w:val="left"/>
        <w:rPr>
          <w:rFonts w:ascii="仿宋_GB2312" w:hAnsi="宋体" w:cs="宋体"/>
          <w:color w:val="000000" w:themeColor="text1"/>
          <w:kern w:val="0"/>
          <w:szCs w:val="30"/>
        </w:rPr>
      </w:pPr>
    </w:p>
    <w:p w:rsidR="007804F5" w:rsidRPr="00D6381B" w:rsidRDefault="00DC6E5C" w:rsidP="007804F5">
      <w:pPr>
        <w:widowControl/>
        <w:ind w:firstLine="643"/>
        <w:jc w:val="center"/>
        <w:rPr>
          <w:rFonts w:ascii="仿宋_GB2312" w:hAnsi="黑体" w:cs="宋体"/>
          <w:b/>
          <w:bCs/>
          <w:color w:val="000000" w:themeColor="text1"/>
          <w:kern w:val="0"/>
          <w:sz w:val="32"/>
          <w:szCs w:val="32"/>
        </w:rPr>
      </w:pPr>
      <w:r w:rsidRPr="00DC6E5C">
        <w:rPr>
          <w:rFonts w:ascii="仿宋_GB2312" w:hAnsi="黑体" w:cs="宋体" w:hint="eastAsia"/>
          <w:b/>
          <w:bCs/>
          <w:color w:val="000000" w:themeColor="text1"/>
          <w:kern w:val="0"/>
          <w:sz w:val="32"/>
          <w:szCs w:val="32"/>
        </w:rPr>
        <w:t>第五章</w:t>
      </w:r>
      <w:r w:rsidRPr="00DC6E5C">
        <w:rPr>
          <w:rFonts w:ascii="仿宋_GB2312" w:hAnsi="黑体" w:cs="宋体"/>
          <w:b/>
          <w:bCs/>
          <w:color w:val="000000" w:themeColor="text1"/>
          <w:kern w:val="0"/>
          <w:sz w:val="32"/>
          <w:szCs w:val="32"/>
        </w:rPr>
        <w:t xml:space="preserve"> </w:t>
      </w:r>
      <w:r w:rsidRPr="00DC6E5C">
        <w:rPr>
          <w:rFonts w:ascii="仿宋_GB2312" w:hAnsi="黑体" w:cs="宋体" w:hint="eastAsia"/>
          <w:b/>
          <w:bCs/>
          <w:color w:val="000000" w:themeColor="text1"/>
          <w:kern w:val="0"/>
          <w:sz w:val="32"/>
          <w:szCs w:val="32"/>
        </w:rPr>
        <w:t>自律管理</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bCs/>
          <w:color w:val="000000" w:themeColor="text1"/>
          <w:kern w:val="0"/>
          <w:szCs w:val="30"/>
        </w:rPr>
        <w:t>第四十二条</w:t>
      </w:r>
      <w:r w:rsidRPr="00DC6E5C">
        <w:rPr>
          <w:rFonts w:ascii="仿宋_GB2312" w:hAnsi="宋体" w:cs="宋体"/>
          <w:b/>
          <w:bCs/>
          <w:color w:val="000000" w:themeColor="text1"/>
          <w:kern w:val="0"/>
          <w:szCs w:val="30"/>
        </w:rPr>
        <w:t xml:space="preserve"> </w:t>
      </w:r>
      <w:r w:rsidRPr="00DC6E5C">
        <w:rPr>
          <w:rFonts w:ascii="仿宋_GB2312" w:hAnsi="宋体" w:cs="宋体" w:hint="eastAsia"/>
          <w:bCs/>
          <w:color w:val="000000" w:themeColor="text1"/>
          <w:kern w:val="0"/>
          <w:szCs w:val="30"/>
        </w:rPr>
        <w:t>主承销商</w:t>
      </w:r>
      <w:r w:rsidRPr="00DC6E5C">
        <w:rPr>
          <w:rFonts w:ascii="仿宋_GB2312" w:hAnsi="宋体" w:cs="宋体" w:hint="eastAsia"/>
          <w:color w:val="000000" w:themeColor="text1"/>
          <w:kern w:val="0"/>
          <w:szCs w:val="30"/>
        </w:rPr>
        <w:t>违反本指引的，交易商协会根据相关规则采取自律管理措施或自律处分措施。违规情形明显轻微或者情形严重、需要先行予以处理的，可根据相关自律规则予以自律管理措施；相关机构及人员行为涉及自律处分的，交易商协会将依据相关自律处分规则，视违规情节予以自律处分措施。主承销商和其他直接责任人员能证明自己无过错的除外。</w:t>
      </w:r>
    </w:p>
    <w:p w:rsidR="007804F5" w:rsidRPr="00D6381B" w:rsidRDefault="00DC6E5C" w:rsidP="007804F5">
      <w:pPr>
        <w:widowControl/>
        <w:ind w:firstLine="602"/>
        <w:jc w:val="left"/>
        <w:rPr>
          <w:rFonts w:ascii="仿宋_GB2312" w:hAnsi="Calibri" w:cs="Calibri"/>
          <w:color w:val="000000" w:themeColor="text1"/>
          <w:kern w:val="0"/>
          <w:szCs w:val="30"/>
        </w:rPr>
      </w:pPr>
      <w:r w:rsidRPr="00DC6E5C">
        <w:rPr>
          <w:rFonts w:ascii="仿宋_GB2312" w:hAnsi="Calibri" w:cs="Calibri" w:hint="eastAsia"/>
          <w:b/>
          <w:bCs/>
          <w:color w:val="000000" w:themeColor="text1"/>
          <w:kern w:val="0"/>
          <w:szCs w:val="30"/>
        </w:rPr>
        <w:t xml:space="preserve">第四十三条 </w:t>
      </w:r>
      <w:r w:rsidRPr="00DC6E5C">
        <w:rPr>
          <w:rFonts w:ascii="仿宋_GB2312" w:hAnsi="Calibri" w:cs="Calibri" w:hint="eastAsia"/>
          <w:color w:val="000000" w:themeColor="text1"/>
          <w:kern w:val="0"/>
          <w:szCs w:val="30"/>
        </w:rPr>
        <w:t>主承销商出现未开展尽职调查的，根据情节严重程度予以警告、严重警告或公开谴责，可并处责令改正、责令致歉、暂停相关业务、暂停会员权利、取消业务资格或取消会员资格。对负有直接责任的董事、高级管理人员和其他直接责任人员予以诫勉谈话、通报批评、警告、严重警告或公开谴责，可并处责令改正、责令致歉或认定不适当人选。</w:t>
      </w:r>
    </w:p>
    <w:p w:rsidR="007804F5" w:rsidRPr="00D6381B" w:rsidRDefault="00DC6E5C" w:rsidP="007804F5">
      <w:pPr>
        <w:widowControl/>
        <w:ind w:firstLine="602"/>
        <w:jc w:val="left"/>
        <w:rPr>
          <w:rFonts w:ascii="仿宋_GB2312" w:hAnsi="Calibri" w:cs="Calibri"/>
          <w:color w:val="000000" w:themeColor="text1"/>
          <w:kern w:val="0"/>
          <w:szCs w:val="30"/>
        </w:rPr>
      </w:pPr>
      <w:r w:rsidRPr="00DC6E5C">
        <w:rPr>
          <w:rFonts w:ascii="仿宋_GB2312" w:hAnsi="Calibri" w:cs="Calibri" w:hint="eastAsia"/>
          <w:b/>
          <w:bCs/>
          <w:color w:val="000000" w:themeColor="text1"/>
          <w:kern w:val="0"/>
          <w:szCs w:val="30"/>
        </w:rPr>
        <w:t xml:space="preserve">第四十四条 </w:t>
      </w:r>
      <w:r w:rsidRPr="00DC6E5C">
        <w:rPr>
          <w:rFonts w:ascii="仿宋_GB2312" w:hAnsi="Calibri" w:cs="Calibri" w:hint="eastAsia"/>
          <w:bCs/>
          <w:color w:val="000000" w:themeColor="text1"/>
          <w:kern w:val="0"/>
          <w:szCs w:val="30"/>
        </w:rPr>
        <w:t>主承销商虽开展尽职调查，但未按本指引履行相关必要的工作程序的，根据情节严重程度予以通报批评、警告或严重警告，可并处责令改正、责令致歉或暂停相关业务。</w:t>
      </w:r>
      <w:r w:rsidRPr="00DC6E5C">
        <w:rPr>
          <w:rFonts w:ascii="仿宋_GB2312" w:hAnsi="Calibri" w:cs="Calibri" w:hint="eastAsia"/>
          <w:color w:val="000000" w:themeColor="text1"/>
          <w:kern w:val="0"/>
          <w:szCs w:val="30"/>
        </w:rPr>
        <w:t>对负有直接责任的董事、高级管理人员和其他直接责任人员予以诫勉谈话、通报批评、警告、严重警告或公开谴责，可并处责令改正、责令致歉或认定不适当人选。</w:t>
      </w:r>
    </w:p>
    <w:p w:rsidR="007804F5" w:rsidRPr="00D6381B" w:rsidRDefault="00DC6E5C" w:rsidP="007804F5">
      <w:pPr>
        <w:widowControl/>
        <w:ind w:firstLine="602"/>
        <w:jc w:val="left"/>
        <w:rPr>
          <w:rFonts w:ascii="Calibri" w:eastAsia="宋体" w:hAnsi="Calibri" w:cs="Calibri"/>
          <w:color w:val="000000" w:themeColor="text1"/>
          <w:kern w:val="0"/>
          <w:szCs w:val="21"/>
        </w:rPr>
      </w:pPr>
      <w:r w:rsidRPr="00DC6E5C">
        <w:rPr>
          <w:rFonts w:ascii="仿宋_GB2312" w:hAnsi="Calibri" w:cs="Calibri" w:hint="eastAsia"/>
          <w:b/>
          <w:bCs/>
          <w:color w:val="000000" w:themeColor="text1"/>
          <w:kern w:val="0"/>
          <w:szCs w:val="30"/>
        </w:rPr>
        <w:lastRenderedPageBreak/>
        <w:t xml:space="preserve">第四十五条 </w:t>
      </w:r>
      <w:r w:rsidRPr="00DC6E5C">
        <w:rPr>
          <w:rFonts w:ascii="仿宋_GB2312" w:hAnsi="Calibri" w:cs="Calibri" w:hint="eastAsia"/>
          <w:bCs/>
          <w:color w:val="000000" w:themeColor="text1"/>
          <w:kern w:val="0"/>
          <w:szCs w:val="30"/>
        </w:rPr>
        <w:t>主承销商</w:t>
      </w:r>
      <w:r w:rsidRPr="00DC6E5C">
        <w:rPr>
          <w:rFonts w:ascii="仿宋_GB2312" w:hAnsi="Calibri" w:cs="Calibri" w:hint="eastAsia"/>
          <w:color w:val="000000" w:themeColor="text1"/>
          <w:kern w:val="0"/>
          <w:szCs w:val="30"/>
        </w:rPr>
        <w:t>制作、出具的文件不真实、准确、完整的，根据情节严重程度予以诫勉谈话或通报批评，可并处责令改正。对负有直接责任的董事、高级管理人员和其他直接责任人员予以诫勉谈话或通报批评，可并处责令改正。</w:t>
      </w:r>
    </w:p>
    <w:p w:rsidR="007804F5" w:rsidRPr="00D6381B" w:rsidRDefault="00DC6E5C" w:rsidP="007804F5">
      <w:pPr>
        <w:widowControl/>
        <w:ind w:firstLine="600"/>
        <w:jc w:val="left"/>
        <w:rPr>
          <w:rFonts w:ascii="Calibri" w:eastAsia="宋体" w:hAnsi="Calibri" w:cs="Calibri"/>
          <w:color w:val="000000" w:themeColor="text1"/>
          <w:kern w:val="0"/>
          <w:szCs w:val="21"/>
        </w:rPr>
      </w:pPr>
      <w:r w:rsidRPr="00DC6E5C">
        <w:rPr>
          <w:rFonts w:ascii="仿宋_GB2312" w:hAnsi="Calibri" w:cs="Calibri" w:hint="eastAsia"/>
          <w:color w:val="000000" w:themeColor="text1"/>
          <w:kern w:val="0"/>
          <w:szCs w:val="30"/>
        </w:rPr>
        <w:t>主承销商制作、出具的文件有虚假记载、误导性陈述或者重大遗漏的，根据情节严重程度予以警告、严重警告或公开谴责，可并处责令改正、责令致歉、暂停相关业务、暂停会员权利、取消业务资格或取消会员资格。对负有直接责任的董事、高级管理人员和其他直接责任人员予以警告、严重警告或公开谴责，可并处责令改正、责令致歉或认定不适当人选。</w:t>
      </w:r>
    </w:p>
    <w:p w:rsidR="007804F5" w:rsidRPr="00D6381B" w:rsidRDefault="00DC6E5C" w:rsidP="007804F5">
      <w:pPr>
        <w:widowControl/>
        <w:ind w:firstLine="602"/>
        <w:jc w:val="left"/>
        <w:rPr>
          <w:rFonts w:ascii="仿宋_GB2312" w:hAnsi="Calibri" w:cs="Calibri"/>
          <w:color w:val="000000" w:themeColor="text1"/>
          <w:kern w:val="0"/>
          <w:szCs w:val="30"/>
        </w:rPr>
      </w:pPr>
      <w:r w:rsidRPr="00DC6E5C">
        <w:rPr>
          <w:rFonts w:ascii="仿宋_GB2312" w:hAnsi="Calibri" w:cs="Calibri" w:hint="eastAsia"/>
          <w:b/>
          <w:bCs/>
          <w:color w:val="000000" w:themeColor="text1"/>
          <w:kern w:val="0"/>
          <w:szCs w:val="30"/>
        </w:rPr>
        <w:t xml:space="preserve">第四十六条 </w:t>
      </w:r>
      <w:r w:rsidRPr="00DC6E5C">
        <w:rPr>
          <w:rFonts w:ascii="仿宋_GB2312" w:hAnsi="Calibri" w:cs="Calibri" w:hint="eastAsia"/>
          <w:bCs/>
          <w:color w:val="000000" w:themeColor="text1"/>
          <w:kern w:val="0"/>
          <w:szCs w:val="30"/>
        </w:rPr>
        <w:t>主承销商在尽职调查过程中</w:t>
      </w:r>
      <w:r w:rsidRPr="00DC6E5C">
        <w:rPr>
          <w:rFonts w:ascii="仿宋_GB2312" w:hAnsi="Calibri" w:cs="Calibri" w:hint="eastAsia"/>
          <w:color w:val="000000" w:themeColor="text1"/>
          <w:kern w:val="0"/>
          <w:szCs w:val="30"/>
        </w:rPr>
        <w:t>出现未恪守保密义务、利用内幕信息获取不正当利益的，根据情节严重程度予以警告、严重警告或公开谴责，可并处责令改正、责令致歉、暂停相关业务、暂停会员权利、取消业务资格或取消会员资格。对负有直接责任的董事、高级管理人员和其他直接责任人员予以警告、严重警告或公开谴责，可并处责令改正、责令致歉或认定不适当人选。</w:t>
      </w:r>
    </w:p>
    <w:p w:rsidR="007804F5" w:rsidRPr="00D6381B" w:rsidRDefault="007804F5" w:rsidP="007804F5">
      <w:pPr>
        <w:widowControl/>
        <w:ind w:firstLine="600"/>
        <w:jc w:val="left"/>
        <w:rPr>
          <w:rFonts w:ascii="仿宋_GB2312" w:hAnsi="宋体" w:cs="宋体"/>
          <w:color w:val="000000" w:themeColor="text1"/>
          <w:kern w:val="0"/>
          <w:szCs w:val="30"/>
        </w:rPr>
      </w:pPr>
    </w:p>
    <w:p w:rsidR="007804F5" w:rsidRPr="00D6381B" w:rsidRDefault="00DC6E5C" w:rsidP="007804F5">
      <w:pPr>
        <w:widowControl/>
        <w:ind w:firstLine="643"/>
        <w:jc w:val="center"/>
        <w:rPr>
          <w:rFonts w:ascii="仿宋_GB2312" w:hAnsi="黑体" w:cs="宋体"/>
          <w:b/>
          <w:bCs/>
          <w:color w:val="000000" w:themeColor="text1"/>
          <w:kern w:val="0"/>
          <w:sz w:val="32"/>
          <w:szCs w:val="32"/>
        </w:rPr>
      </w:pPr>
      <w:r w:rsidRPr="00DC6E5C">
        <w:rPr>
          <w:rFonts w:ascii="仿宋_GB2312" w:hAnsi="黑体" w:cs="宋体" w:hint="eastAsia"/>
          <w:b/>
          <w:bCs/>
          <w:color w:val="000000" w:themeColor="text1"/>
          <w:kern w:val="0"/>
          <w:sz w:val="32"/>
          <w:szCs w:val="32"/>
        </w:rPr>
        <w:t>第六</w:t>
      </w:r>
      <w:bookmarkStart w:id="0" w:name="_GoBack"/>
      <w:bookmarkEnd w:id="0"/>
      <w:r w:rsidRPr="00DC6E5C">
        <w:rPr>
          <w:rFonts w:ascii="仿宋_GB2312" w:hAnsi="黑体" w:cs="宋体" w:hint="eastAsia"/>
          <w:b/>
          <w:bCs/>
          <w:color w:val="000000" w:themeColor="text1"/>
          <w:kern w:val="0"/>
          <w:sz w:val="32"/>
          <w:szCs w:val="32"/>
        </w:rPr>
        <w:t>章</w:t>
      </w:r>
      <w:r w:rsidRPr="00DC6E5C">
        <w:rPr>
          <w:rFonts w:ascii="仿宋_GB2312" w:hAnsi="黑体" w:cs="宋体"/>
          <w:b/>
          <w:bCs/>
          <w:color w:val="000000" w:themeColor="text1"/>
          <w:kern w:val="0"/>
          <w:sz w:val="32"/>
          <w:szCs w:val="32"/>
        </w:rPr>
        <w:t xml:space="preserve"> </w:t>
      </w:r>
      <w:r w:rsidRPr="00DC6E5C">
        <w:rPr>
          <w:rFonts w:ascii="仿宋_GB2312" w:hAnsi="黑体" w:cs="宋体" w:hint="eastAsia"/>
          <w:b/>
          <w:bCs/>
          <w:color w:val="000000" w:themeColor="text1"/>
          <w:kern w:val="0"/>
          <w:sz w:val="32"/>
          <w:szCs w:val="32"/>
        </w:rPr>
        <w:t>附则</w:t>
      </w:r>
    </w:p>
    <w:p w:rsidR="007804F5" w:rsidRPr="00D6381B" w:rsidRDefault="00DC6E5C" w:rsidP="007804F5">
      <w:pPr>
        <w:widowControl/>
        <w:ind w:firstLine="602"/>
        <w:jc w:val="left"/>
        <w:rPr>
          <w:rFonts w:ascii="仿宋_GB2312" w:hAnsi="宋体" w:cs="宋体"/>
          <w:bCs/>
          <w:color w:val="000000" w:themeColor="text1"/>
          <w:kern w:val="0"/>
          <w:szCs w:val="30"/>
        </w:rPr>
      </w:pPr>
      <w:r w:rsidRPr="00DC6E5C">
        <w:rPr>
          <w:rFonts w:ascii="仿宋_GB2312" w:hAnsi="宋体" w:cs="宋体" w:hint="eastAsia"/>
          <w:b/>
          <w:bCs/>
          <w:color w:val="000000" w:themeColor="text1"/>
          <w:kern w:val="0"/>
          <w:szCs w:val="30"/>
        </w:rPr>
        <w:t>第四十七条</w:t>
      </w:r>
      <w:r w:rsidRPr="00DC6E5C">
        <w:rPr>
          <w:rFonts w:ascii="仿宋_GB2312" w:hAnsi="宋体" w:cs="宋体"/>
          <w:b/>
          <w:bCs/>
          <w:color w:val="000000" w:themeColor="text1"/>
          <w:kern w:val="0"/>
          <w:szCs w:val="30"/>
        </w:rPr>
        <w:t xml:space="preserve"> </w:t>
      </w:r>
      <w:r w:rsidRPr="00DC6E5C">
        <w:rPr>
          <w:rFonts w:ascii="仿宋_GB2312" w:hAnsi="宋体" w:cs="宋体" w:hint="eastAsia"/>
          <w:bCs/>
          <w:color w:val="000000" w:themeColor="text1"/>
          <w:kern w:val="0"/>
          <w:szCs w:val="30"/>
        </w:rPr>
        <w:t>资产支持票据主承销商，对于基础资产现金流最终或重要提供方，应参照本指引尽职调查方法开展尽职调查工作；对于基础资产、交易结构、其他参与机构等，应按照《非金融企业资产支持票据指引》及配套文件中关于上述内容的相关要求开展尽职调查工作。</w:t>
      </w:r>
    </w:p>
    <w:p w:rsidR="007804F5" w:rsidRPr="00D6381B" w:rsidRDefault="00DC6E5C" w:rsidP="007804F5">
      <w:pPr>
        <w:widowControl/>
        <w:ind w:firstLine="600"/>
        <w:jc w:val="left"/>
        <w:rPr>
          <w:rFonts w:ascii="仿宋_GB2312" w:hAnsi="宋体" w:cs="宋体"/>
          <w:b/>
          <w:bCs/>
          <w:color w:val="000000" w:themeColor="text1"/>
          <w:kern w:val="0"/>
          <w:szCs w:val="30"/>
        </w:rPr>
      </w:pPr>
      <w:r w:rsidRPr="00DC6E5C">
        <w:rPr>
          <w:rFonts w:ascii="仿宋_GB2312" w:hAnsi="宋体" w:cs="宋体" w:hint="eastAsia"/>
          <w:bCs/>
          <w:color w:val="000000" w:themeColor="text1"/>
          <w:kern w:val="0"/>
          <w:szCs w:val="30"/>
        </w:rPr>
        <w:lastRenderedPageBreak/>
        <w:t>境外非金融企业债务融资工具主承销商应按照相关要求，参照本指引尽职调查方法开展尽职调查工作。</w:t>
      </w:r>
    </w:p>
    <w:p w:rsidR="007804F5" w:rsidRPr="00D6381B" w:rsidRDefault="00DC6E5C" w:rsidP="007804F5">
      <w:pPr>
        <w:widowControl/>
        <w:ind w:firstLine="602"/>
        <w:jc w:val="left"/>
        <w:rPr>
          <w:rFonts w:ascii="仿宋_GB2312" w:hAnsi="宋体" w:cs="宋体"/>
          <w:color w:val="000000" w:themeColor="text1"/>
          <w:kern w:val="0"/>
          <w:szCs w:val="30"/>
        </w:rPr>
      </w:pPr>
      <w:r w:rsidRPr="00DC6E5C">
        <w:rPr>
          <w:rFonts w:ascii="仿宋_GB2312" w:hAnsi="宋体" w:cs="宋体" w:hint="eastAsia"/>
          <w:b/>
          <w:color w:val="000000" w:themeColor="text1"/>
          <w:kern w:val="0"/>
          <w:szCs w:val="30"/>
        </w:rPr>
        <w:t>第四十八条</w:t>
      </w:r>
      <w:r w:rsidRPr="00DC6E5C">
        <w:rPr>
          <w:rFonts w:ascii="仿宋_GB2312" w:hAnsi="宋体" w:cs="宋体"/>
          <w:b/>
          <w:color w:val="000000" w:themeColor="text1"/>
          <w:kern w:val="0"/>
          <w:szCs w:val="30"/>
        </w:rPr>
        <w:t xml:space="preserve"> </w:t>
      </w:r>
      <w:r w:rsidRPr="00DC6E5C">
        <w:rPr>
          <w:rFonts w:ascii="仿宋_GB2312" w:hAnsi="宋体" w:cs="宋体" w:hint="eastAsia"/>
          <w:color w:val="000000" w:themeColor="text1"/>
          <w:kern w:val="0"/>
          <w:szCs w:val="30"/>
        </w:rPr>
        <w:t>本指引由交易商协会秘书处负责解释。</w:t>
      </w:r>
    </w:p>
    <w:p w:rsidR="007804F5" w:rsidRDefault="00DC6E5C" w:rsidP="007804F5">
      <w:pPr>
        <w:widowControl/>
        <w:ind w:firstLine="602"/>
        <w:jc w:val="left"/>
        <w:rPr>
          <w:rFonts w:ascii="仿宋_GB2312" w:hAnsi="宋体" w:cs="宋体" w:hint="eastAsia"/>
          <w:color w:val="000000" w:themeColor="text1"/>
          <w:kern w:val="0"/>
          <w:szCs w:val="30"/>
        </w:rPr>
      </w:pPr>
      <w:r w:rsidRPr="00DC6E5C">
        <w:rPr>
          <w:rFonts w:ascii="仿宋_GB2312" w:hAnsi="宋体" w:cs="宋体" w:hint="eastAsia"/>
          <w:b/>
          <w:bCs/>
          <w:color w:val="000000" w:themeColor="text1"/>
          <w:kern w:val="0"/>
          <w:szCs w:val="30"/>
        </w:rPr>
        <w:t>第四十九条</w:t>
      </w:r>
      <w:r w:rsidRPr="00DC6E5C">
        <w:rPr>
          <w:rFonts w:ascii="仿宋_GB2312" w:hAnsi="宋体" w:cs="宋体"/>
          <w:b/>
          <w:bCs/>
          <w:color w:val="000000" w:themeColor="text1"/>
          <w:kern w:val="0"/>
          <w:szCs w:val="30"/>
        </w:rPr>
        <w:t xml:space="preserve"> </w:t>
      </w:r>
      <w:r w:rsidRPr="00DC6E5C">
        <w:rPr>
          <w:rFonts w:ascii="仿宋_GB2312" w:hAnsi="宋体" w:cs="宋体" w:hint="eastAsia"/>
          <w:color w:val="000000" w:themeColor="text1"/>
          <w:kern w:val="0"/>
          <w:szCs w:val="30"/>
        </w:rPr>
        <w:t>本指引自公布之日起施行。《银行间债券市场非金融企业债务融资工具尽职调查指引》同时废止。</w:t>
      </w:r>
    </w:p>
    <w:p w:rsidR="0037783A" w:rsidRDefault="0037783A" w:rsidP="0037783A">
      <w:pPr>
        <w:widowControl/>
        <w:ind w:firstLine="600"/>
        <w:jc w:val="left"/>
        <w:rPr>
          <w:rFonts w:ascii="仿宋_GB2312" w:hAnsi="宋体" w:cs="宋体" w:hint="eastAsia"/>
          <w:color w:val="000000" w:themeColor="text1"/>
          <w:kern w:val="0"/>
          <w:szCs w:val="30"/>
        </w:rPr>
      </w:pPr>
    </w:p>
    <w:p w:rsidR="0037783A" w:rsidRDefault="0037783A" w:rsidP="0037783A">
      <w:pPr>
        <w:widowControl/>
        <w:ind w:firstLine="600"/>
        <w:jc w:val="left"/>
        <w:rPr>
          <w:rFonts w:ascii="仿宋_GB2312" w:hAnsi="宋体" w:cs="宋体"/>
          <w:color w:val="333333"/>
          <w:kern w:val="0"/>
          <w:szCs w:val="30"/>
        </w:rPr>
      </w:pPr>
    </w:p>
    <w:p w:rsidR="007804F5" w:rsidRPr="00B5237A" w:rsidRDefault="007804F5" w:rsidP="007804F5">
      <w:pPr>
        <w:ind w:firstLine="600"/>
        <w:rPr>
          <w:rFonts w:hAnsi="Calibri" w:cs="宋体"/>
          <w:kern w:val="0"/>
          <w:szCs w:val="30"/>
        </w:rPr>
      </w:pPr>
    </w:p>
    <w:sectPr w:rsidR="007804F5" w:rsidRPr="00B5237A" w:rsidSect="009B23C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4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50B726" w15:done="0"/>
  <w15:commentEx w15:paraId="1C8F2FA2" w15:done="0"/>
  <w15:commentEx w15:paraId="3C231306" w15:done="0"/>
  <w15:commentEx w15:paraId="289D975C" w15:done="0"/>
  <w15:commentEx w15:paraId="40C477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50B726" w16cid:durableId="228DDFC5"/>
  <w16cid:commentId w16cid:paraId="1C8F2FA2" w16cid:durableId="228DDFC6"/>
  <w16cid:commentId w16cid:paraId="3C231306" w16cid:durableId="228DDFC7"/>
  <w16cid:commentId w16cid:paraId="289D975C" w16cid:durableId="228DDFC8"/>
  <w16cid:commentId w16cid:paraId="40C47785" w16cid:durableId="228DDFC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84E" w:rsidRDefault="00B9284E" w:rsidP="00AB7E4F">
      <w:pPr>
        <w:ind w:firstLine="600"/>
      </w:pPr>
      <w:r>
        <w:separator/>
      </w:r>
    </w:p>
    <w:p w:rsidR="00B9284E" w:rsidRDefault="00B9284E">
      <w:pPr>
        <w:ind w:firstLine="600"/>
      </w:pPr>
    </w:p>
  </w:endnote>
  <w:endnote w:type="continuationSeparator" w:id="1">
    <w:p w:rsidR="00B9284E" w:rsidRDefault="00B9284E" w:rsidP="00AB7E4F">
      <w:pPr>
        <w:ind w:firstLine="600"/>
      </w:pPr>
      <w:r>
        <w:continuationSeparator/>
      </w:r>
    </w:p>
    <w:p w:rsidR="00B9284E" w:rsidRDefault="00B9284E">
      <w:pPr>
        <w:ind w:firstLine="60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497"/>
      <w:docPartObj>
        <w:docPartGallery w:val="Page Numbers (Bottom of Page)"/>
        <w:docPartUnique/>
      </w:docPartObj>
    </w:sdtPr>
    <w:sdtContent>
      <w:p w:rsidR="0085365F" w:rsidRDefault="00D669E5" w:rsidP="0037783A">
        <w:pPr>
          <w:pStyle w:val="a6"/>
          <w:ind w:firstLineChars="0" w:firstLine="0"/>
          <w:jc w:val="center"/>
        </w:pPr>
        <w:r>
          <w:fldChar w:fldCharType="begin"/>
        </w:r>
        <w:r w:rsidR="009B23C2">
          <w:instrText xml:space="preserve"> PAGE   \* MERGEFORMAT </w:instrText>
        </w:r>
        <w:r>
          <w:fldChar w:fldCharType="separate"/>
        </w:r>
        <w:r w:rsidR="00C330D4" w:rsidRPr="00C330D4">
          <w:rPr>
            <w:noProof/>
            <w:lang w:val="zh-CN"/>
          </w:rPr>
          <w:t>2</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499"/>
      <w:docPartObj>
        <w:docPartGallery w:val="Page Numbers (Bottom of Page)"/>
        <w:docPartUnique/>
      </w:docPartObj>
    </w:sdtPr>
    <w:sdtContent>
      <w:p w:rsidR="0085365F" w:rsidRDefault="00D669E5" w:rsidP="0037783A">
        <w:pPr>
          <w:pStyle w:val="a6"/>
          <w:ind w:firstLine="360"/>
          <w:jc w:val="center"/>
        </w:pPr>
        <w:r>
          <w:fldChar w:fldCharType="begin"/>
        </w:r>
        <w:r w:rsidR="009B23C2">
          <w:instrText xml:space="preserve"> PAGE   \* MERGEFORMAT </w:instrText>
        </w:r>
        <w:r>
          <w:fldChar w:fldCharType="separate"/>
        </w:r>
        <w:r w:rsidR="00C330D4" w:rsidRPr="00C330D4">
          <w:rPr>
            <w:noProof/>
            <w:lang w:val="zh-CN"/>
          </w:rPr>
          <w:t>1</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4FE" w:rsidRDefault="009234FE">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84E" w:rsidRDefault="00B9284E" w:rsidP="00AB7E4F">
      <w:pPr>
        <w:ind w:firstLine="600"/>
      </w:pPr>
      <w:r>
        <w:separator/>
      </w:r>
    </w:p>
    <w:p w:rsidR="00B9284E" w:rsidRDefault="00B9284E">
      <w:pPr>
        <w:ind w:firstLine="600"/>
      </w:pPr>
    </w:p>
  </w:footnote>
  <w:footnote w:type="continuationSeparator" w:id="1">
    <w:p w:rsidR="00B9284E" w:rsidRDefault="00B9284E" w:rsidP="00AB7E4F">
      <w:pPr>
        <w:ind w:firstLine="600"/>
      </w:pPr>
      <w:r>
        <w:continuationSeparator/>
      </w:r>
    </w:p>
    <w:p w:rsidR="00B9284E" w:rsidRDefault="00B9284E">
      <w:pPr>
        <w:ind w:firstLine="60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65F" w:rsidRDefault="0085365F">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65F" w:rsidRDefault="0085365F" w:rsidP="00BC29C0">
    <w:pPr>
      <w:ind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4FE" w:rsidRDefault="009234FE">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22E6"/>
    <w:multiLevelType w:val="hybridMultilevel"/>
    <w:tmpl w:val="37D20642"/>
    <w:lvl w:ilvl="0" w:tplc="04090017">
      <w:start w:val="1"/>
      <w:numFmt w:val="chineseCountingThousand"/>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061C050A"/>
    <w:multiLevelType w:val="hybridMultilevel"/>
    <w:tmpl w:val="3558C2C0"/>
    <w:lvl w:ilvl="0" w:tplc="D21C0F2E">
      <w:start w:val="1"/>
      <w:numFmt w:val="chineseCountingThousand"/>
      <w:pStyle w:val="a"/>
      <w:lvlText w:val="第%1条"/>
      <w:lvlJc w:val="left"/>
      <w:pPr>
        <w:ind w:left="842" w:hanging="420"/>
      </w:pPr>
      <w:rPr>
        <w:rFonts w:hint="eastAsia"/>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nsid w:val="15FB7AFF"/>
    <w:multiLevelType w:val="hybridMultilevel"/>
    <w:tmpl w:val="BF8016D0"/>
    <w:lvl w:ilvl="0" w:tplc="04090017">
      <w:start w:val="1"/>
      <w:numFmt w:val="chineseCountingThousand"/>
      <w:lvlText w:val="(%1)"/>
      <w:lvlJc w:val="left"/>
      <w:pPr>
        <w:ind w:left="1025" w:hanging="420"/>
      </w:pPr>
    </w:lvl>
    <w:lvl w:ilvl="1" w:tplc="04090019">
      <w:start w:val="1"/>
      <w:numFmt w:val="lowerLetter"/>
      <w:lvlText w:val="%2)"/>
      <w:lvlJc w:val="left"/>
      <w:pPr>
        <w:ind w:left="1445" w:hanging="420"/>
      </w:pPr>
    </w:lvl>
    <w:lvl w:ilvl="2" w:tplc="0409001B">
      <w:start w:val="1"/>
      <w:numFmt w:val="lowerRoman"/>
      <w:lvlText w:val="%3."/>
      <w:lvlJc w:val="right"/>
      <w:pPr>
        <w:ind w:left="1865" w:hanging="420"/>
      </w:pPr>
    </w:lvl>
    <w:lvl w:ilvl="3" w:tplc="0409000F">
      <w:start w:val="1"/>
      <w:numFmt w:val="decimal"/>
      <w:lvlText w:val="%4."/>
      <w:lvlJc w:val="left"/>
      <w:pPr>
        <w:ind w:left="2285" w:hanging="420"/>
      </w:pPr>
    </w:lvl>
    <w:lvl w:ilvl="4" w:tplc="04090019">
      <w:start w:val="1"/>
      <w:numFmt w:val="lowerLetter"/>
      <w:lvlText w:val="%5)"/>
      <w:lvlJc w:val="left"/>
      <w:pPr>
        <w:ind w:left="2705" w:hanging="420"/>
      </w:pPr>
    </w:lvl>
    <w:lvl w:ilvl="5" w:tplc="0409001B">
      <w:start w:val="1"/>
      <w:numFmt w:val="lowerRoman"/>
      <w:lvlText w:val="%6."/>
      <w:lvlJc w:val="right"/>
      <w:pPr>
        <w:ind w:left="3125" w:hanging="420"/>
      </w:pPr>
    </w:lvl>
    <w:lvl w:ilvl="6" w:tplc="0409000F">
      <w:start w:val="1"/>
      <w:numFmt w:val="decimal"/>
      <w:lvlText w:val="%7."/>
      <w:lvlJc w:val="left"/>
      <w:pPr>
        <w:ind w:left="3545" w:hanging="420"/>
      </w:pPr>
    </w:lvl>
    <w:lvl w:ilvl="7" w:tplc="04090019">
      <w:start w:val="1"/>
      <w:numFmt w:val="lowerLetter"/>
      <w:lvlText w:val="%8)"/>
      <w:lvlJc w:val="left"/>
      <w:pPr>
        <w:ind w:left="3965" w:hanging="420"/>
      </w:pPr>
    </w:lvl>
    <w:lvl w:ilvl="8" w:tplc="0409001B">
      <w:start w:val="1"/>
      <w:numFmt w:val="lowerRoman"/>
      <w:lvlText w:val="%9."/>
      <w:lvlJc w:val="right"/>
      <w:pPr>
        <w:ind w:left="4385" w:hanging="420"/>
      </w:pPr>
    </w:lvl>
  </w:abstractNum>
  <w:abstractNum w:abstractNumId="3">
    <w:nsid w:val="20576F7A"/>
    <w:multiLevelType w:val="hybridMultilevel"/>
    <w:tmpl w:val="E5241ECC"/>
    <w:lvl w:ilvl="0" w:tplc="5A0AC75E">
      <w:start w:val="1"/>
      <w:numFmt w:val="japaneseCounting"/>
      <w:lvlText w:val="%1、"/>
      <w:lvlJc w:val="left"/>
      <w:pPr>
        <w:ind w:left="1320" w:hanging="720"/>
      </w:pPr>
      <w:rPr>
        <w:rFonts w:ascii="Times New Roman" w:hAnsi="Times New Roman"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36301A3B"/>
    <w:multiLevelType w:val="hybridMultilevel"/>
    <w:tmpl w:val="F5FA3372"/>
    <w:lvl w:ilvl="0" w:tplc="1446107E">
      <w:start w:val="1"/>
      <w:numFmt w:val="chineseCountingThousand"/>
      <w:lvlText w:val="%1、"/>
      <w:lvlJc w:val="left"/>
      <w:pPr>
        <w:ind w:left="0" w:firstLine="0"/>
      </w:pPr>
      <w:rPr>
        <w:rFonts w:hint="eastAsia"/>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5">
    <w:nsid w:val="5FFC22E2"/>
    <w:multiLevelType w:val="hybridMultilevel"/>
    <w:tmpl w:val="BF8016D0"/>
    <w:lvl w:ilvl="0" w:tplc="04090017">
      <w:start w:val="1"/>
      <w:numFmt w:val="chineseCountingThousand"/>
      <w:lvlText w:val="(%1)"/>
      <w:lvlJc w:val="left"/>
      <w:pPr>
        <w:ind w:left="1025" w:hanging="420"/>
      </w:pPr>
    </w:lvl>
    <w:lvl w:ilvl="1" w:tplc="04090019">
      <w:start w:val="1"/>
      <w:numFmt w:val="lowerLetter"/>
      <w:lvlText w:val="%2)"/>
      <w:lvlJc w:val="left"/>
      <w:pPr>
        <w:ind w:left="1445" w:hanging="420"/>
      </w:pPr>
    </w:lvl>
    <w:lvl w:ilvl="2" w:tplc="0409001B">
      <w:start w:val="1"/>
      <w:numFmt w:val="lowerRoman"/>
      <w:lvlText w:val="%3."/>
      <w:lvlJc w:val="right"/>
      <w:pPr>
        <w:ind w:left="1865" w:hanging="420"/>
      </w:pPr>
    </w:lvl>
    <w:lvl w:ilvl="3" w:tplc="0409000F">
      <w:start w:val="1"/>
      <w:numFmt w:val="decimal"/>
      <w:lvlText w:val="%4."/>
      <w:lvlJc w:val="left"/>
      <w:pPr>
        <w:ind w:left="2285" w:hanging="420"/>
      </w:pPr>
    </w:lvl>
    <w:lvl w:ilvl="4" w:tplc="04090019">
      <w:start w:val="1"/>
      <w:numFmt w:val="lowerLetter"/>
      <w:lvlText w:val="%5)"/>
      <w:lvlJc w:val="left"/>
      <w:pPr>
        <w:ind w:left="2705" w:hanging="420"/>
      </w:pPr>
    </w:lvl>
    <w:lvl w:ilvl="5" w:tplc="0409001B">
      <w:start w:val="1"/>
      <w:numFmt w:val="lowerRoman"/>
      <w:lvlText w:val="%6."/>
      <w:lvlJc w:val="right"/>
      <w:pPr>
        <w:ind w:left="3125" w:hanging="420"/>
      </w:pPr>
    </w:lvl>
    <w:lvl w:ilvl="6" w:tplc="0409000F">
      <w:start w:val="1"/>
      <w:numFmt w:val="decimal"/>
      <w:lvlText w:val="%7."/>
      <w:lvlJc w:val="left"/>
      <w:pPr>
        <w:ind w:left="3545" w:hanging="420"/>
      </w:pPr>
    </w:lvl>
    <w:lvl w:ilvl="7" w:tplc="04090019">
      <w:start w:val="1"/>
      <w:numFmt w:val="lowerLetter"/>
      <w:lvlText w:val="%8)"/>
      <w:lvlJc w:val="left"/>
      <w:pPr>
        <w:ind w:left="3965" w:hanging="420"/>
      </w:pPr>
    </w:lvl>
    <w:lvl w:ilvl="8" w:tplc="0409001B">
      <w:start w:val="1"/>
      <w:numFmt w:val="lowerRoman"/>
      <w:lvlText w:val="%9."/>
      <w:lvlJc w:val="right"/>
      <w:pPr>
        <w:ind w:left="4385" w:hanging="420"/>
      </w:pPr>
    </w:lvl>
  </w:abstractNum>
  <w:abstractNum w:abstractNumId="6">
    <w:nsid w:val="68B10D70"/>
    <w:multiLevelType w:val="hybridMultilevel"/>
    <w:tmpl w:val="C1567D1C"/>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E810D61"/>
    <w:multiLevelType w:val="hybridMultilevel"/>
    <w:tmpl w:val="D2CED8B6"/>
    <w:lvl w:ilvl="0" w:tplc="0409001B">
      <w:start w:val="1"/>
      <w:numFmt w:val="lowerRoman"/>
      <w:lvlText w:val="%1."/>
      <w:lvlJc w:val="right"/>
      <w:pPr>
        <w:ind w:left="1380" w:hanging="420"/>
      </w:p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8">
    <w:nsid w:val="71262095"/>
    <w:multiLevelType w:val="hybridMultilevel"/>
    <w:tmpl w:val="7F9AAEB6"/>
    <w:lvl w:ilvl="0" w:tplc="0409001B">
      <w:start w:val="1"/>
      <w:numFmt w:val="lowerRoman"/>
      <w:lvlText w:val="%1."/>
      <w:lvlJc w:val="right"/>
      <w:pPr>
        <w:ind w:left="1460" w:hanging="420"/>
      </w:pPr>
    </w:lvl>
    <w:lvl w:ilvl="1" w:tplc="04090019" w:tentative="1">
      <w:start w:val="1"/>
      <w:numFmt w:val="lowerLetter"/>
      <w:lvlText w:val="%2)"/>
      <w:lvlJc w:val="left"/>
      <w:pPr>
        <w:ind w:left="1880" w:hanging="420"/>
      </w:pPr>
    </w:lvl>
    <w:lvl w:ilvl="2" w:tplc="0409001B" w:tentative="1">
      <w:start w:val="1"/>
      <w:numFmt w:val="lowerRoman"/>
      <w:lvlText w:val="%3."/>
      <w:lvlJc w:val="right"/>
      <w:pPr>
        <w:ind w:left="2300" w:hanging="420"/>
      </w:pPr>
    </w:lvl>
    <w:lvl w:ilvl="3" w:tplc="0409000F" w:tentative="1">
      <w:start w:val="1"/>
      <w:numFmt w:val="decimal"/>
      <w:lvlText w:val="%4."/>
      <w:lvlJc w:val="left"/>
      <w:pPr>
        <w:ind w:left="2720" w:hanging="420"/>
      </w:pPr>
    </w:lvl>
    <w:lvl w:ilvl="4" w:tplc="04090019" w:tentative="1">
      <w:start w:val="1"/>
      <w:numFmt w:val="lowerLetter"/>
      <w:lvlText w:val="%5)"/>
      <w:lvlJc w:val="left"/>
      <w:pPr>
        <w:ind w:left="3140" w:hanging="420"/>
      </w:pPr>
    </w:lvl>
    <w:lvl w:ilvl="5" w:tplc="0409001B" w:tentative="1">
      <w:start w:val="1"/>
      <w:numFmt w:val="lowerRoman"/>
      <w:lvlText w:val="%6."/>
      <w:lvlJc w:val="right"/>
      <w:pPr>
        <w:ind w:left="3560" w:hanging="420"/>
      </w:pPr>
    </w:lvl>
    <w:lvl w:ilvl="6" w:tplc="0409000F" w:tentative="1">
      <w:start w:val="1"/>
      <w:numFmt w:val="decimal"/>
      <w:lvlText w:val="%7."/>
      <w:lvlJc w:val="left"/>
      <w:pPr>
        <w:ind w:left="3980" w:hanging="420"/>
      </w:pPr>
    </w:lvl>
    <w:lvl w:ilvl="7" w:tplc="04090019" w:tentative="1">
      <w:start w:val="1"/>
      <w:numFmt w:val="lowerLetter"/>
      <w:lvlText w:val="%8)"/>
      <w:lvlJc w:val="left"/>
      <w:pPr>
        <w:ind w:left="4400" w:hanging="420"/>
      </w:pPr>
    </w:lvl>
    <w:lvl w:ilvl="8" w:tplc="0409001B" w:tentative="1">
      <w:start w:val="1"/>
      <w:numFmt w:val="lowerRoman"/>
      <w:lvlText w:val="%9."/>
      <w:lvlJc w:val="right"/>
      <w:pPr>
        <w:ind w:left="4820" w:hanging="420"/>
      </w:pPr>
    </w:lvl>
  </w:abstractNum>
  <w:num w:numId="1">
    <w:abstractNumId w:val="6"/>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4"/>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5"/>
  </w:num>
  <w:num w:numId="16">
    <w:abstractNumId w:val="7"/>
  </w:num>
  <w:num w:numId="17">
    <w:abstractNumId w:val="8"/>
  </w:num>
  <w:num w:numId="18">
    <w:abstractNumId w:val="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anne Zhang">
    <w15:presenceInfo w15:providerId="Windows Live" w15:userId="b6c8d807276c156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0"/>
  <w:drawingGridVerticalSpacing w:val="204"/>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49F6"/>
    <w:rsid w:val="00000BDB"/>
    <w:rsid w:val="00001814"/>
    <w:rsid w:val="00001970"/>
    <w:rsid w:val="000104B1"/>
    <w:rsid w:val="000149A0"/>
    <w:rsid w:val="00014A3E"/>
    <w:rsid w:val="00027A67"/>
    <w:rsid w:val="000511A9"/>
    <w:rsid w:val="00070198"/>
    <w:rsid w:val="000804C8"/>
    <w:rsid w:val="0008075F"/>
    <w:rsid w:val="00081B5D"/>
    <w:rsid w:val="00085AEB"/>
    <w:rsid w:val="000A108C"/>
    <w:rsid w:val="000B2B47"/>
    <w:rsid w:val="000C079A"/>
    <w:rsid w:val="000C44AC"/>
    <w:rsid w:val="000C55FE"/>
    <w:rsid w:val="000E242E"/>
    <w:rsid w:val="000E3438"/>
    <w:rsid w:val="000E6B3A"/>
    <w:rsid w:val="000F5A01"/>
    <w:rsid w:val="00104D88"/>
    <w:rsid w:val="001056EF"/>
    <w:rsid w:val="00115881"/>
    <w:rsid w:val="0012146B"/>
    <w:rsid w:val="001561DB"/>
    <w:rsid w:val="00157CFC"/>
    <w:rsid w:val="00174109"/>
    <w:rsid w:val="0017462A"/>
    <w:rsid w:val="00176A43"/>
    <w:rsid w:val="00182714"/>
    <w:rsid w:val="001C60E2"/>
    <w:rsid w:val="001C75CC"/>
    <w:rsid w:val="001D3ED1"/>
    <w:rsid w:val="001E2861"/>
    <w:rsid w:val="001E75C1"/>
    <w:rsid w:val="001F35A1"/>
    <w:rsid w:val="00243860"/>
    <w:rsid w:val="00251EA2"/>
    <w:rsid w:val="002527BE"/>
    <w:rsid w:val="00261D00"/>
    <w:rsid w:val="00272E60"/>
    <w:rsid w:val="0028740E"/>
    <w:rsid w:val="0029051B"/>
    <w:rsid w:val="00295AA8"/>
    <w:rsid w:val="002968DD"/>
    <w:rsid w:val="002A1A42"/>
    <w:rsid w:val="002B3791"/>
    <w:rsid w:val="002B402F"/>
    <w:rsid w:val="002B57F9"/>
    <w:rsid w:val="002B6B30"/>
    <w:rsid w:val="002B6F91"/>
    <w:rsid w:val="002C1CD4"/>
    <w:rsid w:val="002D0420"/>
    <w:rsid w:val="002D148D"/>
    <w:rsid w:val="002E1730"/>
    <w:rsid w:val="002E21A3"/>
    <w:rsid w:val="002F4103"/>
    <w:rsid w:val="002F7E59"/>
    <w:rsid w:val="00304F54"/>
    <w:rsid w:val="00310471"/>
    <w:rsid w:val="0032102C"/>
    <w:rsid w:val="00331440"/>
    <w:rsid w:val="003328D8"/>
    <w:rsid w:val="00334886"/>
    <w:rsid w:val="003429EF"/>
    <w:rsid w:val="003456E9"/>
    <w:rsid w:val="00351DC0"/>
    <w:rsid w:val="003556F3"/>
    <w:rsid w:val="0037520D"/>
    <w:rsid w:val="0037783A"/>
    <w:rsid w:val="00387A62"/>
    <w:rsid w:val="00391A9B"/>
    <w:rsid w:val="003A0B05"/>
    <w:rsid w:val="003A0D94"/>
    <w:rsid w:val="003A24F1"/>
    <w:rsid w:val="003A5B7D"/>
    <w:rsid w:val="003B2E20"/>
    <w:rsid w:val="003B54F8"/>
    <w:rsid w:val="003C15EC"/>
    <w:rsid w:val="003E643B"/>
    <w:rsid w:val="003F1A1C"/>
    <w:rsid w:val="00416888"/>
    <w:rsid w:val="0041760C"/>
    <w:rsid w:val="00424A48"/>
    <w:rsid w:val="00440E59"/>
    <w:rsid w:val="0045376B"/>
    <w:rsid w:val="00455EED"/>
    <w:rsid w:val="0045690C"/>
    <w:rsid w:val="0046031A"/>
    <w:rsid w:val="00460B78"/>
    <w:rsid w:val="0047750F"/>
    <w:rsid w:val="00487438"/>
    <w:rsid w:val="00490BE8"/>
    <w:rsid w:val="00495BBF"/>
    <w:rsid w:val="004972D4"/>
    <w:rsid w:val="00497EBE"/>
    <w:rsid w:val="004A3283"/>
    <w:rsid w:val="004A3F26"/>
    <w:rsid w:val="004B02FA"/>
    <w:rsid w:val="004B07C5"/>
    <w:rsid w:val="004B1B2E"/>
    <w:rsid w:val="004B226C"/>
    <w:rsid w:val="004B3B50"/>
    <w:rsid w:val="004B760A"/>
    <w:rsid w:val="004C0E8F"/>
    <w:rsid w:val="004C0F8B"/>
    <w:rsid w:val="004C1786"/>
    <w:rsid w:val="004D2A09"/>
    <w:rsid w:val="004D3EBC"/>
    <w:rsid w:val="004D541F"/>
    <w:rsid w:val="004D55F2"/>
    <w:rsid w:val="004E764E"/>
    <w:rsid w:val="004F386A"/>
    <w:rsid w:val="004F6ABC"/>
    <w:rsid w:val="00500AEA"/>
    <w:rsid w:val="00503A08"/>
    <w:rsid w:val="00503A94"/>
    <w:rsid w:val="00513297"/>
    <w:rsid w:val="00517AD6"/>
    <w:rsid w:val="0052107C"/>
    <w:rsid w:val="005250E5"/>
    <w:rsid w:val="005314AC"/>
    <w:rsid w:val="00532EDD"/>
    <w:rsid w:val="0053707D"/>
    <w:rsid w:val="00541CCE"/>
    <w:rsid w:val="00544755"/>
    <w:rsid w:val="0055028C"/>
    <w:rsid w:val="00561631"/>
    <w:rsid w:val="00561B6D"/>
    <w:rsid w:val="00563DC5"/>
    <w:rsid w:val="00573746"/>
    <w:rsid w:val="00580926"/>
    <w:rsid w:val="005A64AA"/>
    <w:rsid w:val="005B0220"/>
    <w:rsid w:val="005C0803"/>
    <w:rsid w:val="005D16C7"/>
    <w:rsid w:val="005E0D52"/>
    <w:rsid w:val="005E52DE"/>
    <w:rsid w:val="005F55CE"/>
    <w:rsid w:val="00630B8A"/>
    <w:rsid w:val="006550A2"/>
    <w:rsid w:val="00676E14"/>
    <w:rsid w:val="00680730"/>
    <w:rsid w:val="00696B7A"/>
    <w:rsid w:val="006A01C6"/>
    <w:rsid w:val="006A5141"/>
    <w:rsid w:val="006A6A33"/>
    <w:rsid w:val="006B2F29"/>
    <w:rsid w:val="006B4BB8"/>
    <w:rsid w:val="006B5C20"/>
    <w:rsid w:val="006C0C80"/>
    <w:rsid w:val="006C59A5"/>
    <w:rsid w:val="006C5AA0"/>
    <w:rsid w:val="006D009B"/>
    <w:rsid w:val="006E242E"/>
    <w:rsid w:val="006E40EA"/>
    <w:rsid w:val="006E41E5"/>
    <w:rsid w:val="006E4398"/>
    <w:rsid w:val="006E49F6"/>
    <w:rsid w:val="006E5A54"/>
    <w:rsid w:val="006F1D4F"/>
    <w:rsid w:val="006F3520"/>
    <w:rsid w:val="006F5CC8"/>
    <w:rsid w:val="0070602C"/>
    <w:rsid w:val="00707468"/>
    <w:rsid w:val="00714493"/>
    <w:rsid w:val="00714732"/>
    <w:rsid w:val="00722021"/>
    <w:rsid w:val="007222C2"/>
    <w:rsid w:val="0072551A"/>
    <w:rsid w:val="0074334E"/>
    <w:rsid w:val="007434F4"/>
    <w:rsid w:val="00760EFE"/>
    <w:rsid w:val="007615F8"/>
    <w:rsid w:val="0077040F"/>
    <w:rsid w:val="007804F5"/>
    <w:rsid w:val="00781680"/>
    <w:rsid w:val="00790CA6"/>
    <w:rsid w:val="007948E0"/>
    <w:rsid w:val="007A4EA9"/>
    <w:rsid w:val="007A7AAE"/>
    <w:rsid w:val="007B6AE0"/>
    <w:rsid w:val="007C14FD"/>
    <w:rsid w:val="007C5C23"/>
    <w:rsid w:val="007D287F"/>
    <w:rsid w:val="007D4731"/>
    <w:rsid w:val="0080571A"/>
    <w:rsid w:val="008107E3"/>
    <w:rsid w:val="00827AC3"/>
    <w:rsid w:val="00831078"/>
    <w:rsid w:val="008318E7"/>
    <w:rsid w:val="00833CDF"/>
    <w:rsid w:val="0083474A"/>
    <w:rsid w:val="00837D32"/>
    <w:rsid w:val="008501D9"/>
    <w:rsid w:val="00852E3A"/>
    <w:rsid w:val="0085365F"/>
    <w:rsid w:val="0085672D"/>
    <w:rsid w:val="00861FE2"/>
    <w:rsid w:val="0087687D"/>
    <w:rsid w:val="00891F83"/>
    <w:rsid w:val="008A3AD1"/>
    <w:rsid w:val="008A53BB"/>
    <w:rsid w:val="008B0BDC"/>
    <w:rsid w:val="008C08D5"/>
    <w:rsid w:val="008C2A69"/>
    <w:rsid w:val="008C4C0C"/>
    <w:rsid w:val="008C5AC9"/>
    <w:rsid w:val="008C7219"/>
    <w:rsid w:val="008D1493"/>
    <w:rsid w:val="008F1DBF"/>
    <w:rsid w:val="008F53F5"/>
    <w:rsid w:val="008F5CDF"/>
    <w:rsid w:val="0090576B"/>
    <w:rsid w:val="00914D29"/>
    <w:rsid w:val="00921090"/>
    <w:rsid w:val="009222A7"/>
    <w:rsid w:val="009234FE"/>
    <w:rsid w:val="009238F3"/>
    <w:rsid w:val="009243E0"/>
    <w:rsid w:val="009359D1"/>
    <w:rsid w:val="00941870"/>
    <w:rsid w:val="00944CF1"/>
    <w:rsid w:val="0096104B"/>
    <w:rsid w:val="00965CF5"/>
    <w:rsid w:val="00966449"/>
    <w:rsid w:val="0098420E"/>
    <w:rsid w:val="009853A1"/>
    <w:rsid w:val="009A376C"/>
    <w:rsid w:val="009A386F"/>
    <w:rsid w:val="009B23C2"/>
    <w:rsid w:val="009B3C06"/>
    <w:rsid w:val="009D0B08"/>
    <w:rsid w:val="009D4198"/>
    <w:rsid w:val="009E5044"/>
    <w:rsid w:val="009E60D7"/>
    <w:rsid w:val="009F126D"/>
    <w:rsid w:val="009F62B9"/>
    <w:rsid w:val="009F7E07"/>
    <w:rsid w:val="00A00BF3"/>
    <w:rsid w:val="00A02CA9"/>
    <w:rsid w:val="00A30D43"/>
    <w:rsid w:val="00A34260"/>
    <w:rsid w:val="00A62A09"/>
    <w:rsid w:val="00A6728D"/>
    <w:rsid w:val="00A70EF4"/>
    <w:rsid w:val="00A746C8"/>
    <w:rsid w:val="00A7643E"/>
    <w:rsid w:val="00A776CC"/>
    <w:rsid w:val="00A91E22"/>
    <w:rsid w:val="00A923B8"/>
    <w:rsid w:val="00A93E45"/>
    <w:rsid w:val="00AB1928"/>
    <w:rsid w:val="00AB7981"/>
    <w:rsid w:val="00AB7E4F"/>
    <w:rsid w:val="00AC0D56"/>
    <w:rsid w:val="00AC398D"/>
    <w:rsid w:val="00AC5A16"/>
    <w:rsid w:val="00AC71FC"/>
    <w:rsid w:val="00AD1641"/>
    <w:rsid w:val="00AD35D9"/>
    <w:rsid w:val="00AE3F9B"/>
    <w:rsid w:val="00AE475B"/>
    <w:rsid w:val="00AF3CF0"/>
    <w:rsid w:val="00AF7AC9"/>
    <w:rsid w:val="00B02319"/>
    <w:rsid w:val="00B02EAC"/>
    <w:rsid w:val="00B12B90"/>
    <w:rsid w:val="00B21F95"/>
    <w:rsid w:val="00B22A86"/>
    <w:rsid w:val="00B5237A"/>
    <w:rsid w:val="00B608D9"/>
    <w:rsid w:val="00B60FBE"/>
    <w:rsid w:val="00B61DBC"/>
    <w:rsid w:val="00B6242F"/>
    <w:rsid w:val="00B7452B"/>
    <w:rsid w:val="00B80076"/>
    <w:rsid w:val="00B821CD"/>
    <w:rsid w:val="00B8536E"/>
    <w:rsid w:val="00B91B2C"/>
    <w:rsid w:val="00B9284E"/>
    <w:rsid w:val="00B933FD"/>
    <w:rsid w:val="00B94A78"/>
    <w:rsid w:val="00B97CA5"/>
    <w:rsid w:val="00BA5BBB"/>
    <w:rsid w:val="00BA5FAB"/>
    <w:rsid w:val="00BB7885"/>
    <w:rsid w:val="00BC29C0"/>
    <w:rsid w:val="00BC449D"/>
    <w:rsid w:val="00BE58B4"/>
    <w:rsid w:val="00BE79AB"/>
    <w:rsid w:val="00BF442E"/>
    <w:rsid w:val="00BF7F5B"/>
    <w:rsid w:val="00C02224"/>
    <w:rsid w:val="00C02774"/>
    <w:rsid w:val="00C06803"/>
    <w:rsid w:val="00C12F21"/>
    <w:rsid w:val="00C330D4"/>
    <w:rsid w:val="00C34259"/>
    <w:rsid w:val="00C4130D"/>
    <w:rsid w:val="00C6444E"/>
    <w:rsid w:val="00C65C0B"/>
    <w:rsid w:val="00C6721D"/>
    <w:rsid w:val="00C828B3"/>
    <w:rsid w:val="00C8353D"/>
    <w:rsid w:val="00C86FF0"/>
    <w:rsid w:val="00CB0BC8"/>
    <w:rsid w:val="00CB7419"/>
    <w:rsid w:val="00CB7870"/>
    <w:rsid w:val="00CF1F41"/>
    <w:rsid w:val="00CF291D"/>
    <w:rsid w:val="00D01DC5"/>
    <w:rsid w:val="00D035EF"/>
    <w:rsid w:val="00D05938"/>
    <w:rsid w:val="00D05B9C"/>
    <w:rsid w:val="00D10276"/>
    <w:rsid w:val="00D1563F"/>
    <w:rsid w:val="00D17E43"/>
    <w:rsid w:val="00D2293E"/>
    <w:rsid w:val="00D25E47"/>
    <w:rsid w:val="00D320FB"/>
    <w:rsid w:val="00D3608A"/>
    <w:rsid w:val="00D50ECB"/>
    <w:rsid w:val="00D53880"/>
    <w:rsid w:val="00D55FA7"/>
    <w:rsid w:val="00D6381B"/>
    <w:rsid w:val="00D669E5"/>
    <w:rsid w:val="00D93A3C"/>
    <w:rsid w:val="00DA11F6"/>
    <w:rsid w:val="00DA1421"/>
    <w:rsid w:val="00DA40D8"/>
    <w:rsid w:val="00DB6B43"/>
    <w:rsid w:val="00DC0A97"/>
    <w:rsid w:val="00DC372C"/>
    <w:rsid w:val="00DC6E5C"/>
    <w:rsid w:val="00DD0E49"/>
    <w:rsid w:val="00DD55A0"/>
    <w:rsid w:val="00DE12CF"/>
    <w:rsid w:val="00DE1F14"/>
    <w:rsid w:val="00DE5FFF"/>
    <w:rsid w:val="00DE7AD4"/>
    <w:rsid w:val="00DF08AB"/>
    <w:rsid w:val="00E11FCD"/>
    <w:rsid w:val="00E20238"/>
    <w:rsid w:val="00E21ADC"/>
    <w:rsid w:val="00E24BF0"/>
    <w:rsid w:val="00E27659"/>
    <w:rsid w:val="00E41081"/>
    <w:rsid w:val="00E444EA"/>
    <w:rsid w:val="00E6049F"/>
    <w:rsid w:val="00E72A73"/>
    <w:rsid w:val="00E734FF"/>
    <w:rsid w:val="00E937B6"/>
    <w:rsid w:val="00E96531"/>
    <w:rsid w:val="00EA7E12"/>
    <w:rsid w:val="00EB627B"/>
    <w:rsid w:val="00EC66A5"/>
    <w:rsid w:val="00ED2C7C"/>
    <w:rsid w:val="00ED508B"/>
    <w:rsid w:val="00EE578C"/>
    <w:rsid w:val="00EE67B9"/>
    <w:rsid w:val="00EF4BB2"/>
    <w:rsid w:val="00EF6EFA"/>
    <w:rsid w:val="00F01C2B"/>
    <w:rsid w:val="00F029CE"/>
    <w:rsid w:val="00F02AA9"/>
    <w:rsid w:val="00F02D97"/>
    <w:rsid w:val="00F15C90"/>
    <w:rsid w:val="00F17421"/>
    <w:rsid w:val="00F36C98"/>
    <w:rsid w:val="00F500E8"/>
    <w:rsid w:val="00F52852"/>
    <w:rsid w:val="00F544DC"/>
    <w:rsid w:val="00F608BF"/>
    <w:rsid w:val="00F71888"/>
    <w:rsid w:val="00F75002"/>
    <w:rsid w:val="00F86020"/>
    <w:rsid w:val="00F929F7"/>
    <w:rsid w:val="00F95D5B"/>
    <w:rsid w:val="00FA0B84"/>
    <w:rsid w:val="00FA2373"/>
    <w:rsid w:val="00FB0518"/>
    <w:rsid w:val="00FB098C"/>
    <w:rsid w:val="00FB1321"/>
    <w:rsid w:val="00FB33EA"/>
    <w:rsid w:val="00FB4812"/>
    <w:rsid w:val="00FB579B"/>
    <w:rsid w:val="00FB6717"/>
    <w:rsid w:val="00FE2602"/>
    <w:rsid w:val="00FF0AA1"/>
    <w:rsid w:val="00FF74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608D9"/>
    <w:pPr>
      <w:widowControl w:val="0"/>
      <w:spacing w:line="560" w:lineRule="exact"/>
      <w:ind w:firstLineChars="200" w:firstLine="200"/>
      <w:jc w:val="both"/>
    </w:pPr>
    <w:rPr>
      <w:rFonts w:ascii="Times New Roman" w:eastAsia="仿宋_GB2312" w:hAnsi="Times New Roman" w:cs="Times New Roman"/>
      <w:sz w:val="30"/>
      <w:szCs w:val="24"/>
    </w:rPr>
  </w:style>
  <w:style w:type="paragraph" w:styleId="1">
    <w:name w:val="heading 1"/>
    <w:basedOn w:val="a0"/>
    <w:next w:val="a0"/>
    <w:link w:val="1Char"/>
    <w:uiPriority w:val="9"/>
    <w:qFormat/>
    <w:rsid w:val="00BE58B4"/>
    <w:pPr>
      <w:keepNext/>
      <w:keepLines/>
      <w:spacing w:before="340" w:after="330" w:line="578" w:lineRule="atLeast"/>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6E49F6"/>
    <w:rPr>
      <w:color w:val="0563C1" w:themeColor="hyperlink"/>
      <w:u w:val="single"/>
    </w:rPr>
  </w:style>
  <w:style w:type="paragraph" w:styleId="a5">
    <w:name w:val="header"/>
    <w:basedOn w:val="a0"/>
    <w:link w:val="Char"/>
    <w:uiPriority w:val="99"/>
    <w:unhideWhenUsed/>
    <w:rsid w:val="009B23C2"/>
    <w:pPr>
      <w:tabs>
        <w:tab w:val="center" w:pos="4153"/>
        <w:tab w:val="right" w:pos="8306"/>
      </w:tabs>
      <w:snapToGrid w:val="0"/>
      <w:jc w:val="center"/>
    </w:pPr>
    <w:rPr>
      <w:sz w:val="18"/>
      <w:szCs w:val="18"/>
    </w:rPr>
  </w:style>
  <w:style w:type="character" w:customStyle="1" w:styleId="Char">
    <w:name w:val="页眉 Char"/>
    <w:basedOn w:val="a1"/>
    <w:link w:val="a5"/>
    <w:uiPriority w:val="99"/>
    <w:rsid w:val="009B23C2"/>
    <w:rPr>
      <w:rFonts w:ascii="Times New Roman" w:eastAsia="仿宋_GB2312" w:hAnsi="Times New Roman" w:cs="Times New Roman"/>
      <w:sz w:val="18"/>
      <w:szCs w:val="18"/>
    </w:rPr>
  </w:style>
  <w:style w:type="paragraph" w:styleId="a6">
    <w:name w:val="footer"/>
    <w:basedOn w:val="a0"/>
    <w:link w:val="Char0"/>
    <w:uiPriority w:val="99"/>
    <w:unhideWhenUsed/>
    <w:rsid w:val="00AB7E4F"/>
    <w:pPr>
      <w:tabs>
        <w:tab w:val="center" w:pos="4153"/>
        <w:tab w:val="right" w:pos="8306"/>
      </w:tabs>
      <w:snapToGrid w:val="0"/>
      <w:jc w:val="left"/>
    </w:pPr>
    <w:rPr>
      <w:sz w:val="18"/>
      <w:szCs w:val="18"/>
    </w:rPr>
  </w:style>
  <w:style w:type="character" w:customStyle="1" w:styleId="Char0">
    <w:name w:val="页脚 Char"/>
    <w:basedOn w:val="a1"/>
    <w:link w:val="a6"/>
    <w:uiPriority w:val="99"/>
    <w:rsid w:val="00AB7E4F"/>
    <w:rPr>
      <w:rFonts w:ascii="Times New Roman" w:eastAsia="宋体" w:hAnsi="Times New Roman" w:cs="Times New Roman"/>
      <w:sz w:val="18"/>
      <w:szCs w:val="18"/>
    </w:rPr>
  </w:style>
  <w:style w:type="paragraph" w:styleId="a7">
    <w:name w:val="List Paragraph"/>
    <w:basedOn w:val="a0"/>
    <w:uiPriority w:val="34"/>
    <w:qFormat/>
    <w:rsid w:val="00490BE8"/>
    <w:pPr>
      <w:widowControl/>
      <w:spacing w:after="160" w:line="259" w:lineRule="auto"/>
      <w:ind w:left="720"/>
      <w:contextualSpacing/>
      <w:jc w:val="left"/>
    </w:pPr>
    <w:rPr>
      <w:rFonts w:ascii="Calibri" w:hAnsi="Calibri"/>
      <w:kern w:val="0"/>
      <w:sz w:val="22"/>
      <w:szCs w:val="22"/>
    </w:rPr>
  </w:style>
  <w:style w:type="paragraph" w:styleId="a8">
    <w:name w:val="Balloon Text"/>
    <w:basedOn w:val="a0"/>
    <w:link w:val="Char1"/>
    <w:uiPriority w:val="99"/>
    <w:semiHidden/>
    <w:unhideWhenUsed/>
    <w:rsid w:val="00EC66A5"/>
    <w:rPr>
      <w:sz w:val="18"/>
      <w:szCs w:val="18"/>
    </w:rPr>
  </w:style>
  <w:style w:type="character" w:customStyle="1" w:styleId="Char1">
    <w:name w:val="批注框文本 Char"/>
    <w:basedOn w:val="a1"/>
    <w:link w:val="a8"/>
    <w:uiPriority w:val="99"/>
    <w:semiHidden/>
    <w:rsid w:val="00EC66A5"/>
    <w:rPr>
      <w:rFonts w:ascii="Times New Roman" w:eastAsia="宋体" w:hAnsi="Times New Roman" w:cs="Times New Roman"/>
      <w:sz w:val="18"/>
      <w:szCs w:val="18"/>
    </w:rPr>
  </w:style>
  <w:style w:type="paragraph" w:styleId="a9">
    <w:name w:val="Title"/>
    <w:basedOn w:val="a0"/>
    <w:next w:val="a0"/>
    <w:link w:val="Char2"/>
    <w:uiPriority w:val="10"/>
    <w:qFormat/>
    <w:rsid w:val="00EF6EFA"/>
    <w:pPr>
      <w:jc w:val="center"/>
    </w:pPr>
    <w:rPr>
      <w:rFonts w:ascii="仿宋_GB2312" w:hAnsi="宋体"/>
      <w:b/>
      <w:szCs w:val="30"/>
    </w:rPr>
  </w:style>
  <w:style w:type="character" w:customStyle="1" w:styleId="Char2">
    <w:name w:val="标题 Char"/>
    <w:basedOn w:val="a1"/>
    <w:link w:val="a9"/>
    <w:uiPriority w:val="10"/>
    <w:rsid w:val="00EF6EFA"/>
    <w:rPr>
      <w:rFonts w:ascii="仿宋_GB2312" w:eastAsia="仿宋_GB2312" w:hAnsi="宋体" w:cs="Times New Roman"/>
      <w:b/>
      <w:sz w:val="30"/>
      <w:szCs w:val="30"/>
    </w:rPr>
  </w:style>
  <w:style w:type="paragraph" w:customStyle="1" w:styleId="a">
    <w:name w:val="法条"/>
    <w:basedOn w:val="a7"/>
    <w:qFormat/>
    <w:rsid w:val="00B608D9"/>
    <w:pPr>
      <w:numPr>
        <w:numId w:val="2"/>
      </w:numPr>
      <w:spacing w:after="0" w:line="560" w:lineRule="exact"/>
      <w:ind w:left="0" w:firstLine="200"/>
    </w:pPr>
    <w:rPr>
      <w:rFonts w:ascii="仿宋_GB2312" w:hAnsi="宋体"/>
      <w:sz w:val="30"/>
      <w:szCs w:val="21"/>
    </w:rPr>
  </w:style>
  <w:style w:type="paragraph" w:styleId="aa">
    <w:name w:val="Subtitle"/>
    <w:aliases w:val="表格"/>
    <w:basedOn w:val="a0"/>
    <w:next w:val="a0"/>
    <w:link w:val="Char3"/>
    <w:uiPriority w:val="11"/>
    <w:qFormat/>
    <w:rsid w:val="00B608D9"/>
    <w:pPr>
      <w:spacing w:line="312" w:lineRule="atLeast"/>
      <w:contextualSpacing/>
      <w:jc w:val="left"/>
    </w:pPr>
    <w:rPr>
      <w:rFonts w:asciiTheme="majorHAnsi" w:hAnsiTheme="majorHAnsi" w:cstheme="majorBidi"/>
      <w:b/>
      <w:bCs/>
      <w:kern w:val="28"/>
      <w:szCs w:val="32"/>
    </w:rPr>
  </w:style>
  <w:style w:type="character" w:customStyle="1" w:styleId="Char3">
    <w:name w:val="副标题 Char"/>
    <w:aliases w:val="表格 Char"/>
    <w:basedOn w:val="a1"/>
    <w:link w:val="aa"/>
    <w:uiPriority w:val="11"/>
    <w:rsid w:val="00B608D9"/>
    <w:rPr>
      <w:rFonts w:asciiTheme="majorHAnsi" w:eastAsia="仿宋_GB2312" w:hAnsiTheme="majorHAnsi" w:cstheme="majorBidi"/>
      <w:b/>
      <w:bCs/>
      <w:kern w:val="28"/>
      <w:sz w:val="30"/>
      <w:szCs w:val="32"/>
    </w:rPr>
  </w:style>
  <w:style w:type="character" w:styleId="ab">
    <w:name w:val="Strong"/>
    <w:basedOn w:val="a1"/>
    <w:uiPriority w:val="22"/>
    <w:qFormat/>
    <w:rsid w:val="00B608D9"/>
    <w:rPr>
      <w:b/>
      <w:bCs/>
    </w:rPr>
  </w:style>
  <w:style w:type="character" w:styleId="ac">
    <w:name w:val="Emphasis"/>
    <w:basedOn w:val="a1"/>
    <w:uiPriority w:val="20"/>
    <w:qFormat/>
    <w:rsid w:val="00B608D9"/>
    <w:rPr>
      <w:i/>
      <w:iCs/>
    </w:rPr>
  </w:style>
  <w:style w:type="character" w:styleId="ad">
    <w:name w:val="Intense Emphasis"/>
    <w:basedOn w:val="a1"/>
    <w:uiPriority w:val="21"/>
    <w:qFormat/>
    <w:rsid w:val="00B608D9"/>
    <w:rPr>
      <w:i/>
      <w:iCs/>
      <w:color w:val="5B9BD5" w:themeColor="accent1"/>
    </w:rPr>
  </w:style>
  <w:style w:type="character" w:customStyle="1" w:styleId="1Char">
    <w:name w:val="标题 1 Char"/>
    <w:basedOn w:val="a1"/>
    <w:link w:val="1"/>
    <w:uiPriority w:val="9"/>
    <w:rsid w:val="00BE58B4"/>
    <w:rPr>
      <w:rFonts w:ascii="Times New Roman" w:eastAsia="仿宋_GB2312" w:hAnsi="Times New Roman" w:cs="Times New Roman"/>
      <w:bCs/>
      <w:kern w:val="44"/>
      <w:sz w:val="30"/>
      <w:szCs w:val="44"/>
    </w:rPr>
  </w:style>
  <w:style w:type="character" w:styleId="ae">
    <w:name w:val="annotation reference"/>
    <w:basedOn w:val="a1"/>
    <w:uiPriority w:val="99"/>
    <w:semiHidden/>
    <w:unhideWhenUsed/>
    <w:rsid w:val="00827AC3"/>
    <w:rPr>
      <w:sz w:val="21"/>
      <w:szCs w:val="21"/>
    </w:rPr>
  </w:style>
  <w:style w:type="paragraph" w:styleId="af">
    <w:name w:val="annotation text"/>
    <w:basedOn w:val="a0"/>
    <w:link w:val="Char4"/>
    <w:uiPriority w:val="99"/>
    <w:semiHidden/>
    <w:unhideWhenUsed/>
    <w:rsid w:val="00827AC3"/>
    <w:pPr>
      <w:jc w:val="left"/>
    </w:pPr>
  </w:style>
  <w:style w:type="character" w:customStyle="1" w:styleId="Char4">
    <w:name w:val="批注文字 Char"/>
    <w:basedOn w:val="a1"/>
    <w:link w:val="af"/>
    <w:uiPriority w:val="99"/>
    <w:semiHidden/>
    <w:rsid w:val="00827AC3"/>
    <w:rPr>
      <w:rFonts w:ascii="Times New Roman" w:eastAsia="仿宋_GB2312" w:hAnsi="Times New Roman" w:cs="Times New Roman"/>
      <w:sz w:val="30"/>
      <w:szCs w:val="24"/>
    </w:rPr>
  </w:style>
  <w:style w:type="paragraph" w:styleId="af0">
    <w:name w:val="annotation subject"/>
    <w:basedOn w:val="af"/>
    <w:next w:val="af"/>
    <w:link w:val="Char5"/>
    <w:uiPriority w:val="99"/>
    <w:semiHidden/>
    <w:unhideWhenUsed/>
    <w:rsid w:val="00827AC3"/>
    <w:rPr>
      <w:b/>
      <w:bCs/>
    </w:rPr>
  </w:style>
  <w:style w:type="character" w:customStyle="1" w:styleId="Char5">
    <w:name w:val="批注主题 Char"/>
    <w:basedOn w:val="Char4"/>
    <w:link w:val="af0"/>
    <w:uiPriority w:val="99"/>
    <w:semiHidden/>
    <w:rsid w:val="00827AC3"/>
    <w:rPr>
      <w:rFonts w:ascii="Times New Roman" w:eastAsia="仿宋_GB2312" w:hAnsi="Times New Roman" w:cs="Times New Roman"/>
      <w:b/>
      <w:bCs/>
      <w:sz w:val="30"/>
      <w:szCs w:val="24"/>
    </w:rPr>
  </w:style>
  <w:style w:type="paragraph" w:styleId="af1">
    <w:name w:val="Date"/>
    <w:basedOn w:val="a0"/>
    <w:next w:val="a0"/>
    <w:link w:val="Char6"/>
    <w:uiPriority w:val="99"/>
    <w:semiHidden/>
    <w:unhideWhenUsed/>
    <w:rsid w:val="00B97CA5"/>
    <w:pPr>
      <w:ind w:leftChars="2500" w:left="100"/>
    </w:pPr>
  </w:style>
  <w:style w:type="character" w:customStyle="1" w:styleId="Char6">
    <w:name w:val="日期 Char"/>
    <w:basedOn w:val="a1"/>
    <w:link w:val="af1"/>
    <w:uiPriority w:val="99"/>
    <w:semiHidden/>
    <w:rsid w:val="00B97CA5"/>
    <w:rPr>
      <w:rFonts w:ascii="Times New Roman" w:eastAsia="仿宋_GB2312" w:hAnsi="Times New Roman" w:cs="Times New Roman"/>
      <w:sz w:val="30"/>
      <w:szCs w:val="24"/>
    </w:rPr>
  </w:style>
  <w:style w:type="paragraph" w:styleId="af2">
    <w:name w:val="Body Text Indent"/>
    <w:basedOn w:val="a0"/>
    <w:link w:val="Char7"/>
    <w:uiPriority w:val="99"/>
    <w:unhideWhenUsed/>
    <w:rsid w:val="00B97CA5"/>
    <w:pPr>
      <w:widowControl/>
      <w:spacing w:before="100" w:beforeAutospacing="1" w:after="100" w:afterAutospacing="1" w:line="240" w:lineRule="auto"/>
      <w:ind w:firstLineChars="0" w:firstLine="0"/>
      <w:jc w:val="left"/>
    </w:pPr>
    <w:rPr>
      <w:rFonts w:ascii="宋体" w:eastAsia="宋体" w:hAnsi="宋体" w:cs="宋体"/>
      <w:kern w:val="0"/>
      <w:sz w:val="24"/>
    </w:rPr>
  </w:style>
  <w:style w:type="character" w:customStyle="1" w:styleId="Char7">
    <w:name w:val="正文文本缩进 Char"/>
    <w:basedOn w:val="a1"/>
    <w:link w:val="af2"/>
    <w:uiPriority w:val="99"/>
    <w:rsid w:val="00B97CA5"/>
    <w:rPr>
      <w:rFonts w:ascii="宋体" w:eastAsia="宋体" w:hAnsi="宋体" w:cs="宋体"/>
      <w:kern w:val="0"/>
      <w:sz w:val="24"/>
      <w:szCs w:val="24"/>
    </w:rPr>
  </w:style>
  <w:style w:type="paragraph" w:customStyle="1" w:styleId="af3">
    <w:name w:val="版记（上下横线）"/>
    <w:basedOn w:val="af4"/>
    <w:rsid w:val="00B97CA5"/>
    <w:pPr>
      <w:pBdr>
        <w:top w:val="single" w:sz="4" w:space="1" w:color="auto"/>
        <w:bottom w:val="single" w:sz="4" w:space="1" w:color="auto"/>
      </w:pBdr>
    </w:pPr>
    <w:rPr>
      <w:rFonts w:cs="宋体"/>
      <w:szCs w:val="20"/>
    </w:rPr>
  </w:style>
  <w:style w:type="paragraph" w:customStyle="1" w:styleId="af5">
    <w:name w:val="版记（非首行）"/>
    <w:basedOn w:val="af4"/>
    <w:rsid w:val="00B97CA5"/>
    <w:pPr>
      <w:ind w:leftChars="466" w:left="1398" w:firstLineChars="0" w:firstLine="0"/>
    </w:pPr>
    <w:rPr>
      <w:rFonts w:cs="宋体"/>
      <w:szCs w:val="20"/>
    </w:rPr>
  </w:style>
  <w:style w:type="paragraph" w:customStyle="1" w:styleId="af4">
    <w:name w:val="版记"/>
    <w:basedOn w:val="a0"/>
    <w:qFormat/>
    <w:rsid w:val="00B97CA5"/>
    <w:pPr>
      <w:spacing w:line="400" w:lineRule="exact"/>
      <w:ind w:left="1400" w:right="-46" w:hangingChars="500" w:hanging="1400"/>
      <w:jc w:val="left"/>
    </w:pPr>
    <w:rPr>
      <w:sz w:val="28"/>
      <w:szCs w:val="28"/>
    </w:rPr>
  </w:style>
  <w:style w:type="paragraph" w:customStyle="1" w:styleId="af6">
    <w:name w:val="版记（上横线）"/>
    <w:basedOn w:val="af4"/>
    <w:rsid w:val="00B97CA5"/>
    <w:pPr>
      <w:pBdr>
        <w:top w:val="single" w:sz="4" w:space="1" w:color="auto"/>
      </w:pBdr>
    </w:pPr>
    <w:rPr>
      <w:rFonts w:cs="宋体"/>
      <w:szCs w:val="20"/>
    </w:rPr>
  </w:style>
  <w:style w:type="character" w:customStyle="1" w:styleId="2">
    <w:name w:val="正文2 字符"/>
    <w:basedOn w:val="a1"/>
    <w:link w:val="20"/>
    <w:locked/>
    <w:rsid w:val="00AC0D56"/>
    <w:rPr>
      <w:rFonts w:ascii="Times New Roman" w:eastAsia="仿宋_GB2312" w:hAnsi="Times New Roman" w:cs="Times New Roman"/>
      <w:sz w:val="24"/>
      <w:szCs w:val="24"/>
    </w:rPr>
  </w:style>
  <w:style w:type="paragraph" w:customStyle="1" w:styleId="20">
    <w:name w:val="正文2"/>
    <w:next w:val="a0"/>
    <w:link w:val="2"/>
    <w:qFormat/>
    <w:rsid w:val="00AC0D56"/>
    <w:pPr>
      <w:spacing w:line="560" w:lineRule="exact"/>
      <w:jc w:val="center"/>
      <w:outlineLvl w:val="0"/>
    </w:pPr>
    <w:rPr>
      <w:rFonts w:ascii="Times New Roman" w:eastAsia="仿宋_GB2312" w:hAnsi="Times New Roman" w:cs="Times New Roman"/>
      <w:sz w:val="24"/>
      <w:szCs w:val="24"/>
    </w:rPr>
  </w:style>
  <w:style w:type="paragraph" w:customStyle="1" w:styleId="af7">
    <w:name w:val="其他"/>
    <w:basedOn w:val="a0"/>
    <w:link w:val="af8"/>
    <w:qFormat/>
    <w:rsid w:val="0052107C"/>
    <w:pPr>
      <w:ind w:firstLineChars="0" w:firstLine="0"/>
      <w:jc w:val="center"/>
      <w:outlineLvl w:val="0"/>
    </w:pPr>
    <w:rPr>
      <w:sz w:val="24"/>
    </w:rPr>
  </w:style>
  <w:style w:type="character" w:customStyle="1" w:styleId="af8">
    <w:name w:val="其他 字符"/>
    <w:basedOn w:val="a1"/>
    <w:link w:val="af7"/>
    <w:rsid w:val="0052107C"/>
    <w:rPr>
      <w:rFonts w:ascii="Times New Roman" w:eastAsia="仿宋_GB2312"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4978873">
      <w:bodyDiv w:val="1"/>
      <w:marLeft w:val="0"/>
      <w:marRight w:val="0"/>
      <w:marTop w:val="0"/>
      <w:marBottom w:val="0"/>
      <w:divBdr>
        <w:top w:val="none" w:sz="0" w:space="0" w:color="auto"/>
        <w:left w:val="none" w:sz="0" w:space="0" w:color="auto"/>
        <w:bottom w:val="none" w:sz="0" w:space="0" w:color="auto"/>
        <w:right w:val="none" w:sz="0" w:space="0" w:color="auto"/>
      </w:divBdr>
    </w:div>
    <w:div w:id="415637883">
      <w:bodyDiv w:val="1"/>
      <w:marLeft w:val="0"/>
      <w:marRight w:val="0"/>
      <w:marTop w:val="0"/>
      <w:marBottom w:val="0"/>
      <w:divBdr>
        <w:top w:val="none" w:sz="0" w:space="0" w:color="auto"/>
        <w:left w:val="none" w:sz="0" w:space="0" w:color="auto"/>
        <w:bottom w:val="none" w:sz="0" w:space="0" w:color="auto"/>
        <w:right w:val="none" w:sz="0" w:space="0" w:color="auto"/>
      </w:divBdr>
    </w:div>
    <w:div w:id="615136500">
      <w:bodyDiv w:val="1"/>
      <w:marLeft w:val="0"/>
      <w:marRight w:val="0"/>
      <w:marTop w:val="0"/>
      <w:marBottom w:val="0"/>
      <w:divBdr>
        <w:top w:val="none" w:sz="0" w:space="0" w:color="auto"/>
        <w:left w:val="none" w:sz="0" w:space="0" w:color="auto"/>
        <w:bottom w:val="none" w:sz="0" w:space="0" w:color="auto"/>
        <w:right w:val="none" w:sz="0" w:space="0" w:color="auto"/>
      </w:divBdr>
    </w:div>
    <w:div w:id="1190535212">
      <w:bodyDiv w:val="1"/>
      <w:marLeft w:val="0"/>
      <w:marRight w:val="0"/>
      <w:marTop w:val="0"/>
      <w:marBottom w:val="0"/>
      <w:divBdr>
        <w:top w:val="none" w:sz="0" w:space="0" w:color="auto"/>
        <w:left w:val="none" w:sz="0" w:space="0" w:color="auto"/>
        <w:bottom w:val="none" w:sz="0" w:space="0" w:color="auto"/>
        <w:right w:val="none" w:sz="0" w:space="0" w:color="auto"/>
      </w:divBdr>
    </w:div>
    <w:div w:id="1670215439">
      <w:bodyDiv w:val="1"/>
      <w:marLeft w:val="0"/>
      <w:marRight w:val="0"/>
      <w:marTop w:val="0"/>
      <w:marBottom w:val="0"/>
      <w:divBdr>
        <w:top w:val="none" w:sz="0" w:space="0" w:color="auto"/>
        <w:left w:val="none" w:sz="0" w:space="0" w:color="auto"/>
        <w:bottom w:val="none" w:sz="0" w:space="0" w:color="auto"/>
        <w:right w:val="none" w:sz="0" w:space="0" w:color="auto"/>
      </w:divBdr>
    </w:div>
    <w:div w:id="18786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9A21-FF58-412E-AA8B-0D9A80B1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11</Pages>
  <Words>794</Words>
  <Characters>4528</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马乐</dc:creator>
  <cp:keywords/>
  <dc:description/>
  <cp:lastModifiedBy>Nafmii</cp:lastModifiedBy>
  <cp:revision>234</cp:revision>
  <cp:lastPrinted>2020-06-08T07:58:00Z</cp:lastPrinted>
  <dcterms:created xsi:type="dcterms:W3CDTF">2017-08-31T09:54:00Z</dcterms:created>
  <dcterms:modified xsi:type="dcterms:W3CDTF">2020-12-04T08:31:00Z</dcterms:modified>
</cp:coreProperties>
</file>