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2B" w:rsidRDefault="00D25A2B" w:rsidP="00F025DE">
      <w:pPr>
        <w:widowControl/>
        <w:rPr>
          <w:rFonts w:ascii="微软雅黑" w:eastAsia="微软雅黑" w:hAnsi="微软雅黑" w:cs="宋体"/>
          <w:b/>
          <w:bCs/>
          <w:color w:val="17418E"/>
          <w:kern w:val="0"/>
          <w:sz w:val="36"/>
          <w:szCs w:val="36"/>
        </w:rPr>
      </w:pPr>
    </w:p>
    <w:p w:rsidR="00D25A2B" w:rsidRDefault="00D25A2B" w:rsidP="00D25A2B">
      <w:pPr>
        <w:spacing w:line="480" w:lineRule="auto"/>
        <w:jc w:val="center"/>
        <w:rPr>
          <w:rFonts w:ascii="华文中宋" w:eastAsia="华文中宋" w:hAnsi="华文中宋"/>
          <w:b/>
          <w:sz w:val="36"/>
          <w:szCs w:val="36"/>
        </w:rPr>
      </w:pPr>
      <w:r>
        <w:rPr>
          <w:rFonts w:ascii="华文中宋" w:eastAsia="华文中宋" w:hAnsi="华文中宋" w:hint="eastAsia"/>
          <w:b/>
          <w:sz w:val="36"/>
          <w:szCs w:val="36"/>
        </w:rPr>
        <w:t>发布证券研究报告执业规范</w:t>
      </w:r>
    </w:p>
    <w:p w:rsidR="00D25A2B" w:rsidRDefault="00D25A2B" w:rsidP="00D25A2B">
      <w:pPr>
        <w:spacing w:line="480" w:lineRule="auto"/>
        <w:jc w:val="center"/>
        <w:rPr>
          <w:sz w:val="32"/>
          <w:szCs w:val="32"/>
        </w:rPr>
      </w:pPr>
      <w:r>
        <w:rPr>
          <w:rFonts w:hint="eastAsia"/>
          <w:sz w:val="32"/>
          <w:szCs w:val="32"/>
        </w:rPr>
        <w:t>（</w:t>
      </w:r>
      <w:r w:rsidR="004D2D77">
        <w:rPr>
          <w:rFonts w:hint="eastAsia"/>
          <w:sz w:val="32"/>
          <w:szCs w:val="32"/>
        </w:rPr>
        <w:t>2020</w:t>
      </w:r>
      <w:r w:rsidR="004D2D77">
        <w:rPr>
          <w:rFonts w:hint="eastAsia"/>
          <w:sz w:val="32"/>
          <w:szCs w:val="32"/>
        </w:rPr>
        <w:t>年</w:t>
      </w:r>
      <w:r w:rsidR="004D2D77">
        <w:rPr>
          <w:rFonts w:hint="eastAsia"/>
          <w:sz w:val="32"/>
          <w:szCs w:val="32"/>
        </w:rPr>
        <w:t>5</w:t>
      </w:r>
      <w:r w:rsidR="004D2D77">
        <w:rPr>
          <w:rFonts w:hint="eastAsia"/>
          <w:sz w:val="32"/>
          <w:szCs w:val="32"/>
        </w:rPr>
        <w:t>月修订</w:t>
      </w:r>
      <w:r>
        <w:rPr>
          <w:rFonts w:hint="eastAsia"/>
          <w:sz w:val="32"/>
          <w:szCs w:val="32"/>
        </w:rPr>
        <w:t>）</w:t>
      </w:r>
    </w:p>
    <w:p w:rsidR="00D25A2B" w:rsidRDefault="00D25A2B" w:rsidP="00D25A2B">
      <w:pPr>
        <w:numPr>
          <w:ilvl w:val="0"/>
          <w:numId w:val="6"/>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为了进一步规范</w:t>
      </w:r>
      <w:r w:rsidR="0048088C">
        <w:rPr>
          <w:rFonts w:ascii="仿宋_GB2312" w:eastAsia="仿宋_GB2312" w:hint="eastAsia"/>
          <w:color w:val="000000" w:themeColor="text1"/>
          <w:sz w:val="32"/>
          <w:szCs w:val="32"/>
        </w:rPr>
        <w:t>从事发布证券研究报告</w:t>
      </w:r>
      <w:r w:rsidR="009F5178">
        <w:rPr>
          <w:rFonts w:ascii="仿宋_GB2312" w:eastAsia="仿宋_GB2312" w:hint="eastAsia"/>
          <w:color w:val="000000" w:themeColor="text1"/>
          <w:sz w:val="32"/>
          <w:szCs w:val="32"/>
        </w:rPr>
        <w:t>业务</w:t>
      </w:r>
      <w:r w:rsidR="0048088C">
        <w:rPr>
          <w:rFonts w:ascii="仿宋_GB2312" w:eastAsia="仿宋_GB2312" w:hint="eastAsia"/>
          <w:color w:val="000000" w:themeColor="text1"/>
          <w:sz w:val="32"/>
          <w:szCs w:val="32"/>
        </w:rPr>
        <w:t>的机构（以下简称“经营机构”）</w:t>
      </w:r>
      <w:r>
        <w:rPr>
          <w:rFonts w:ascii="仿宋_GB2312" w:eastAsia="仿宋_GB2312" w:hint="eastAsia"/>
          <w:color w:val="000000" w:themeColor="text1"/>
          <w:sz w:val="32"/>
          <w:szCs w:val="32"/>
        </w:rPr>
        <w:t>发布证券研究报告行为，保护投资者合法权益，依据</w:t>
      </w:r>
      <w:r w:rsidR="00CF04B4">
        <w:rPr>
          <w:rFonts w:ascii="仿宋_GB2312" w:eastAsia="仿宋_GB2312" w:hint="eastAsia"/>
          <w:color w:val="000000" w:themeColor="text1"/>
          <w:sz w:val="32"/>
          <w:szCs w:val="32"/>
        </w:rPr>
        <w:t>《证券法》、</w:t>
      </w:r>
      <w:r>
        <w:rPr>
          <w:rFonts w:ascii="仿宋_GB2312" w:eastAsia="仿宋_GB2312" w:hint="eastAsia"/>
          <w:color w:val="000000" w:themeColor="text1"/>
          <w:sz w:val="32"/>
          <w:szCs w:val="32"/>
        </w:rPr>
        <w:t>《</w:t>
      </w:r>
      <w:bookmarkStart w:id="0" w:name="_Hlk522264572"/>
      <w:r>
        <w:rPr>
          <w:rFonts w:ascii="仿宋_GB2312" w:eastAsia="仿宋_GB2312" w:hint="eastAsia"/>
          <w:color w:val="000000" w:themeColor="text1"/>
          <w:sz w:val="32"/>
          <w:szCs w:val="32"/>
        </w:rPr>
        <w:t>发布证券研究报告暂行规定</w:t>
      </w:r>
      <w:bookmarkEnd w:id="0"/>
      <w:r>
        <w:rPr>
          <w:rFonts w:ascii="仿宋_GB2312" w:eastAsia="仿宋_GB2312" w:hint="eastAsia"/>
          <w:color w:val="000000" w:themeColor="text1"/>
          <w:sz w:val="32"/>
          <w:szCs w:val="32"/>
        </w:rPr>
        <w:t>》、</w:t>
      </w:r>
      <w:r>
        <w:rPr>
          <w:rFonts w:ascii="仿宋" w:eastAsia="仿宋" w:hAnsi="仿宋" w:cs="宋体" w:hint="eastAsia"/>
          <w:color w:val="000000" w:themeColor="text1"/>
          <w:kern w:val="0"/>
          <w:sz w:val="32"/>
          <w:szCs w:val="32"/>
        </w:rPr>
        <w:t>《证券期货经营机构及工作人员廉洁从业规定》</w:t>
      </w:r>
      <w:r w:rsidR="00CE2151">
        <w:rPr>
          <w:rFonts w:ascii="仿宋_GB2312" w:eastAsia="仿宋_GB2312" w:hint="eastAsia"/>
          <w:color w:val="000000" w:themeColor="text1"/>
          <w:sz w:val="32"/>
          <w:szCs w:val="32"/>
        </w:rPr>
        <w:t>和《中国证券业协会章程》</w:t>
      </w:r>
      <w:r w:rsidR="00604800">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有关要求，制定本执业规范。</w:t>
      </w:r>
    </w:p>
    <w:p w:rsidR="00D25A2B" w:rsidRDefault="0048088C" w:rsidP="00D25A2B">
      <w:pPr>
        <w:numPr>
          <w:ilvl w:val="0"/>
          <w:numId w:val="6"/>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Pr>
          <w:rFonts w:ascii="仿宋_GB2312" w:eastAsia="仿宋_GB2312" w:hint="eastAsia"/>
          <w:color w:val="000000" w:themeColor="text1"/>
          <w:sz w:val="32"/>
          <w:szCs w:val="32"/>
        </w:rPr>
        <w:t>发布证券研究报告，应当遵循独立、客观、公平、审慎原则，加强合</w:t>
      </w:r>
      <w:proofErr w:type="gramStart"/>
      <w:r w:rsidR="00D25A2B">
        <w:rPr>
          <w:rFonts w:ascii="仿宋_GB2312" w:eastAsia="仿宋_GB2312" w:hint="eastAsia"/>
          <w:color w:val="000000" w:themeColor="text1"/>
          <w:sz w:val="32"/>
          <w:szCs w:val="32"/>
        </w:rPr>
        <w:t>规</w:t>
      </w:r>
      <w:proofErr w:type="gramEnd"/>
      <w:r w:rsidR="00D25A2B">
        <w:rPr>
          <w:rFonts w:ascii="仿宋_GB2312" w:eastAsia="仿宋_GB2312" w:hint="eastAsia"/>
          <w:color w:val="000000" w:themeColor="text1"/>
          <w:sz w:val="32"/>
          <w:szCs w:val="32"/>
        </w:rPr>
        <w:t>管理，提升研究质量和专业服务水平。</w:t>
      </w:r>
    </w:p>
    <w:p w:rsidR="0048088C" w:rsidRDefault="00D25A2B" w:rsidP="0048088C">
      <w:pPr>
        <w:spacing w:line="480" w:lineRule="auto"/>
        <w:ind w:left="640"/>
        <w:rPr>
          <w:rFonts w:ascii="仿宋_GB2312" w:eastAsia="仿宋_GB2312"/>
          <w:color w:val="000000" w:themeColor="text1"/>
          <w:sz w:val="32"/>
          <w:szCs w:val="32"/>
        </w:rPr>
      </w:pPr>
      <w:r w:rsidRPr="00B0011E">
        <w:rPr>
          <w:rFonts w:ascii="仿宋_GB2312" w:eastAsia="仿宋_GB2312" w:hint="eastAsia"/>
          <w:b/>
          <w:color w:val="000000" w:themeColor="text1"/>
          <w:sz w:val="32"/>
          <w:szCs w:val="32"/>
        </w:rPr>
        <w:t>第三条</w:t>
      </w:r>
      <w:r w:rsidRPr="00B0011E">
        <w:rPr>
          <w:rFonts w:ascii="仿宋_GB2312" w:eastAsia="仿宋_GB2312" w:hint="eastAsia"/>
          <w:color w:val="000000" w:themeColor="text1"/>
          <w:sz w:val="32"/>
          <w:szCs w:val="32"/>
        </w:rPr>
        <w:t xml:space="preserve">  </w:t>
      </w:r>
      <w:r w:rsidR="0048088C">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发布证券研究报告，应当建立健全</w:t>
      </w:r>
      <w:proofErr w:type="gramStart"/>
      <w:r w:rsidRPr="00B0011E">
        <w:rPr>
          <w:rFonts w:ascii="仿宋_GB2312" w:eastAsia="仿宋_GB2312" w:hint="eastAsia"/>
          <w:color w:val="000000" w:themeColor="text1"/>
          <w:sz w:val="32"/>
          <w:szCs w:val="32"/>
        </w:rPr>
        <w:t>研</w:t>
      </w:r>
      <w:proofErr w:type="gramEnd"/>
    </w:p>
    <w:p w:rsidR="00D25A2B" w:rsidRPr="00B0011E" w:rsidRDefault="00D25A2B" w:rsidP="0048088C">
      <w:pPr>
        <w:spacing w:line="480" w:lineRule="auto"/>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究对象覆盖、信息收集、调研、证券研究报告制作、质量控制、合</w:t>
      </w:r>
      <w:proofErr w:type="gramStart"/>
      <w:r w:rsidRPr="00B0011E">
        <w:rPr>
          <w:rFonts w:ascii="仿宋_GB2312" w:eastAsia="仿宋_GB2312" w:hint="eastAsia"/>
          <w:color w:val="000000" w:themeColor="text1"/>
          <w:sz w:val="32"/>
          <w:szCs w:val="32"/>
        </w:rPr>
        <w:t>规</w:t>
      </w:r>
      <w:proofErr w:type="gramEnd"/>
      <w:r w:rsidRPr="00B0011E">
        <w:rPr>
          <w:rFonts w:ascii="仿宋_GB2312" w:eastAsia="仿宋_GB2312" w:hint="eastAsia"/>
          <w:color w:val="000000" w:themeColor="text1"/>
          <w:sz w:val="32"/>
          <w:szCs w:val="32"/>
        </w:rPr>
        <w:t>审查、证券研究报告发布以及相关销售服务等关键环节的管理制度，加强流程管理和内部控制。</w:t>
      </w:r>
      <w:r w:rsidR="004923CA" w:rsidRPr="00B0011E">
        <w:rPr>
          <w:rFonts w:ascii="仿宋_GB2312" w:eastAsia="仿宋_GB2312" w:hint="eastAsia"/>
          <w:color w:val="000000" w:themeColor="text1"/>
          <w:sz w:val="32"/>
          <w:szCs w:val="32"/>
        </w:rPr>
        <w:t>建立健全证券分析</w:t>
      </w:r>
      <w:proofErr w:type="gramStart"/>
      <w:r w:rsidR="004923CA" w:rsidRPr="00B0011E">
        <w:rPr>
          <w:rFonts w:ascii="仿宋_GB2312" w:eastAsia="仿宋_GB2312" w:hint="eastAsia"/>
          <w:color w:val="000000" w:themeColor="text1"/>
          <w:sz w:val="32"/>
          <w:szCs w:val="32"/>
        </w:rPr>
        <w:t>师发表</w:t>
      </w:r>
      <w:proofErr w:type="gramEnd"/>
      <w:r w:rsidR="004923CA" w:rsidRPr="00B0011E">
        <w:rPr>
          <w:rFonts w:ascii="仿宋_GB2312" w:eastAsia="仿宋_GB2312" w:hint="eastAsia"/>
          <w:color w:val="000000" w:themeColor="text1"/>
          <w:sz w:val="32"/>
          <w:szCs w:val="32"/>
        </w:rPr>
        <w:t>公开言论前的内部报备程序。</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应当从</w:t>
      </w:r>
      <w:r w:rsidR="00814BD3">
        <w:rPr>
          <w:rFonts w:ascii="仿宋_GB2312" w:eastAsia="仿宋_GB2312" w:hint="eastAsia"/>
          <w:color w:val="000000" w:themeColor="text1"/>
          <w:sz w:val="32"/>
          <w:szCs w:val="32"/>
        </w:rPr>
        <w:t>组织</w:t>
      </w:r>
      <w:r w:rsidR="00D25A2B" w:rsidRPr="00B0011E">
        <w:rPr>
          <w:rFonts w:ascii="仿宋_GB2312" w:eastAsia="仿宋_GB2312" w:hint="eastAsia"/>
          <w:color w:val="000000" w:themeColor="text1"/>
          <w:sz w:val="32"/>
          <w:szCs w:val="32"/>
        </w:rPr>
        <w:t>设置、人员职责上，将证券研究报告制作发布业务与销售服务业务分开管理，以维护证券研究报告制作发布的独立性。</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制作发布证券研究报告的相关人员，应当独立于证券研究报告相关销售服务人员；证券研究报告相关销售服务人员不得在证券研究报告发布前干涉和影响证券研究报告的制</w:t>
      </w:r>
      <w:r w:rsidRPr="00B0011E">
        <w:rPr>
          <w:rFonts w:ascii="仿宋_GB2312" w:eastAsia="仿宋_GB2312" w:hint="eastAsia"/>
          <w:color w:val="000000" w:themeColor="text1"/>
          <w:sz w:val="32"/>
          <w:szCs w:val="32"/>
        </w:rPr>
        <w:lastRenderedPageBreak/>
        <w:t>作过程、研究观点和发布时间。</w:t>
      </w:r>
    </w:p>
    <w:p w:rsidR="00D25A2B" w:rsidRPr="00B0011E" w:rsidRDefault="00D25A2B" w:rsidP="00D25A2B">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以</w:t>
      </w:r>
      <w:r w:rsidR="0048088C">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的名义发布研究观点、提供研究服务的人员必须</w:t>
      </w:r>
      <w:r w:rsidR="004923CA" w:rsidRPr="00B0011E">
        <w:rPr>
          <w:rFonts w:ascii="仿宋_GB2312" w:eastAsia="仿宋_GB2312" w:hint="eastAsia"/>
          <w:color w:val="000000" w:themeColor="text1"/>
          <w:sz w:val="32"/>
          <w:szCs w:val="32"/>
        </w:rPr>
        <w:t>是公司正式员工</w:t>
      </w:r>
      <w:r w:rsidRPr="00B0011E">
        <w:rPr>
          <w:rFonts w:ascii="仿宋_GB2312" w:eastAsia="仿宋_GB2312" w:hint="eastAsia"/>
          <w:color w:val="000000" w:themeColor="text1"/>
          <w:sz w:val="32"/>
          <w:szCs w:val="32"/>
        </w:rPr>
        <w:t>。</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发布证券研究报告，应当加强研究对象覆盖范围管理。将上市公司纳入研究对象覆盖范围并</w:t>
      </w:r>
      <w:proofErr w:type="gramStart"/>
      <w:r w:rsidR="00D25A2B" w:rsidRPr="00B0011E">
        <w:rPr>
          <w:rFonts w:ascii="仿宋_GB2312" w:eastAsia="仿宋_GB2312" w:hint="eastAsia"/>
          <w:color w:val="000000" w:themeColor="text1"/>
          <w:sz w:val="32"/>
          <w:szCs w:val="32"/>
        </w:rPr>
        <w:t>作出</w:t>
      </w:r>
      <w:proofErr w:type="gramEnd"/>
      <w:r w:rsidR="00D25A2B" w:rsidRPr="00B0011E">
        <w:rPr>
          <w:rFonts w:ascii="仿宋_GB2312" w:eastAsia="仿宋_GB2312" w:hint="eastAsia"/>
          <w:color w:val="000000" w:themeColor="text1"/>
          <w:sz w:val="32"/>
          <w:szCs w:val="32"/>
        </w:rPr>
        <w:t>证券估值或投资评级，或者将该上市公司移出研究对象覆盖范围的，应当由研究部门或者研究子公司独立</w:t>
      </w:r>
      <w:proofErr w:type="gramStart"/>
      <w:r w:rsidR="00D25A2B" w:rsidRPr="00B0011E">
        <w:rPr>
          <w:rFonts w:ascii="仿宋_GB2312" w:eastAsia="仿宋_GB2312" w:hint="eastAsia"/>
          <w:color w:val="000000" w:themeColor="text1"/>
          <w:sz w:val="32"/>
          <w:szCs w:val="32"/>
        </w:rPr>
        <w:t>作出</w:t>
      </w:r>
      <w:proofErr w:type="gramEnd"/>
      <w:r w:rsidR="00D25A2B" w:rsidRPr="00B0011E">
        <w:rPr>
          <w:rFonts w:ascii="仿宋_GB2312" w:eastAsia="仿宋_GB2312" w:hint="eastAsia"/>
          <w:color w:val="000000" w:themeColor="text1"/>
          <w:sz w:val="32"/>
          <w:szCs w:val="32"/>
        </w:rPr>
        <w:t>决定并履行内部审核程序。</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应当建立证券研究报告的信息来源管理制度，加强信息收集环节的管理，维护信息来源的合法合</w:t>
      </w:r>
      <w:proofErr w:type="gramStart"/>
      <w:r w:rsidR="00D25A2B" w:rsidRPr="00B0011E">
        <w:rPr>
          <w:rFonts w:ascii="仿宋_GB2312" w:eastAsia="仿宋_GB2312" w:hint="eastAsia"/>
          <w:color w:val="000000" w:themeColor="text1"/>
          <w:sz w:val="32"/>
          <w:szCs w:val="32"/>
        </w:rPr>
        <w:t>规</w:t>
      </w:r>
      <w:proofErr w:type="gramEnd"/>
      <w:r w:rsidR="00D25A2B" w:rsidRPr="00B0011E">
        <w:rPr>
          <w:rFonts w:ascii="仿宋_GB2312" w:eastAsia="仿宋_GB2312" w:hint="eastAsia"/>
          <w:color w:val="000000" w:themeColor="text1"/>
          <w:sz w:val="32"/>
          <w:szCs w:val="32"/>
        </w:rPr>
        <w:t>性。</w:t>
      </w:r>
    </w:p>
    <w:p w:rsidR="00D25A2B" w:rsidRPr="00B0011E" w:rsidRDefault="00D25A2B" w:rsidP="00D25A2B">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证券研究报告可以使用的信息来源包括：</w:t>
      </w:r>
    </w:p>
    <w:p w:rsidR="00D25A2B" w:rsidRPr="00B0011E" w:rsidRDefault="00D25A2B" w:rsidP="00D25A2B">
      <w:pPr>
        <w:pStyle w:val="af"/>
        <w:spacing w:line="480" w:lineRule="auto"/>
        <w:ind w:firstLineChars="200" w:firstLine="640"/>
        <w:rPr>
          <w:color w:val="000000" w:themeColor="text1"/>
          <w:sz w:val="32"/>
          <w:szCs w:val="32"/>
        </w:rPr>
      </w:pPr>
      <w:r w:rsidRPr="00B0011E">
        <w:rPr>
          <w:rFonts w:hint="eastAsia"/>
          <w:color w:val="000000" w:themeColor="text1"/>
          <w:sz w:val="32"/>
          <w:szCs w:val="32"/>
        </w:rPr>
        <w:t>（一）政府部门、行业协会、证券交易所等机构发布的政策、市场、行业以及企业相关信息；</w:t>
      </w:r>
    </w:p>
    <w:p w:rsidR="00D25A2B" w:rsidRPr="00B0011E" w:rsidRDefault="00D25A2B" w:rsidP="00D25A2B">
      <w:pPr>
        <w:pStyle w:val="af"/>
        <w:spacing w:line="480" w:lineRule="auto"/>
        <w:ind w:firstLineChars="250" w:firstLine="800"/>
        <w:rPr>
          <w:color w:val="000000" w:themeColor="text1"/>
          <w:sz w:val="32"/>
          <w:szCs w:val="32"/>
        </w:rPr>
      </w:pPr>
      <w:r w:rsidRPr="00B0011E">
        <w:rPr>
          <w:rFonts w:hint="eastAsia"/>
          <w:color w:val="000000" w:themeColor="text1"/>
          <w:sz w:val="32"/>
          <w:szCs w:val="32"/>
        </w:rPr>
        <w:t>（二）上市公司按照法定信息披露义务通过指定媒体公开披露的信息；</w:t>
      </w:r>
    </w:p>
    <w:p w:rsidR="00D25A2B" w:rsidRPr="00B0011E" w:rsidRDefault="00D25A2B" w:rsidP="00D25A2B">
      <w:pPr>
        <w:pStyle w:val="af"/>
        <w:spacing w:line="480" w:lineRule="auto"/>
        <w:ind w:firstLineChars="250" w:firstLine="800"/>
        <w:rPr>
          <w:color w:val="000000" w:themeColor="text1"/>
          <w:sz w:val="32"/>
          <w:szCs w:val="32"/>
        </w:rPr>
      </w:pPr>
      <w:r w:rsidRPr="00B0011E">
        <w:rPr>
          <w:rFonts w:hint="eastAsia"/>
          <w:color w:val="000000" w:themeColor="text1"/>
          <w:sz w:val="32"/>
          <w:szCs w:val="32"/>
        </w:rPr>
        <w:t>（三）上市公司及其子公司通过公司网站、新闻媒体等公开渠道发布的信息，以及上市公司通过股东大会、新闻发布会、产品推介会等非正式公告方式发布的信息；</w:t>
      </w:r>
    </w:p>
    <w:p w:rsidR="00D25A2B" w:rsidRPr="00B0011E" w:rsidRDefault="00D25A2B" w:rsidP="00D25A2B">
      <w:pPr>
        <w:pStyle w:val="af"/>
        <w:spacing w:line="480" w:lineRule="auto"/>
        <w:ind w:firstLineChars="200" w:firstLine="640"/>
        <w:rPr>
          <w:color w:val="000000" w:themeColor="text1"/>
          <w:sz w:val="32"/>
          <w:szCs w:val="32"/>
        </w:rPr>
      </w:pPr>
      <w:r w:rsidRPr="00B0011E">
        <w:rPr>
          <w:rFonts w:hint="eastAsia"/>
          <w:color w:val="000000" w:themeColor="text1"/>
          <w:sz w:val="32"/>
          <w:szCs w:val="32"/>
        </w:rPr>
        <w:t>（四）</w:t>
      </w:r>
      <w:r w:rsidR="0048088C">
        <w:rPr>
          <w:rFonts w:hint="eastAsia"/>
          <w:color w:val="000000" w:themeColor="text1"/>
          <w:sz w:val="32"/>
          <w:szCs w:val="32"/>
        </w:rPr>
        <w:t>经营机构</w:t>
      </w:r>
      <w:r w:rsidRPr="00B0011E">
        <w:rPr>
          <w:rFonts w:hint="eastAsia"/>
          <w:color w:val="000000" w:themeColor="text1"/>
          <w:sz w:val="32"/>
          <w:szCs w:val="32"/>
        </w:rPr>
        <w:t>通过上市公司调研或者市场调查，从上市公司及其子公司、供应商、经销商等处获取的信息，但内幕信息和未公开重大信息除外；</w:t>
      </w:r>
    </w:p>
    <w:p w:rsidR="00D25A2B" w:rsidRPr="00B0011E" w:rsidRDefault="00D25A2B" w:rsidP="00D25A2B">
      <w:pPr>
        <w:pStyle w:val="af"/>
        <w:spacing w:line="480" w:lineRule="auto"/>
        <w:ind w:firstLineChars="0" w:firstLine="0"/>
        <w:rPr>
          <w:color w:val="000000" w:themeColor="text1"/>
          <w:sz w:val="32"/>
          <w:szCs w:val="32"/>
        </w:rPr>
      </w:pPr>
      <w:r w:rsidRPr="00B0011E">
        <w:rPr>
          <w:rFonts w:hint="eastAsia"/>
          <w:color w:val="000000" w:themeColor="text1"/>
          <w:sz w:val="32"/>
          <w:szCs w:val="32"/>
        </w:rPr>
        <w:lastRenderedPageBreak/>
        <w:t xml:space="preserve">　　（五）</w:t>
      </w:r>
      <w:r w:rsidR="0048088C">
        <w:rPr>
          <w:rFonts w:hint="eastAsia"/>
          <w:color w:val="000000" w:themeColor="text1"/>
          <w:sz w:val="32"/>
          <w:szCs w:val="32"/>
        </w:rPr>
        <w:t>经营机构</w:t>
      </w:r>
      <w:r w:rsidRPr="00B0011E">
        <w:rPr>
          <w:rFonts w:hint="eastAsia"/>
          <w:color w:val="000000" w:themeColor="text1"/>
          <w:sz w:val="32"/>
          <w:szCs w:val="32"/>
        </w:rPr>
        <w:t>从信息服务机构等第三方合法取得的市场、行业及企业相关信息；</w:t>
      </w:r>
    </w:p>
    <w:p w:rsidR="00D25A2B" w:rsidRPr="00B0011E" w:rsidRDefault="00D25A2B" w:rsidP="00D25A2B">
      <w:pPr>
        <w:pStyle w:val="af"/>
        <w:spacing w:line="480" w:lineRule="auto"/>
        <w:ind w:firstLine="720"/>
        <w:rPr>
          <w:color w:val="000000" w:themeColor="text1"/>
          <w:sz w:val="32"/>
          <w:szCs w:val="32"/>
        </w:rPr>
      </w:pPr>
      <w:r w:rsidRPr="00B0011E">
        <w:rPr>
          <w:rFonts w:hint="eastAsia"/>
          <w:color w:val="000000" w:themeColor="text1"/>
          <w:sz w:val="32"/>
          <w:szCs w:val="32"/>
        </w:rPr>
        <w:t>（六）经公众媒体报道的上市公司及其子公司的其他相关信息；</w:t>
      </w:r>
    </w:p>
    <w:p w:rsidR="00D25A2B" w:rsidRPr="00B0011E" w:rsidRDefault="00D25A2B" w:rsidP="00D25A2B">
      <w:pPr>
        <w:pStyle w:val="af"/>
        <w:spacing w:line="480" w:lineRule="auto"/>
        <w:ind w:firstLineChars="0" w:firstLine="0"/>
        <w:rPr>
          <w:color w:val="000000" w:themeColor="text1"/>
          <w:sz w:val="32"/>
          <w:szCs w:val="32"/>
        </w:rPr>
      </w:pPr>
      <w:r w:rsidRPr="00B0011E">
        <w:rPr>
          <w:rFonts w:hint="eastAsia"/>
          <w:color w:val="000000" w:themeColor="text1"/>
          <w:sz w:val="32"/>
          <w:szCs w:val="32"/>
        </w:rPr>
        <w:t xml:space="preserve">　　（七）其他合法合</w:t>
      </w:r>
      <w:proofErr w:type="gramStart"/>
      <w:r w:rsidRPr="00B0011E">
        <w:rPr>
          <w:rFonts w:hint="eastAsia"/>
          <w:color w:val="000000" w:themeColor="text1"/>
          <w:sz w:val="32"/>
          <w:szCs w:val="32"/>
        </w:rPr>
        <w:t>规</w:t>
      </w:r>
      <w:proofErr w:type="gramEnd"/>
      <w:r w:rsidRPr="00B0011E">
        <w:rPr>
          <w:rFonts w:hint="eastAsia"/>
          <w:color w:val="000000" w:themeColor="text1"/>
          <w:sz w:val="32"/>
          <w:szCs w:val="32"/>
        </w:rPr>
        <w:t>信息来源。</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发布证券研究报告，应当审慎使用信息，</w:t>
      </w:r>
      <w:r w:rsidR="00BE381B" w:rsidRPr="004D2D77">
        <w:rPr>
          <w:rFonts w:ascii="仿宋_GB2312" w:eastAsia="仿宋_GB2312" w:hint="eastAsia"/>
          <w:color w:val="000000" w:themeColor="text1"/>
          <w:sz w:val="32"/>
          <w:szCs w:val="32"/>
        </w:rPr>
        <w:t>对引用信息和数据来源</w:t>
      </w:r>
      <w:r w:rsidR="00012794" w:rsidRPr="004D2D77">
        <w:rPr>
          <w:rFonts w:ascii="仿宋_GB2312" w:eastAsia="仿宋_GB2312" w:hint="eastAsia"/>
          <w:color w:val="000000" w:themeColor="text1"/>
          <w:sz w:val="32"/>
          <w:szCs w:val="32"/>
        </w:rPr>
        <w:t>进行核实，</w:t>
      </w:r>
      <w:r w:rsidR="00D25A2B" w:rsidRPr="00B0011E">
        <w:rPr>
          <w:rFonts w:ascii="仿宋_GB2312" w:eastAsia="仿宋_GB2312" w:hint="eastAsia"/>
          <w:color w:val="000000" w:themeColor="text1"/>
          <w:sz w:val="32"/>
          <w:szCs w:val="32"/>
        </w:rPr>
        <w:t>不得将无法确认来源合法合</w:t>
      </w:r>
      <w:proofErr w:type="gramStart"/>
      <w:r w:rsidR="00D25A2B" w:rsidRPr="00B0011E">
        <w:rPr>
          <w:rFonts w:ascii="仿宋_GB2312" w:eastAsia="仿宋_GB2312" w:hint="eastAsia"/>
          <w:color w:val="000000" w:themeColor="text1"/>
          <w:sz w:val="32"/>
          <w:szCs w:val="32"/>
        </w:rPr>
        <w:t>规</w:t>
      </w:r>
      <w:proofErr w:type="gramEnd"/>
      <w:r w:rsidR="00D25A2B" w:rsidRPr="00B0011E">
        <w:rPr>
          <w:rFonts w:ascii="仿宋_GB2312" w:eastAsia="仿宋_GB2312" w:hint="eastAsia"/>
          <w:color w:val="000000" w:themeColor="text1"/>
          <w:sz w:val="32"/>
          <w:szCs w:val="32"/>
        </w:rPr>
        <w:t>性的信息写入证券研究报告，不得将无法认定真实性的市场传言作为确定性研究结论的依据。</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发布证券研究报告，不得以任何形式使用或者泄露国家保密信息、内幕信息以及上市公司未公开重大信息。</w:t>
      </w: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应当建立保密制度。</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应当建立调研活动的管理制度，分别针对非客户服务性质的独立调研和带有客户服务性质的联合调研制定相应规范，加强对调研活动的管理。</w:t>
      </w:r>
    </w:p>
    <w:p w:rsidR="00D25A2B" w:rsidRPr="00B0011E" w:rsidRDefault="00D25A2B" w:rsidP="00D25A2B">
      <w:pPr>
        <w:spacing w:line="480" w:lineRule="auto"/>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 xml:space="preserve">    发布证券研究报告相关人员进行上市公司调研活动，应当符合以下要求：</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（一）事先履行所在</w:t>
      </w:r>
      <w:r w:rsidR="0048088C">
        <w:rPr>
          <w:rFonts w:ascii="仿宋_GB2312" w:eastAsia="仿宋_GB2312" w:hint="eastAsia"/>
          <w:color w:val="000000" w:themeColor="text1"/>
          <w:sz w:val="32"/>
          <w:szCs w:val="32"/>
        </w:rPr>
        <w:t>经营机构</w:t>
      </w:r>
      <w:r w:rsidRPr="00B0011E">
        <w:rPr>
          <w:rFonts w:ascii="仿宋_GB2312" w:eastAsia="仿宋_GB2312" w:hint="eastAsia"/>
          <w:color w:val="000000" w:themeColor="text1"/>
          <w:sz w:val="32"/>
          <w:szCs w:val="32"/>
        </w:rPr>
        <w:t>的审批程序；</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二）不得向证券研究报告相关销售服务人员、特定客户和其他无关人员泄露研究部门或研究子公司的调研底稿、调研后发布证券研究报告的计划、研究观点的调整信息，以及未来一段时间的非客户服务性质的独立调研计划</w:t>
      </w:r>
      <w:r w:rsidR="00BF6A5C">
        <w:rPr>
          <w:rFonts w:ascii="仿宋_GB2312" w:eastAsia="仿宋_GB2312" w:hint="eastAsia"/>
          <w:color w:val="000000" w:themeColor="text1"/>
          <w:sz w:val="32"/>
          <w:szCs w:val="32"/>
        </w:rPr>
        <w:t>；</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lastRenderedPageBreak/>
        <w:t>（</w:t>
      </w:r>
      <w:r w:rsidR="00BF6A5C">
        <w:rPr>
          <w:rFonts w:ascii="仿宋_GB2312" w:eastAsia="仿宋_GB2312" w:hint="eastAsia"/>
          <w:color w:val="000000" w:themeColor="text1"/>
          <w:sz w:val="32"/>
          <w:szCs w:val="32"/>
        </w:rPr>
        <w:t>三</w:t>
      </w:r>
      <w:r w:rsidRPr="00B0011E">
        <w:rPr>
          <w:rFonts w:ascii="仿宋_GB2312" w:eastAsia="仿宋_GB2312" w:hint="eastAsia"/>
          <w:color w:val="000000" w:themeColor="text1"/>
          <w:sz w:val="32"/>
          <w:szCs w:val="32"/>
        </w:rPr>
        <w:t>）不得主动寻求上市公司相关内幕信息或者未公开重大信息；</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w:t>
      </w:r>
      <w:r w:rsidR="00BF6A5C">
        <w:rPr>
          <w:rFonts w:ascii="仿宋_GB2312" w:eastAsia="仿宋_GB2312" w:hint="eastAsia"/>
          <w:color w:val="000000" w:themeColor="text1"/>
          <w:sz w:val="32"/>
          <w:szCs w:val="32"/>
        </w:rPr>
        <w:t>四</w:t>
      </w:r>
      <w:r w:rsidRPr="00B0011E">
        <w:rPr>
          <w:rFonts w:ascii="仿宋_GB2312" w:eastAsia="仿宋_GB2312" w:hint="eastAsia"/>
          <w:color w:val="000000" w:themeColor="text1"/>
          <w:sz w:val="32"/>
          <w:szCs w:val="32"/>
        </w:rPr>
        <w:t>）被动知悉上市公司内幕信息或者未公开重大信息的，应当对有关信息内容进行保密，并及时向所在机构的合</w:t>
      </w:r>
      <w:proofErr w:type="gramStart"/>
      <w:r w:rsidRPr="00B0011E">
        <w:rPr>
          <w:rFonts w:ascii="仿宋_GB2312" w:eastAsia="仿宋_GB2312" w:hint="eastAsia"/>
          <w:color w:val="000000" w:themeColor="text1"/>
          <w:sz w:val="32"/>
          <w:szCs w:val="32"/>
        </w:rPr>
        <w:t>规</w:t>
      </w:r>
      <w:proofErr w:type="gramEnd"/>
      <w:r w:rsidRPr="00B0011E">
        <w:rPr>
          <w:rFonts w:ascii="仿宋_GB2312" w:eastAsia="仿宋_GB2312" w:hint="eastAsia"/>
          <w:color w:val="000000" w:themeColor="text1"/>
          <w:sz w:val="32"/>
          <w:szCs w:val="32"/>
        </w:rPr>
        <w:t>管理部门报告本人已获知有关信息的事实，在有关信息公开前不得发布涉及该上市公司的证券研究报告；</w:t>
      </w:r>
    </w:p>
    <w:p w:rsidR="00BF6A5C" w:rsidRPr="00BF6A5C" w:rsidRDefault="00BF6A5C" w:rsidP="00BF6A5C">
      <w:pPr>
        <w:spacing w:line="480" w:lineRule="auto"/>
        <w:ind w:firstLineChars="200" w:firstLine="640"/>
        <w:rPr>
          <w:rFonts w:ascii="仿宋_GB2312" w:eastAsia="仿宋_GB2312"/>
          <w:color w:val="000000" w:themeColor="text1"/>
          <w:sz w:val="32"/>
          <w:szCs w:val="32"/>
        </w:rPr>
      </w:pPr>
      <w:r w:rsidRPr="00BF6A5C">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五</w:t>
      </w:r>
      <w:r w:rsidRPr="00BF6A5C">
        <w:rPr>
          <w:rFonts w:ascii="仿宋_GB2312" w:eastAsia="仿宋_GB2312" w:hint="eastAsia"/>
          <w:color w:val="000000" w:themeColor="text1"/>
          <w:sz w:val="32"/>
          <w:szCs w:val="32"/>
        </w:rPr>
        <w:t>）上市公司调研纪要仅供内部存档或撰写研究报告使用，不得对外发布或提供给客户；</w:t>
      </w:r>
    </w:p>
    <w:p w:rsidR="00D25A2B" w:rsidRPr="00B0011E" w:rsidRDefault="00D25A2B" w:rsidP="00D25A2B">
      <w:pPr>
        <w:pStyle w:val="af"/>
        <w:spacing w:line="480" w:lineRule="auto"/>
        <w:ind w:firstLine="720"/>
        <w:rPr>
          <w:color w:val="000000" w:themeColor="text1"/>
          <w:sz w:val="32"/>
          <w:szCs w:val="32"/>
        </w:rPr>
      </w:pPr>
      <w:r w:rsidRPr="00B0011E">
        <w:rPr>
          <w:rFonts w:hint="eastAsia"/>
          <w:color w:val="000000" w:themeColor="text1"/>
          <w:sz w:val="32"/>
          <w:szCs w:val="32"/>
        </w:rPr>
        <w:t>（</w:t>
      </w:r>
      <w:r w:rsidR="00A07C36" w:rsidRPr="00B0011E">
        <w:rPr>
          <w:rFonts w:hint="eastAsia"/>
          <w:color w:val="000000" w:themeColor="text1"/>
          <w:sz w:val="32"/>
          <w:szCs w:val="32"/>
        </w:rPr>
        <w:t>六</w:t>
      </w:r>
      <w:r w:rsidRPr="00B0011E">
        <w:rPr>
          <w:rFonts w:hint="eastAsia"/>
          <w:color w:val="000000" w:themeColor="text1"/>
          <w:sz w:val="32"/>
          <w:szCs w:val="32"/>
        </w:rPr>
        <w:t>）在证券研究报告中使用调研信息的，应当保留必要的信息来源依据。</w:t>
      </w:r>
    </w:p>
    <w:p w:rsidR="00D25A2B"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制作证券研究报告应当秉承专业的态度，</w:t>
      </w:r>
      <w:r w:rsidR="004815E1" w:rsidRPr="00B0011E">
        <w:rPr>
          <w:rFonts w:ascii="仿宋_GB2312" w:eastAsia="仿宋_GB2312" w:hint="eastAsia"/>
          <w:color w:val="000000" w:themeColor="text1"/>
          <w:sz w:val="32"/>
          <w:szCs w:val="32"/>
        </w:rPr>
        <w:t>采用严谨的研究方法和分析逻辑，</w:t>
      </w:r>
      <w:r w:rsidR="00AE64E1" w:rsidRPr="00C35D5B">
        <w:rPr>
          <w:rFonts w:ascii="仿宋_GB2312" w:eastAsia="仿宋_GB2312" w:hint="eastAsia"/>
          <w:color w:val="000000" w:themeColor="text1"/>
          <w:sz w:val="32"/>
          <w:szCs w:val="32"/>
        </w:rPr>
        <w:t>重点围绕</w:t>
      </w:r>
      <w:r w:rsidR="00E36865">
        <w:rPr>
          <w:rFonts w:ascii="仿宋_GB2312" w:eastAsia="仿宋_GB2312" w:hint="eastAsia"/>
          <w:color w:val="000000" w:themeColor="text1"/>
          <w:sz w:val="32"/>
          <w:szCs w:val="32"/>
        </w:rPr>
        <w:t>宏观</w:t>
      </w:r>
      <w:r w:rsidR="004815E1" w:rsidRPr="00C35D5B">
        <w:rPr>
          <w:rFonts w:ascii="仿宋_GB2312" w:eastAsia="仿宋_GB2312" w:hint="eastAsia"/>
          <w:color w:val="000000" w:themeColor="text1"/>
          <w:sz w:val="32"/>
          <w:szCs w:val="32"/>
        </w:rPr>
        <w:t>经济形势、资本市场</w:t>
      </w:r>
      <w:r w:rsidR="005B7097" w:rsidRPr="00C35D5B">
        <w:rPr>
          <w:rFonts w:ascii="仿宋_GB2312" w:eastAsia="仿宋_GB2312" w:hint="eastAsia"/>
          <w:color w:val="000000" w:themeColor="text1"/>
          <w:sz w:val="32"/>
          <w:szCs w:val="32"/>
        </w:rPr>
        <w:t>走势</w:t>
      </w:r>
      <w:r w:rsidR="004815E1" w:rsidRPr="00C35D5B">
        <w:rPr>
          <w:rFonts w:ascii="仿宋_GB2312" w:eastAsia="仿宋_GB2312" w:hint="eastAsia"/>
          <w:color w:val="000000" w:themeColor="text1"/>
          <w:sz w:val="32"/>
          <w:szCs w:val="32"/>
        </w:rPr>
        <w:t>、行业发展、上市公司</w:t>
      </w:r>
      <w:r w:rsidR="005B7097" w:rsidRPr="00C35D5B">
        <w:rPr>
          <w:rFonts w:ascii="仿宋_GB2312" w:eastAsia="仿宋_GB2312" w:hint="eastAsia"/>
          <w:color w:val="000000" w:themeColor="text1"/>
          <w:sz w:val="32"/>
          <w:szCs w:val="32"/>
        </w:rPr>
        <w:t>投资价值</w:t>
      </w:r>
      <w:r w:rsidR="004815E1" w:rsidRPr="00C35D5B">
        <w:rPr>
          <w:rFonts w:ascii="仿宋_GB2312" w:eastAsia="仿宋_GB2312" w:hint="eastAsia"/>
          <w:color w:val="000000" w:themeColor="text1"/>
          <w:sz w:val="32"/>
          <w:szCs w:val="32"/>
        </w:rPr>
        <w:t>等</w:t>
      </w:r>
      <w:r w:rsidR="00AE64E1" w:rsidRPr="00C35D5B">
        <w:rPr>
          <w:rFonts w:ascii="仿宋_GB2312" w:eastAsia="仿宋_GB2312" w:hint="eastAsia"/>
          <w:color w:val="000000" w:themeColor="text1"/>
          <w:sz w:val="32"/>
          <w:szCs w:val="32"/>
        </w:rPr>
        <w:t>进行</w:t>
      </w:r>
      <w:r w:rsidR="004815E1" w:rsidRPr="00C35D5B">
        <w:rPr>
          <w:rFonts w:ascii="仿宋_GB2312" w:eastAsia="仿宋_GB2312" w:hint="eastAsia"/>
          <w:color w:val="000000" w:themeColor="text1"/>
          <w:sz w:val="32"/>
          <w:szCs w:val="32"/>
        </w:rPr>
        <w:t>深入分析，</w:t>
      </w:r>
      <w:r w:rsidR="004815E1">
        <w:rPr>
          <w:rFonts w:ascii="仿宋_GB2312" w:eastAsia="仿宋_GB2312" w:hint="eastAsia"/>
          <w:color w:val="000000" w:themeColor="text1"/>
          <w:sz w:val="32"/>
          <w:szCs w:val="32"/>
        </w:rPr>
        <w:t>并</w:t>
      </w:r>
      <w:r w:rsidR="00D25A2B" w:rsidRPr="00B0011E">
        <w:rPr>
          <w:rFonts w:ascii="仿宋_GB2312" w:eastAsia="仿宋_GB2312" w:hint="eastAsia"/>
          <w:color w:val="000000" w:themeColor="text1"/>
          <w:sz w:val="32"/>
          <w:szCs w:val="32"/>
        </w:rPr>
        <w:t>基于合理的数据基础和事实依据，审慎提出研究结论。</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制作证券研究报告应当坚持客观原则，避免使用夸大、低俗、诱导性</w:t>
      </w:r>
      <w:r w:rsidR="00AD1380" w:rsidRPr="004D2D77">
        <w:rPr>
          <w:rFonts w:ascii="仿宋_GB2312" w:eastAsia="仿宋_GB2312" w:hint="eastAsia"/>
          <w:color w:val="000000" w:themeColor="text1"/>
          <w:sz w:val="28"/>
          <w:szCs w:val="28"/>
        </w:rPr>
        <w:t>、</w:t>
      </w:r>
      <w:r w:rsidR="00AD1380" w:rsidRPr="004D2D77">
        <w:rPr>
          <w:rFonts w:ascii="仿宋_GB2312" w:eastAsia="仿宋_GB2312" w:hint="eastAsia"/>
          <w:bCs/>
          <w:color w:val="000000" w:themeColor="text1"/>
          <w:sz w:val="32"/>
          <w:szCs w:val="32"/>
        </w:rPr>
        <w:t>煽动性</w:t>
      </w:r>
      <w:r w:rsidR="00D25A2B" w:rsidRPr="00B0011E">
        <w:rPr>
          <w:rFonts w:ascii="仿宋_GB2312" w:eastAsia="仿宋_GB2312" w:hint="eastAsia"/>
          <w:color w:val="000000" w:themeColor="text1"/>
          <w:sz w:val="32"/>
          <w:szCs w:val="32"/>
        </w:rPr>
        <w:t>的标题或者用语，不得对证券估值、投资评级</w:t>
      </w:r>
      <w:proofErr w:type="gramStart"/>
      <w:r w:rsidR="00D25A2B" w:rsidRPr="00B0011E">
        <w:rPr>
          <w:rFonts w:ascii="仿宋_GB2312" w:eastAsia="仿宋_GB2312" w:hint="eastAsia"/>
          <w:color w:val="000000" w:themeColor="text1"/>
          <w:sz w:val="32"/>
          <w:szCs w:val="32"/>
        </w:rPr>
        <w:t>作出</w:t>
      </w:r>
      <w:proofErr w:type="gramEnd"/>
      <w:r w:rsidR="00D25A2B" w:rsidRPr="00B0011E">
        <w:rPr>
          <w:rFonts w:ascii="仿宋_GB2312" w:eastAsia="仿宋_GB2312" w:hint="eastAsia"/>
          <w:color w:val="000000" w:themeColor="text1"/>
          <w:sz w:val="32"/>
          <w:szCs w:val="32"/>
        </w:rPr>
        <w:t>任何形式的保证。</w:t>
      </w:r>
    </w:p>
    <w:p w:rsidR="00D25A2B" w:rsidRPr="00B0011E" w:rsidRDefault="0048088C" w:rsidP="00D25A2B">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应提示投资者自主</w:t>
      </w:r>
      <w:proofErr w:type="gramStart"/>
      <w:r w:rsidR="00D25A2B" w:rsidRPr="00B0011E">
        <w:rPr>
          <w:rFonts w:ascii="仿宋_GB2312" w:eastAsia="仿宋_GB2312" w:hint="eastAsia"/>
          <w:color w:val="000000" w:themeColor="text1"/>
          <w:sz w:val="32"/>
          <w:szCs w:val="32"/>
        </w:rPr>
        <w:t>作出</w:t>
      </w:r>
      <w:proofErr w:type="gramEnd"/>
      <w:r w:rsidR="00D25A2B" w:rsidRPr="00B0011E">
        <w:rPr>
          <w:rFonts w:ascii="仿宋_GB2312" w:eastAsia="仿宋_GB2312" w:hint="eastAsia"/>
          <w:color w:val="000000" w:themeColor="text1"/>
          <w:sz w:val="32"/>
          <w:szCs w:val="32"/>
        </w:rPr>
        <w:t>投资决策并自行承担投资风险，任何形式的</w:t>
      </w:r>
      <w:r w:rsidR="00D25A2B" w:rsidRPr="00B0011E">
        <w:rPr>
          <w:rFonts w:ascii="仿宋_GB2312" w:eastAsia="仿宋_GB2312" w:cs="Arial" w:hint="eastAsia"/>
          <w:color w:val="000000" w:themeColor="text1"/>
          <w:sz w:val="32"/>
          <w:szCs w:val="32"/>
        </w:rPr>
        <w:t>分享证券投资收益或者分担证券投资损失的书面或口头承诺均为无效</w:t>
      </w:r>
      <w:r w:rsidR="00D25A2B" w:rsidRPr="00B0011E">
        <w:rPr>
          <w:rFonts w:ascii="仿宋_GB2312" w:eastAsia="仿宋_GB2312" w:hint="eastAsia"/>
          <w:color w:val="000000" w:themeColor="text1"/>
          <w:sz w:val="32"/>
          <w:szCs w:val="32"/>
        </w:rPr>
        <w:t>。</w:t>
      </w:r>
    </w:p>
    <w:p w:rsidR="00D25A2B" w:rsidRPr="00B0011E" w:rsidRDefault="00D25A2B" w:rsidP="00D25A2B">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证券研究报告中对证券及证券相关产品提出</w:t>
      </w:r>
      <w:r w:rsidRPr="00B0011E">
        <w:rPr>
          <w:rFonts w:ascii="仿宋_GB2312" w:eastAsia="仿宋_GB2312" w:hint="eastAsia"/>
          <w:color w:val="000000" w:themeColor="text1"/>
          <w:sz w:val="32"/>
          <w:szCs w:val="32"/>
        </w:rPr>
        <w:lastRenderedPageBreak/>
        <w:t>投资评级的，应当披露所使用的投资评级分类及其含义。</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应当建立发布证券研究报告工作底稿制度。工作底稿包括必要的信息资料、调研纪要、分析模型等内容，纳入发布证券研究报告相关业务档案予以保存和管理。</w:t>
      </w:r>
    </w:p>
    <w:p w:rsidR="00D25A2B" w:rsidRPr="00B0011E" w:rsidRDefault="00D25A2B" w:rsidP="00D25A2B">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证券分析</w:t>
      </w:r>
      <w:proofErr w:type="gramStart"/>
      <w:r w:rsidRPr="00B0011E">
        <w:rPr>
          <w:rFonts w:ascii="仿宋_GB2312" w:eastAsia="仿宋_GB2312" w:hint="eastAsia"/>
          <w:color w:val="000000" w:themeColor="text1"/>
          <w:sz w:val="32"/>
          <w:szCs w:val="32"/>
        </w:rPr>
        <w:t>师应当</w:t>
      </w:r>
      <w:proofErr w:type="gramEnd"/>
      <w:r w:rsidRPr="00B0011E">
        <w:rPr>
          <w:rFonts w:ascii="仿宋_GB2312" w:eastAsia="仿宋_GB2312" w:hint="eastAsia"/>
          <w:color w:val="000000" w:themeColor="text1"/>
          <w:sz w:val="32"/>
          <w:szCs w:val="32"/>
        </w:rPr>
        <w:t>对其署名的证券研究报告的内容和观点负责。</w:t>
      </w:r>
    </w:p>
    <w:p w:rsidR="00D25A2B" w:rsidRPr="00B0011E" w:rsidRDefault="00575682" w:rsidP="00D25A2B">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参与制作证券研究报告，但</w:t>
      </w:r>
      <w:r w:rsidR="00A64CB9" w:rsidRPr="004D2D77">
        <w:rPr>
          <w:rFonts w:ascii="仿宋_GB2312" w:eastAsia="仿宋_GB2312" w:hint="eastAsia"/>
          <w:color w:val="000000" w:themeColor="text1"/>
          <w:sz w:val="32"/>
          <w:szCs w:val="32"/>
        </w:rPr>
        <w:t>尚未登记为证券分析师</w:t>
      </w:r>
      <w:r w:rsidR="00D25A2B" w:rsidRPr="004D2D77">
        <w:rPr>
          <w:rFonts w:ascii="仿宋_GB2312" w:eastAsia="仿宋_GB2312" w:hint="eastAsia"/>
          <w:color w:val="000000" w:themeColor="text1"/>
          <w:sz w:val="32"/>
          <w:szCs w:val="32"/>
        </w:rPr>
        <w:t>的研究部门或者研究子公司相关人员，如果已通过证券分析师胜任能力考试并</w:t>
      </w:r>
      <w:r w:rsidR="00A64CB9" w:rsidRPr="004D2D77">
        <w:rPr>
          <w:rFonts w:ascii="仿宋_GB2312" w:eastAsia="仿宋_GB2312" w:hint="eastAsia"/>
          <w:color w:val="000000" w:themeColor="text1"/>
          <w:sz w:val="32"/>
          <w:szCs w:val="32"/>
        </w:rPr>
        <w:t>已完成一般证券业务登记的</w:t>
      </w:r>
      <w:r w:rsidR="00D25A2B" w:rsidRPr="004D2D77">
        <w:rPr>
          <w:rFonts w:ascii="仿宋_GB2312" w:eastAsia="仿宋_GB2312" w:hint="eastAsia"/>
          <w:color w:val="000000" w:themeColor="text1"/>
          <w:sz w:val="32"/>
          <w:szCs w:val="32"/>
        </w:rPr>
        <w:t>，</w:t>
      </w:r>
      <w:r w:rsidR="00D25A2B" w:rsidRPr="00B0011E">
        <w:rPr>
          <w:rFonts w:ascii="仿宋_GB2312" w:eastAsia="仿宋_GB2312" w:hint="eastAsia"/>
          <w:color w:val="000000" w:themeColor="text1"/>
          <w:sz w:val="32"/>
          <w:szCs w:val="32"/>
        </w:rPr>
        <w:t>经署名证券分析师和研究部门或研究子公司同意，可以用“研究助理”或“联系人”的名义在证券研究报告中列示。</w:t>
      </w:r>
    </w:p>
    <w:p w:rsidR="00122EA3" w:rsidRPr="00F777A1" w:rsidRDefault="0048088C" w:rsidP="00F777A1">
      <w:pPr>
        <w:numPr>
          <w:ilvl w:val="0"/>
          <w:numId w:val="7"/>
        </w:numPr>
        <w:spacing w:line="480" w:lineRule="auto"/>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经营机构</w:t>
      </w:r>
      <w:r w:rsidR="00F777A1" w:rsidRPr="00B0011E">
        <w:rPr>
          <w:rFonts w:ascii="仿宋_GB2312" w:eastAsia="仿宋_GB2312" w:hint="eastAsia"/>
          <w:color w:val="000000" w:themeColor="text1"/>
          <w:sz w:val="32"/>
          <w:szCs w:val="32"/>
        </w:rPr>
        <w:t>应当建立健全证券研究报告发布前的质量控制机制</w:t>
      </w:r>
      <w:r w:rsidR="00F777A1" w:rsidRPr="004D2D77">
        <w:rPr>
          <w:rFonts w:ascii="仿宋_GB2312" w:eastAsia="仿宋_GB2312" w:hint="eastAsia"/>
          <w:color w:val="000000" w:themeColor="text1"/>
          <w:sz w:val="32"/>
          <w:szCs w:val="32"/>
        </w:rPr>
        <w:t>，</w:t>
      </w:r>
      <w:r w:rsidR="00122EA3" w:rsidRPr="004D2D77">
        <w:rPr>
          <w:rFonts w:ascii="仿宋_GB2312" w:eastAsia="仿宋_GB2312" w:hint="eastAsia"/>
          <w:bCs/>
          <w:color w:val="000000" w:themeColor="text1"/>
          <w:sz w:val="32"/>
          <w:szCs w:val="32"/>
        </w:rPr>
        <w:t>细化质量控制的目标、程序和岗位职责</w:t>
      </w:r>
      <w:r w:rsidR="00122EA3" w:rsidRPr="004D2D77">
        <w:rPr>
          <w:rFonts w:ascii="仿宋_GB2312" w:eastAsia="仿宋_GB2312" w:hint="eastAsia"/>
          <w:color w:val="000000" w:themeColor="text1"/>
          <w:sz w:val="32"/>
          <w:szCs w:val="32"/>
        </w:rPr>
        <w:t>，建立清晰的</w:t>
      </w:r>
      <w:r w:rsidR="00F777A1" w:rsidRPr="004D2D77">
        <w:rPr>
          <w:rFonts w:ascii="仿宋_GB2312" w:eastAsia="仿宋_GB2312" w:hint="eastAsia"/>
          <w:bCs/>
          <w:color w:val="000000" w:themeColor="text1"/>
          <w:sz w:val="32"/>
          <w:szCs w:val="32"/>
        </w:rPr>
        <w:t>质量</w:t>
      </w:r>
      <w:r w:rsidR="00122EA3" w:rsidRPr="004D2D77">
        <w:rPr>
          <w:rFonts w:ascii="仿宋_GB2312" w:eastAsia="仿宋_GB2312" w:hint="eastAsia"/>
          <w:color w:val="000000" w:themeColor="text1"/>
          <w:sz w:val="32"/>
          <w:szCs w:val="32"/>
        </w:rPr>
        <w:t>审核清单和工作底稿，</w:t>
      </w:r>
      <w:r w:rsidR="00122EA3" w:rsidRPr="004D2D77">
        <w:rPr>
          <w:rFonts w:ascii="仿宋_GB2312" w:eastAsia="仿宋_GB2312" w:hint="eastAsia"/>
          <w:bCs/>
          <w:color w:val="000000" w:themeColor="text1"/>
          <w:sz w:val="32"/>
          <w:szCs w:val="32"/>
        </w:rPr>
        <w:t>列明审核工作应当涵盖的内容。通过合理的流程安排避免审核工作流于形式</w:t>
      </w:r>
      <w:r w:rsidR="00122EA3" w:rsidRPr="004D2D77">
        <w:rPr>
          <w:rFonts w:ascii="仿宋_GB2312" w:eastAsia="仿宋_GB2312" w:hint="eastAsia"/>
          <w:color w:val="000000" w:themeColor="text1"/>
          <w:sz w:val="32"/>
          <w:szCs w:val="32"/>
        </w:rPr>
        <w:t>，</w:t>
      </w:r>
      <w:r w:rsidR="00122EA3" w:rsidRPr="00F777A1">
        <w:rPr>
          <w:rFonts w:ascii="仿宋_GB2312" w:eastAsia="仿宋_GB2312" w:hint="eastAsia"/>
          <w:color w:val="000000" w:themeColor="text1"/>
          <w:sz w:val="32"/>
          <w:szCs w:val="32"/>
        </w:rPr>
        <w:t>并确保审核意见得到回应和有效落实</w:t>
      </w:r>
      <w:r w:rsidR="004518BC" w:rsidRPr="00F777A1">
        <w:rPr>
          <w:rFonts w:ascii="仿宋_GB2312" w:eastAsia="仿宋_GB2312" w:hint="eastAsia"/>
          <w:color w:val="000000" w:themeColor="text1"/>
          <w:sz w:val="32"/>
          <w:szCs w:val="32"/>
        </w:rPr>
        <w:t>。</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证券研究报告应当由</w:t>
      </w:r>
      <w:r w:rsidR="00E81C1A">
        <w:rPr>
          <w:rFonts w:ascii="仿宋_GB2312" w:eastAsia="仿宋_GB2312" w:hint="eastAsia"/>
          <w:color w:val="000000" w:themeColor="text1"/>
          <w:sz w:val="32"/>
          <w:szCs w:val="32"/>
        </w:rPr>
        <w:t>登记为</w:t>
      </w:r>
      <w:r w:rsidRPr="00B0011E">
        <w:rPr>
          <w:rFonts w:ascii="仿宋_GB2312" w:eastAsia="仿宋_GB2312" w:hint="eastAsia"/>
          <w:color w:val="000000" w:themeColor="text1"/>
          <w:sz w:val="32"/>
          <w:szCs w:val="32"/>
        </w:rPr>
        <w:t>证券分析师的专职质量审核人员进行质量审核；证券分析师数量少于10人的可以由署名证券分析师之外的证券分析师进行质量审核。</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F6A5C">
        <w:rPr>
          <w:rFonts w:ascii="仿宋_GB2312" w:eastAsia="仿宋_GB2312" w:hint="eastAsia"/>
          <w:color w:val="000000" w:themeColor="text1"/>
          <w:sz w:val="32"/>
          <w:szCs w:val="32"/>
        </w:rPr>
        <w:t>质量审核应当严格按照公司规定的标准进行认真审查，</w:t>
      </w:r>
      <w:r w:rsidRPr="00B0011E">
        <w:rPr>
          <w:rFonts w:ascii="仿宋_GB2312" w:eastAsia="仿宋_GB2312" w:hint="eastAsia"/>
          <w:color w:val="000000" w:themeColor="text1"/>
          <w:sz w:val="32"/>
          <w:szCs w:val="32"/>
        </w:rPr>
        <w:t>涵盖信息处理、分析逻辑、研究结论等内容，重点关注研究</w:t>
      </w:r>
      <w:r w:rsidRPr="00B0011E">
        <w:rPr>
          <w:rFonts w:ascii="仿宋_GB2312" w:eastAsia="仿宋_GB2312" w:hint="eastAsia"/>
          <w:color w:val="000000" w:themeColor="text1"/>
          <w:sz w:val="32"/>
          <w:szCs w:val="32"/>
        </w:rPr>
        <w:lastRenderedPageBreak/>
        <w:t>方法和研究结论的专业性和审慎性。</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应当建立健全证券研究报告发布前的合</w:t>
      </w:r>
      <w:proofErr w:type="gramStart"/>
      <w:r w:rsidR="00D25A2B" w:rsidRPr="00B0011E">
        <w:rPr>
          <w:rFonts w:ascii="仿宋_GB2312" w:eastAsia="仿宋_GB2312" w:hint="eastAsia"/>
          <w:color w:val="000000" w:themeColor="text1"/>
          <w:sz w:val="32"/>
          <w:szCs w:val="32"/>
        </w:rPr>
        <w:t>规</w:t>
      </w:r>
      <w:proofErr w:type="gramEnd"/>
      <w:r w:rsidR="00D25A2B" w:rsidRPr="00B0011E">
        <w:rPr>
          <w:rFonts w:ascii="仿宋_GB2312" w:eastAsia="仿宋_GB2312" w:hint="eastAsia"/>
          <w:color w:val="000000" w:themeColor="text1"/>
          <w:sz w:val="32"/>
          <w:szCs w:val="32"/>
        </w:rPr>
        <w:t>审查机制</w:t>
      </w:r>
      <w:r w:rsidR="00D25A2B" w:rsidRPr="004D2D77">
        <w:rPr>
          <w:rFonts w:ascii="仿宋_GB2312" w:eastAsia="仿宋_GB2312" w:hint="eastAsia"/>
          <w:color w:val="000000" w:themeColor="text1"/>
          <w:sz w:val="32"/>
          <w:szCs w:val="32"/>
        </w:rPr>
        <w:t>，</w:t>
      </w:r>
      <w:r w:rsidR="00F777A1" w:rsidRPr="004D2D77">
        <w:rPr>
          <w:rFonts w:ascii="仿宋_GB2312" w:eastAsia="仿宋_GB2312" w:hint="eastAsia"/>
          <w:bCs/>
          <w:color w:val="000000" w:themeColor="text1"/>
          <w:sz w:val="32"/>
          <w:szCs w:val="32"/>
        </w:rPr>
        <w:t>细化合</w:t>
      </w:r>
      <w:proofErr w:type="gramStart"/>
      <w:r w:rsidR="00F777A1" w:rsidRPr="004D2D77">
        <w:rPr>
          <w:rFonts w:ascii="仿宋_GB2312" w:eastAsia="仿宋_GB2312" w:hint="eastAsia"/>
          <w:bCs/>
          <w:color w:val="000000" w:themeColor="text1"/>
          <w:sz w:val="32"/>
          <w:szCs w:val="32"/>
        </w:rPr>
        <w:t>规</w:t>
      </w:r>
      <w:proofErr w:type="gramEnd"/>
      <w:r w:rsidR="00F777A1" w:rsidRPr="004D2D77">
        <w:rPr>
          <w:rFonts w:ascii="仿宋_GB2312" w:eastAsia="仿宋_GB2312" w:hint="eastAsia"/>
          <w:bCs/>
          <w:color w:val="000000" w:themeColor="text1"/>
          <w:sz w:val="32"/>
          <w:szCs w:val="32"/>
        </w:rPr>
        <w:t>审查的目标、程序和岗位职责</w:t>
      </w:r>
      <w:r w:rsidR="00F777A1" w:rsidRPr="004D2D77">
        <w:rPr>
          <w:rFonts w:ascii="仿宋_GB2312" w:eastAsia="仿宋_GB2312" w:hint="eastAsia"/>
          <w:color w:val="000000" w:themeColor="text1"/>
          <w:sz w:val="32"/>
          <w:szCs w:val="32"/>
        </w:rPr>
        <w:t>，建立清晰的审查清单和工作底稿，</w:t>
      </w:r>
      <w:r w:rsidR="00F777A1" w:rsidRPr="004D2D77">
        <w:rPr>
          <w:rFonts w:ascii="仿宋_GB2312" w:eastAsia="仿宋_GB2312" w:hint="eastAsia"/>
          <w:bCs/>
          <w:color w:val="000000" w:themeColor="text1"/>
          <w:sz w:val="32"/>
          <w:szCs w:val="32"/>
        </w:rPr>
        <w:t>列明审查工作应当涵盖的内容。通过合理的流程安排避免审查工作流于形式</w:t>
      </w:r>
      <w:r w:rsidR="00F777A1" w:rsidRPr="004D2D77">
        <w:rPr>
          <w:rFonts w:ascii="仿宋_GB2312" w:eastAsia="仿宋_GB2312" w:hint="eastAsia"/>
          <w:color w:val="000000" w:themeColor="text1"/>
          <w:sz w:val="32"/>
          <w:szCs w:val="32"/>
        </w:rPr>
        <w:t>，</w:t>
      </w:r>
      <w:r w:rsidR="00F777A1" w:rsidRPr="00F777A1">
        <w:rPr>
          <w:rFonts w:ascii="仿宋_GB2312" w:eastAsia="仿宋_GB2312" w:hint="eastAsia"/>
          <w:color w:val="000000" w:themeColor="text1"/>
          <w:sz w:val="32"/>
          <w:szCs w:val="32"/>
        </w:rPr>
        <w:t>并确保审查意见得到回应和有效落实</w:t>
      </w:r>
      <w:r w:rsidR="00D25A2B" w:rsidRPr="00B0011E">
        <w:rPr>
          <w:rFonts w:ascii="仿宋_GB2312" w:eastAsia="仿宋_GB2312" w:hint="eastAsia"/>
          <w:color w:val="000000" w:themeColor="text1"/>
          <w:sz w:val="32"/>
          <w:szCs w:val="32"/>
        </w:rPr>
        <w:t>。</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证券研究报告应当由公司合</w:t>
      </w:r>
      <w:proofErr w:type="gramStart"/>
      <w:r w:rsidRPr="00B0011E">
        <w:rPr>
          <w:rFonts w:ascii="仿宋_GB2312" w:eastAsia="仿宋_GB2312" w:hint="eastAsia"/>
          <w:color w:val="000000" w:themeColor="text1"/>
          <w:sz w:val="32"/>
          <w:szCs w:val="32"/>
        </w:rPr>
        <w:t>规</w:t>
      </w:r>
      <w:proofErr w:type="gramEnd"/>
      <w:r w:rsidRPr="00B0011E">
        <w:rPr>
          <w:rFonts w:ascii="仿宋_GB2312" w:eastAsia="仿宋_GB2312" w:hint="eastAsia"/>
          <w:color w:val="000000" w:themeColor="text1"/>
          <w:sz w:val="32"/>
          <w:szCs w:val="32"/>
        </w:rPr>
        <w:t>部门或者研究部门、研究子公司的专职人员进行合</w:t>
      </w:r>
      <w:proofErr w:type="gramStart"/>
      <w:r w:rsidRPr="00B0011E">
        <w:rPr>
          <w:rFonts w:ascii="仿宋_GB2312" w:eastAsia="仿宋_GB2312" w:hint="eastAsia"/>
          <w:color w:val="000000" w:themeColor="text1"/>
          <w:sz w:val="32"/>
          <w:szCs w:val="32"/>
        </w:rPr>
        <w:t>规</w:t>
      </w:r>
      <w:proofErr w:type="gramEnd"/>
      <w:r w:rsidRPr="00B0011E">
        <w:rPr>
          <w:rFonts w:ascii="仿宋_GB2312" w:eastAsia="仿宋_GB2312" w:hint="eastAsia"/>
          <w:color w:val="000000" w:themeColor="text1"/>
          <w:sz w:val="32"/>
          <w:szCs w:val="32"/>
        </w:rPr>
        <w:t>审查。</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合</w:t>
      </w:r>
      <w:proofErr w:type="gramStart"/>
      <w:r w:rsidRPr="00B0011E">
        <w:rPr>
          <w:rFonts w:ascii="仿宋_GB2312" w:eastAsia="仿宋_GB2312" w:hint="eastAsia"/>
          <w:color w:val="000000" w:themeColor="text1"/>
          <w:sz w:val="32"/>
          <w:szCs w:val="32"/>
        </w:rPr>
        <w:t>规</w:t>
      </w:r>
      <w:proofErr w:type="gramEnd"/>
      <w:r w:rsidRPr="00B0011E">
        <w:rPr>
          <w:rFonts w:ascii="仿宋_GB2312" w:eastAsia="仿宋_GB2312" w:hint="eastAsia"/>
          <w:color w:val="000000" w:themeColor="text1"/>
          <w:sz w:val="32"/>
          <w:szCs w:val="32"/>
        </w:rPr>
        <w:t>审查应当涵盖人员资质、信息来源、风险提示等内容，重点关注证券研究报告可能涉及的利益冲突事项。</w:t>
      </w:r>
    </w:p>
    <w:p w:rsidR="00F777A1" w:rsidRDefault="0048088C" w:rsidP="00035115">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F777A1" w:rsidRPr="00F777A1">
        <w:rPr>
          <w:rFonts w:ascii="仿宋_GB2312" w:eastAsia="仿宋_GB2312" w:hint="eastAsia"/>
          <w:color w:val="000000" w:themeColor="text1"/>
          <w:sz w:val="32"/>
          <w:szCs w:val="32"/>
        </w:rPr>
        <w:t>应当根据业务规模配备充足的证券研究报告质量控制和合</w:t>
      </w:r>
      <w:proofErr w:type="gramStart"/>
      <w:r w:rsidR="00F777A1" w:rsidRPr="00F777A1">
        <w:rPr>
          <w:rFonts w:ascii="仿宋_GB2312" w:eastAsia="仿宋_GB2312" w:hint="eastAsia"/>
          <w:color w:val="000000" w:themeColor="text1"/>
          <w:sz w:val="32"/>
          <w:szCs w:val="32"/>
        </w:rPr>
        <w:t>规</w:t>
      </w:r>
      <w:proofErr w:type="gramEnd"/>
      <w:r w:rsidR="00F777A1" w:rsidRPr="00F777A1">
        <w:rPr>
          <w:rFonts w:ascii="仿宋_GB2312" w:eastAsia="仿宋_GB2312" w:hint="eastAsia"/>
          <w:color w:val="000000" w:themeColor="text1"/>
          <w:sz w:val="32"/>
          <w:szCs w:val="32"/>
        </w:rPr>
        <w:t>审查人员。</w:t>
      </w:r>
    </w:p>
    <w:p w:rsidR="007A11A1" w:rsidRPr="00035115" w:rsidRDefault="0048088C" w:rsidP="00F777A1">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7A11A1" w:rsidRPr="00035115">
        <w:rPr>
          <w:rFonts w:ascii="仿宋_GB2312" w:eastAsia="仿宋_GB2312" w:hint="eastAsia"/>
          <w:color w:val="000000" w:themeColor="text1"/>
          <w:sz w:val="32"/>
          <w:szCs w:val="32"/>
        </w:rPr>
        <w:t>应当建立拟发布的证券研究报告市场影响评估机制，在证券研究报告制作和合</w:t>
      </w:r>
      <w:proofErr w:type="gramStart"/>
      <w:r w:rsidR="007A11A1" w:rsidRPr="00035115">
        <w:rPr>
          <w:rFonts w:ascii="仿宋_GB2312" w:eastAsia="仿宋_GB2312" w:hint="eastAsia"/>
          <w:color w:val="000000" w:themeColor="text1"/>
          <w:sz w:val="32"/>
          <w:szCs w:val="32"/>
        </w:rPr>
        <w:t>规</w:t>
      </w:r>
      <w:proofErr w:type="gramEnd"/>
      <w:r w:rsidR="007A11A1" w:rsidRPr="00035115">
        <w:rPr>
          <w:rFonts w:ascii="仿宋_GB2312" w:eastAsia="仿宋_GB2312" w:hint="eastAsia"/>
          <w:color w:val="000000" w:themeColor="text1"/>
          <w:sz w:val="32"/>
          <w:szCs w:val="32"/>
        </w:rPr>
        <w:t>审查环节，对证券研究报告重要敏感信息可能对市场产生的影响进行审慎评估，</w:t>
      </w:r>
      <w:r w:rsidR="008C5D7F" w:rsidRPr="00035115">
        <w:rPr>
          <w:rFonts w:ascii="仿宋_GB2312" w:eastAsia="仿宋_GB2312" w:hint="eastAsia"/>
          <w:bCs/>
          <w:color w:val="000000" w:themeColor="text1"/>
          <w:sz w:val="32"/>
          <w:szCs w:val="32"/>
        </w:rPr>
        <w:t>不得基于个别数据夸大或臆测行业或市场整体风险</w:t>
      </w:r>
      <w:r w:rsidR="008C5D7F" w:rsidRPr="00035115">
        <w:rPr>
          <w:rFonts w:ascii="仿宋_GB2312" w:eastAsia="仿宋_GB2312" w:hint="eastAsia"/>
          <w:color w:val="000000" w:themeColor="text1"/>
          <w:sz w:val="32"/>
          <w:szCs w:val="32"/>
        </w:rPr>
        <w:t>。</w:t>
      </w:r>
      <w:r w:rsidR="007A11A1" w:rsidRPr="00035115">
        <w:rPr>
          <w:rFonts w:ascii="仿宋_GB2312" w:eastAsia="仿宋_GB2312" w:hint="eastAsia"/>
          <w:color w:val="000000" w:themeColor="text1"/>
          <w:sz w:val="32"/>
          <w:szCs w:val="32"/>
        </w:rPr>
        <w:t>对于可能产生重要影响的结论和信息，</w:t>
      </w:r>
      <w:r w:rsidR="008C5D7F" w:rsidRPr="00035115">
        <w:rPr>
          <w:rFonts w:ascii="仿宋_GB2312" w:eastAsia="仿宋_GB2312" w:hint="eastAsia"/>
          <w:bCs/>
          <w:color w:val="000000" w:themeColor="text1"/>
          <w:sz w:val="32"/>
          <w:szCs w:val="32"/>
        </w:rPr>
        <w:t>应当提高审核人员层级</w:t>
      </w:r>
      <w:r w:rsidR="008C5D7F" w:rsidRPr="00035115">
        <w:rPr>
          <w:rFonts w:ascii="仿宋_GB2312" w:eastAsia="仿宋_GB2312" w:hint="eastAsia"/>
          <w:color w:val="000000" w:themeColor="text1"/>
          <w:sz w:val="32"/>
          <w:szCs w:val="32"/>
        </w:rPr>
        <w:t>，</w:t>
      </w:r>
      <w:r w:rsidR="007A11A1" w:rsidRPr="00035115">
        <w:rPr>
          <w:rFonts w:ascii="仿宋_GB2312" w:eastAsia="仿宋_GB2312" w:hint="eastAsia"/>
          <w:color w:val="000000" w:themeColor="text1"/>
          <w:sz w:val="32"/>
          <w:szCs w:val="32"/>
        </w:rPr>
        <w:t>加大审核力度。</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在证券研究报告发布前，可以就证券研究报告涉及上市公司相关信息的真实性向该上市公司进行确认，但不得透露该证券研究报告的发布时间、观点、盈利预测和结论。</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经营机构</w:t>
      </w:r>
      <w:r w:rsidR="00D25A2B" w:rsidRPr="00B0011E">
        <w:rPr>
          <w:rFonts w:ascii="仿宋_GB2312" w:eastAsia="仿宋_GB2312" w:hint="eastAsia"/>
          <w:color w:val="000000" w:themeColor="text1"/>
          <w:sz w:val="32"/>
          <w:szCs w:val="32"/>
        </w:rPr>
        <w:t>的证券研究报告应当通过发布证券研究报告平台统一发送给公司约定的证券研究报告发布对象，以保障发布证券研究报告的公平性。发布证券研究报告的平台应由公司指定，且必须是以公司名义注册或拥有。</w:t>
      </w:r>
    </w:p>
    <w:p w:rsidR="00D25A2B" w:rsidRPr="00B0011E" w:rsidRDefault="00D25A2B" w:rsidP="00D25A2B">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在证券研究报告发布之前，制作发布证券研究报告的相关人员不得向证券研究报告相关销售服务人员、客户及其他无关人员泄露研究对象覆盖范围的调整、制作与发布研究报告的计划，证券研究报告的发布时间、观点和结论，以及涉及盈利预测、投资评级、目标价格等内容的调整计划。</w:t>
      </w:r>
    </w:p>
    <w:p w:rsidR="00D25A2B" w:rsidRPr="00B0011E" w:rsidRDefault="00D25A2B" w:rsidP="00D25A2B">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证券分析师可以将已经在公司证券研究报告发布平台上统一发布过的证券研究报告，通过在公司报备后的</w:t>
      </w:r>
      <w:proofErr w:type="gramStart"/>
      <w:r w:rsidRPr="00B0011E">
        <w:rPr>
          <w:rFonts w:ascii="仿宋_GB2312" w:eastAsia="仿宋_GB2312" w:hint="eastAsia"/>
          <w:color w:val="000000" w:themeColor="text1"/>
          <w:sz w:val="32"/>
          <w:szCs w:val="32"/>
        </w:rPr>
        <w:t>微信群、微信公众号</w:t>
      </w:r>
      <w:proofErr w:type="gramEnd"/>
      <w:r w:rsidRPr="00B0011E">
        <w:rPr>
          <w:rFonts w:ascii="仿宋_GB2312" w:eastAsia="仿宋_GB2312" w:hint="eastAsia"/>
          <w:color w:val="000000" w:themeColor="text1"/>
          <w:sz w:val="32"/>
          <w:szCs w:val="32"/>
        </w:rPr>
        <w:t>、微博、云共享平台、邮箱等其他形式提供给客户并进行解读。</w:t>
      </w:r>
    </w:p>
    <w:p w:rsidR="00D25A2B" w:rsidRPr="00B0011E" w:rsidRDefault="0048088C" w:rsidP="00D25A2B">
      <w:pPr>
        <w:numPr>
          <w:ilvl w:val="255"/>
          <w:numId w:val="0"/>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w:t>
      </w:r>
      <w:r w:rsidR="00F91A61" w:rsidRPr="00F91A61">
        <w:rPr>
          <w:rFonts w:ascii="仿宋_GB2312" w:eastAsia="仿宋_GB2312" w:hint="eastAsia"/>
          <w:color w:val="000000" w:themeColor="text1"/>
          <w:sz w:val="32"/>
          <w:szCs w:val="32"/>
        </w:rPr>
        <w:t>当</w:t>
      </w:r>
      <w:r w:rsidR="00F91A61" w:rsidRPr="004D2D77">
        <w:rPr>
          <w:rFonts w:ascii="仿宋_GB2312" w:eastAsia="仿宋_GB2312" w:hint="eastAsia"/>
          <w:bCs/>
          <w:color w:val="000000" w:themeColor="text1"/>
          <w:sz w:val="32"/>
          <w:szCs w:val="32"/>
        </w:rPr>
        <w:t>定期安排质量审核和合</w:t>
      </w:r>
      <w:proofErr w:type="gramStart"/>
      <w:r w:rsidR="00F91A61" w:rsidRPr="004D2D77">
        <w:rPr>
          <w:rFonts w:ascii="仿宋_GB2312" w:eastAsia="仿宋_GB2312" w:hint="eastAsia"/>
          <w:bCs/>
          <w:color w:val="000000" w:themeColor="text1"/>
          <w:sz w:val="32"/>
          <w:szCs w:val="32"/>
        </w:rPr>
        <w:t>规</w:t>
      </w:r>
      <w:proofErr w:type="gramEnd"/>
      <w:r w:rsidR="00F91A61" w:rsidRPr="004D2D77">
        <w:rPr>
          <w:rFonts w:ascii="仿宋_GB2312" w:eastAsia="仿宋_GB2312" w:hint="eastAsia"/>
          <w:bCs/>
          <w:color w:val="000000" w:themeColor="text1"/>
          <w:sz w:val="32"/>
          <w:szCs w:val="32"/>
        </w:rPr>
        <w:t>审查人员对客户服务档案进行跟踪检查，</w:t>
      </w:r>
      <w:r w:rsidR="00D25A2B" w:rsidRPr="00B0011E">
        <w:rPr>
          <w:rFonts w:ascii="仿宋_GB2312" w:eastAsia="仿宋_GB2312" w:hint="eastAsia"/>
          <w:color w:val="000000" w:themeColor="text1"/>
          <w:sz w:val="32"/>
          <w:szCs w:val="32"/>
        </w:rPr>
        <w:t>安排合</w:t>
      </w:r>
      <w:proofErr w:type="gramStart"/>
      <w:r w:rsidR="00D25A2B" w:rsidRPr="00B0011E">
        <w:rPr>
          <w:rFonts w:ascii="仿宋_GB2312" w:eastAsia="仿宋_GB2312" w:hint="eastAsia"/>
          <w:color w:val="000000" w:themeColor="text1"/>
          <w:sz w:val="32"/>
          <w:szCs w:val="32"/>
        </w:rPr>
        <w:t>规</w:t>
      </w:r>
      <w:proofErr w:type="gramEnd"/>
      <w:r w:rsidR="00D25A2B" w:rsidRPr="00B0011E">
        <w:rPr>
          <w:rFonts w:ascii="仿宋_GB2312" w:eastAsia="仿宋_GB2312" w:hint="eastAsia"/>
          <w:color w:val="000000" w:themeColor="text1"/>
          <w:sz w:val="32"/>
          <w:szCs w:val="32"/>
        </w:rPr>
        <w:t>审核人员进入证券分析师开展客户服务的</w:t>
      </w:r>
      <w:r w:rsidR="00720F5D">
        <w:rPr>
          <w:rFonts w:ascii="仿宋_GB2312" w:eastAsia="仿宋_GB2312" w:hint="eastAsia"/>
          <w:color w:val="000000" w:themeColor="text1"/>
          <w:sz w:val="32"/>
          <w:szCs w:val="32"/>
        </w:rPr>
        <w:t>聊天群、关注其自媒体平台和</w:t>
      </w:r>
      <w:r w:rsidR="00D25A2B" w:rsidRPr="00B0011E">
        <w:rPr>
          <w:rFonts w:ascii="仿宋_GB2312" w:eastAsia="仿宋_GB2312" w:hint="eastAsia"/>
          <w:color w:val="000000" w:themeColor="text1"/>
          <w:sz w:val="32"/>
          <w:szCs w:val="32"/>
        </w:rPr>
        <w:t>云共享平台等</w:t>
      </w:r>
      <w:r w:rsidR="00720F5D">
        <w:rPr>
          <w:rFonts w:ascii="仿宋_GB2312" w:eastAsia="仿宋_GB2312" w:hint="eastAsia"/>
          <w:color w:val="000000" w:themeColor="text1"/>
          <w:sz w:val="32"/>
          <w:szCs w:val="32"/>
        </w:rPr>
        <w:t>方式</w:t>
      </w:r>
      <w:r w:rsidR="00D25A2B" w:rsidRPr="00B0011E">
        <w:rPr>
          <w:rFonts w:ascii="仿宋_GB2312" w:eastAsia="仿宋_GB2312" w:hint="eastAsia"/>
          <w:color w:val="000000" w:themeColor="text1"/>
          <w:sz w:val="32"/>
          <w:szCs w:val="32"/>
        </w:rPr>
        <w:t>对其内容进行</w:t>
      </w:r>
      <w:r w:rsidR="00720F5D">
        <w:rPr>
          <w:rFonts w:ascii="仿宋_GB2312" w:eastAsia="仿宋_GB2312" w:hint="eastAsia"/>
          <w:color w:val="000000" w:themeColor="text1"/>
          <w:sz w:val="32"/>
          <w:szCs w:val="32"/>
        </w:rPr>
        <w:t>随时</w:t>
      </w:r>
      <w:r w:rsidR="00D25A2B" w:rsidRPr="00B0011E">
        <w:rPr>
          <w:rFonts w:ascii="仿宋_GB2312" w:eastAsia="仿宋_GB2312" w:hint="eastAsia"/>
          <w:color w:val="000000" w:themeColor="text1"/>
          <w:sz w:val="32"/>
          <w:szCs w:val="32"/>
        </w:rPr>
        <w:t>抽查，如发现问题应及时汇报并处理。</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发布证券研究报告，应当按照《发布证券研究报告暂行规定》及《证券公司信息隔离墙指引》的有关规定，建立健全信息隔离墙制度，并遵循下列静默期</w:t>
      </w:r>
      <w:r w:rsidR="00D25A2B" w:rsidRPr="00B0011E">
        <w:rPr>
          <w:rFonts w:ascii="仿宋_GB2312" w:eastAsia="仿宋_GB2312" w:hint="eastAsia"/>
          <w:color w:val="000000" w:themeColor="text1"/>
          <w:sz w:val="32"/>
          <w:szCs w:val="32"/>
        </w:rPr>
        <w:lastRenderedPageBreak/>
        <w:t>安排：</w:t>
      </w:r>
    </w:p>
    <w:p w:rsidR="00D25A2B" w:rsidRPr="00B0011E" w:rsidRDefault="00D25A2B" w:rsidP="00D25A2B">
      <w:pPr>
        <w:pStyle w:val="af"/>
        <w:spacing w:line="480" w:lineRule="auto"/>
        <w:ind w:firstLineChars="200" w:firstLine="640"/>
        <w:rPr>
          <w:color w:val="000000" w:themeColor="text1"/>
          <w:sz w:val="32"/>
          <w:szCs w:val="32"/>
        </w:rPr>
      </w:pPr>
      <w:r w:rsidRPr="00B0011E">
        <w:rPr>
          <w:rFonts w:hint="eastAsia"/>
          <w:color w:val="000000" w:themeColor="text1"/>
          <w:sz w:val="32"/>
          <w:szCs w:val="32"/>
        </w:rPr>
        <w:t>（一）担任发行人股票首次公开发行的保荐机构、主承销商，自确定并公告发行价格之日起40日内，不得发布与该发行人有关的证券研究报告；</w:t>
      </w:r>
    </w:p>
    <w:p w:rsidR="00D25A2B" w:rsidRPr="00B0011E" w:rsidRDefault="00D25A2B" w:rsidP="00D25A2B">
      <w:pPr>
        <w:pStyle w:val="af"/>
        <w:spacing w:line="480" w:lineRule="auto"/>
        <w:ind w:firstLineChars="200" w:firstLine="640"/>
        <w:rPr>
          <w:color w:val="000000" w:themeColor="text1"/>
          <w:sz w:val="32"/>
          <w:szCs w:val="32"/>
        </w:rPr>
      </w:pPr>
      <w:r w:rsidRPr="00B0011E">
        <w:rPr>
          <w:rFonts w:hint="eastAsia"/>
          <w:color w:val="000000" w:themeColor="text1"/>
          <w:sz w:val="32"/>
          <w:szCs w:val="32"/>
        </w:rPr>
        <w:t>（二）担任上市公司股票增发、配股、发行可转换公司债</w:t>
      </w:r>
      <w:proofErr w:type="gramStart"/>
      <w:r w:rsidRPr="00B0011E">
        <w:rPr>
          <w:rFonts w:hint="eastAsia"/>
          <w:color w:val="000000" w:themeColor="text1"/>
          <w:sz w:val="32"/>
          <w:szCs w:val="32"/>
        </w:rPr>
        <w:t>券</w:t>
      </w:r>
      <w:proofErr w:type="gramEnd"/>
      <w:r w:rsidRPr="00B0011E">
        <w:rPr>
          <w:rFonts w:hint="eastAsia"/>
          <w:color w:val="000000" w:themeColor="text1"/>
          <w:sz w:val="32"/>
          <w:szCs w:val="32"/>
        </w:rPr>
        <w:t>等再融资项目的保荐机构、主承销商或者财务顾问，自确定并公告公开发行价格之日起10日内，不得发布与该上市公司有关的证券研究报告；</w:t>
      </w:r>
    </w:p>
    <w:p w:rsidR="00D25A2B" w:rsidRPr="00B0011E" w:rsidRDefault="00D25A2B" w:rsidP="00D25A2B">
      <w:pPr>
        <w:pStyle w:val="af"/>
        <w:spacing w:line="480" w:lineRule="auto"/>
        <w:ind w:firstLineChars="0" w:firstLine="570"/>
        <w:rPr>
          <w:color w:val="000000" w:themeColor="text1"/>
          <w:sz w:val="32"/>
          <w:szCs w:val="32"/>
        </w:rPr>
      </w:pPr>
      <w:r w:rsidRPr="00B0011E">
        <w:rPr>
          <w:rFonts w:hint="eastAsia"/>
          <w:color w:val="000000" w:themeColor="text1"/>
          <w:sz w:val="32"/>
          <w:szCs w:val="32"/>
        </w:rPr>
        <w:t>（三）担任上市公司并购重组财务顾问，在</w:t>
      </w:r>
      <w:r w:rsidR="0048088C">
        <w:rPr>
          <w:rFonts w:hint="eastAsia"/>
          <w:color w:val="000000" w:themeColor="text1"/>
          <w:sz w:val="32"/>
          <w:szCs w:val="32"/>
        </w:rPr>
        <w:t>经营机构</w:t>
      </w:r>
      <w:r w:rsidRPr="00B0011E">
        <w:rPr>
          <w:rFonts w:hint="eastAsia"/>
          <w:color w:val="000000" w:themeColor="text1"/>
          <w:sz w:val="32"/>
          <w:szCs w:val="32"/>
        </w:rPr>
        <w:t>的合</w:t>
      </w:r>
      <w:proofErr w:type="gramStart"/>
      <w:r w:rsidRPr="00B0011E">
        <w:rPr>
          <w:rFonts w:hint="eastAsia"/>
          <w:color w:val="000000" w:themeColor="text1"/>
          <w:sz w:val="32"/>
          <w:szCs w:val="32"/>
        </w:rPr>
        <w:t>规</w:t>
      </w:r>
      <w:proofErr w:type="gramEnd"/>
      <w:r w:rsidRPr="00B0011E">
        <w:rPr>
          <w:rFonts w:hint="eastAsia"/>
          <w:color w:val="000000" w:themeColor="text1"/>
          <w:sz w:val="32"/>
          <w:szCs w:val="32"/>
        </w:rPr>
        <w:t>部门将该上市公司列入相关限制名单期间，按照合</w:t>
      </w:r>
      <w:proofErr w:type="gramStart"/>
      <w:r w:rsidRPr="00B0011E">
        <w:rPr>
          <w:rFonts w:hint="eastAsia"/>
          <w:color w:val="000000" w:themeColor="text1"/>
          <w:sz w:val="32"/>
          <w:szCs w:val="32"/>
        </w:rPr>
        <w:t>规</w:t>
      </w:r>
      <w:proofErr w:type="gramEnd"/>
      <w:r w:rsidRPr="00B0011E">
        <w:rPr>
          <w:rFonts w:hint="eastAsia"/>
          <w:color w:val="000000" w:themeColor="text1"/>
          <w:sz w:val="32"/>
          <w:szCs w:val="32"/>
        </w:rPr>
        <w:t>管理要求限制发布与该上市公司有关的证券研究报告。</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因业务需要，安排证券分析师为本公司提供内部研究支持服务的，应当按照《证券公司信息隔离墙指引》的有关规定，针对保密侧业务、公开</w:t>
      </w:r>
      <w:proofErr w:type="gramStart"/>
      <w:r w:rsidR="00D25A2B" w:rsidRPr="00B0011E">
        <w:rPr>
          <w:rFonts w:ascii="仿宋_GB2312" w:eastAsia="仿宋_GB2312" w:hint="eastAsia"/>
          <w:color w:val="000000" w:themeColor="text1"/>
          <w:sz w:val="32"/>
          <w:szCs w:val="32"/>
        </w:rPr>
        <w:t>侧业务</w:t>
      </w:r>
      <w:proofErr w:type="gramEnd"/>
      <w:r w:rsidR="00D25A2B" w:rsidRPr="00B0011E">
        <w:rPr>
          <w:rFonts w:ascii="仿宋_GB2312" w:eastAsia="仿宋_GB2312" w:hint="eastAsia"/>
          <w:color w:val="000000" w:themeColor="text1"/>
          <w:sz w:val="32"/>
          <w:szCs w:val="32"/>
        </w:rPr>
        <w:t>的不同性质，根据是否可能存在潜在的利益冲突，制订相应的管理措施。</w:t>
      </w:r>
    </w:p>
    <w:p w:rsidR="00D25A2B" w:rsidRPr="00B0011E" w:rsidRDefault="00D25A2B" w:rsidP="00D25A2B">
      <w:pPr>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证券分析</w:t>
      </w:r>
      <w:proofErr w:type="gramStart"/>
      <w:r w:rsidRPr="00B0011E">
        <w:rPr>
          <w:rFonts w:ascii="仿宋_GB2312" w:eastAsia="仿宋_GB2312" w:hint="eastAsia"/>
          <w:color w:val="000000" w:themeColor="text1"/>
          <w:sz w:val="32"/>
          <w:szCs w:val="32"/>
        </w:rPr>
        <w:t>师提供</w:t>
      </w:r>
      <w:proofErr w:type="gramEnd"/>
      <w:r w:rsidRPr="00B0011E">
        <w:rPr>
          <w:rFonts w:ascii="仿宋_GB2312" w:eastAsia="仿宋_GB2312" w:hint="eastAsia"/>
          <w:color w:val="000000" w:themeColor="text1"/>
          <w:sz w:val="32"/>
          <w:szCs w:val="32"/>
        </w:rPr>
        <w:t>研究支持服务，应确保所提供的分析意见与已经发布的</w:t>
      </w:r>
      <w:r w:rsidR="006F28AA" w:rsidRPr="00B0011E">
        <w:rPr>
          <w:rFonts w:ascii="仿宋_GB2312" w:eastAsia="仿宋_GB2312" w:hint="eastAsia"/>
          <w:color w:val="000000" w:themeColor="text1"/>
          <w:sz w:val="32"/>
          <w:szCs w:val="32"/>
        </w:rPr>
        <w:t>最新</w:t>
      </w:r>
      <w:r w:rsidRPr="00B0011E">
        <w:rPr>
          <w:rFonts w:ascii="仿宋_GB2312" w:eastAsia="仿宋_GB2312" w:hint="eastAsia"/>
          <w:color w:val="000000" w:themeColor="text1"/>
          <w:sz w:val="32"/>
          <w:szCs w:val="32"/>
        </w:rPr>
        <w:t>证券研究报告观点一致或不存在冲突。</w:t>
      </w:r>
    </w:p>
    <w:p w:rsidR="00D25A2B" w:rsidRPr="006F7892" w:rsidRDefault="0048088C" w:rsidP="00D25A2B">
      <w:pPr>
        <w:numPr>
          <w:ilvl w:val="0"/>
          <w:numId w:val="7"/>
        </w:numPr>
        <w:spacing w:line="480" w:lineRule="auto"/>
        <w:ind w:firstLineChars="200" w:firstLine="640"/>
        <w:rPr>
          <w:rFonts w:ascii="仿宋_GB2312" w:eastAsia="仿宋_GB2312"/>
          <w:color w:val="FF0000"/>
          <w:sz w:val="32"/>
          <w:szCs w:val="32"/>
        </w:rPr>
      </w:pPr>
      <w:r>
        <w:rPr>
          <w:rFonts w:ascii="仿宋_GB2312" w:eastAsia="仿宋_GB2312" w:hint="eastAsia"/>
          <w:color w:val="000000" w:themeColor="text1"/>
          <w:sz w:val="32"/>
          <w:szCs w:val="32"/>
        </w:rPr>
        <w:t>经营机构</w:t>
      </w:r>
      <w:r w:rsidR="00D25A2B" w:rsidRPr="004F2D7A">
        <w:rPr>
          <w:rFonts w:ascii="仿宋_GB2312" w:eastAsia="仿宋_GB2312" w:hint="eastAsia"/>
          <w:color w:val="000000" w:themeColor="text1"/>
          <w:sz w:val="32"/>
          <w:szCs w:val="32"/>
        </w:rPr>
        <w:t>应当建立合理的发布证券研究报告相关人员绩效考核和激励机制，</w:t>
      </w:r>
      <w:r w:rsidR="004F2D7A" w:rsidRPr="004F2D7A">
        <w:rPr>
          <w:rFonts w:ascii="仿宋_GB2312" w:eastAsia="仿宋_GB2312" w:hAnsi="宋体" w:cs="宋体" w:hint="eastAsia"/>
          <w:color w:val="000000" w:themeColor="text1"/>
          <w:kern w:val="0"/>
          <w:sz w:val="32"/>
          <w:szCs w:val="32"/>
        </w:rPr>
        <w:t>以维</w:t>
      </w:r>
      <w:r w:rsidR="004F2D7A" w:rsidRPr="00B36188">
        <w:rPr>
          <w:rFonts w:ascii="仿宋_GB2312" w:eastAsia="仿宋_GB2312" w:hAnsi="宋体" w:cs="宋体" w:hint="eastAsia"/>
          <w:color w:val="000000"/>
          <w:kern w:val="0"/>
          <w:sz w:val="32"/>
          <w:szCs w:val="32"/>
        </w:rPr>
        <w:t>护发布证券研究报告行为的独立性</w:t>
      </w:r>
      <w:r w:rsidR="00D25A2B" w:rsidRPr="00D47C20">
        <w:rPr>
          <w:rFonts w:ascii="仿宋_GB2312" w:eastAsia="仿宋_GB2312" w:hint="eastAsia"/>
          <w:color w:val="000000" w:themeColor="text1"/>
          <w:sz w:val="32"/>
          <w:szCs w:val="32"/>
        </w:rPr>
        <w:t>。</w:t>
      </w:r>
    </w:p>
    <w:p w:rsidR="00D25A2B" w:rsidRPr="00B0011E" w:rsidRDefault="0048088C" w:rsidP="00D25A2B">
      <w:pPr>
        <w:tabs>
          <w:tab w:val="left" w:pos="540"/>
        </w:tabs>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应当综合考虑</w:t>
      </w:r>
      <w:r w:rsidR="003C05C0" w:rsidRPr="00B0011E">
        <w:rPr>
          <w:rFonts w:ascii="仿宋_GB2312" w:eastAsia="仿宋_GB2312" w:hint="eastAsia"/>
          <w:color w:val="000000" w:themeColor="text1"/>
          <w:sz w:val="32"/>
          <w:szCs w:val="32"/>
        </w:rPr>
        <w:t>合</w:t>
      </w:r>
      <w:proofErr w:type="gramStart"/>
      <w:r w:rsidR="003C05C0" w:rsidRPr="00B0011E">
        <w:rPr>
          <w:rFonts w:ascii="仿宋_GB2312" w:eastAsia="仿宋_GB2312" w:hint="eastAsia"/>
          <w:color w:val="000000" w:themeColor="text1"/>
          <w:sz w:val="32"/>
          <w:szCs w:val="32"/>
        </w:rPr>
        <w:t>规</w:t>
      </w:r>
      <w:proofErr w:type="gramEnd"/>
      <w:r w:rsidR="003C05C0" w:rsidRPr="00B0011E">
        <w:rPr>
          <w:rFonts w:ascii="仿宋_GB2312" w:eastAsia="仿宋_GB2312" w:hint="eastAsia"/>
          <w:color w:val="000000" w:themeColor="text1"/>
          <w:sz w:val="32"/>
          <w:szCs w:val="32"/>
        </w:rPr>
        <w:t>情况、</w:t>
      </w:r>
      <w:r w:rsidR="00D25A2B" w:rsidRPr="00B0011E">
        <w:rPr>
          <w:rFonts w:ascii="仿宋_GB2312" w:eastAsia="仿宋_GB2312" w:hint="eastAsia"/>
          <w:color w:val="000000" w:themeColor="text1"/>
          <w:sz w:val="32"/>
          <w:szCs w:val="32"/>
        </w:rPr>
        <w:t>研究质量、客户评价、</w:t>
      </w:r>
      <w:r w:rsidR="00D25A2B" w:rsidRPr="00B0011E">
        <w:rPr>
          <w:rFonts w:ascii="仿宋_GB2312" w:eastAsia="仿宋_GB2312" w:hint="eastAsia"/>
          <w:color w:val="000000" w:themeColor="text1"/>
          <w:sz w:val="32"/>
          <w:szCs w:val="32"/>
        </w:rPr>
        <w:lastRenderedPageBreak/>
        <w:t>工作量等多种因素，</w:t>
      </w:r>
      <w:r w:rsidR="00265178">
        <w:rPr>
          <w:rFonts w:ascii="仿宋_GB2312" w:eastAsia="仿宋_GB2312" w:hAnsi="宋体" w:cs="宋体" w:hint="eastAsia"/>
          <w:color w:val="000000"/>
          <w:kern w:val="0"/>
          <w:sz w:val="32"/>
          <w:szCs w:val="32"/>
        </w:rPr>
        <w:t>设立发布证券研究报告相关人员的考核激励标准</w:t>
      </w:r>
      <w:r w:rsidR="00D25A2B" w:rsidRPr="00B0011E">
        <w:rPr>
          <w:rFonts w:ascii="仿宋_GB2312" w:eastAsia="仿宋_GB2312" w:hint="eastAsia"/>
          <w:color w:val="000000" w:themeColor="text1"/>
          <w:sz w:val="32"/>
          <w:szCs w:val="32"/>
        </w:rPr>
        <w:t>。外部</w:t>
      </w:r>
      <w:r w:rsidR="00D25A2B" w:rsidRPr="00B0011E">
        <w:rPr>
          <w:rFonts w:ascii="仿宋_GB2312" w:eastAsia="仿宋_GB2312" w:hAnsi="宋体" w:cs="宋体" w:hint="eastAsia"/>
          <w:color w:val="000000" w:themeColor="text1"/>
          <w:kern w:val="0"/>
          <w:sz w:val="32"/>
          <w:szCs w:val="32"/>
        </w:rPr>
        <w:t>评选结果仅作为对分析师个人社会评价的参考，</w:t>
      </w:r>
      <w:r w:rsidR="00D25A2B" w:rsidRPr="00B0011E">
        <w:rPr>
          <w:rFonts w:ascii="仿宋_GB2312" w:eastAsia="仿宋_GB2312" w:hint="eastAsia"/>
          <w:color w:val="000000" w:themeColor="text1"/>
          <w:sz w:val="32"/>
          <w:szCs w:val="32"/>
        </w:rPr>
        <w:t>不得</w:t>
      </w:r>
      <w:r w:rsidR="00D25A2B" w:rsidRPr="00B0011E">
        <w:rPr>
          <w:rFonts w:ascii="仿宋_GB2312" w:eastAsia="仿宋_GB2312" w:hAnsi="宋体" w:cs="宋体" w:hint="eastAsia"/>
          <w:color w:val="000000" w:themeColor="text1"/>
          <w:kern w:val="0"/>
          <w:sz w:val="32"/>
          <w:szCs w:val="32"/>
        </w:rPr>
        <w:t>作为证券分析师薪酬激励的依据。</w:t>
      </w:r>
    </w:p>
    <w:p w:rsidR="00D25A2B" w:rsidRPr="00B0011E" w:rsidRDefault="00D25A2B" w:rsidP="00D25A2B">
      <w:p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与发布证券研究报告业务存在利益冲突的部门或人员</w:t>
      </w:r>
      <w:r w:rsidRPr="00B0011E">
        <w:rPr>
          <w:rFonts w:ascii="仿宋_GB2312" w:eastAsia="仿宋_GB2312" w:hAnsi="宋体" w:cs="宋体" w:hint="eastAsia"/>
          <w:color w:val="000000" w:themeColor="text1"/>
          <w:kern w:val="0"/>
          <w:sz w:val="32"/>
          <w:szCs w:val="32"/>
        </w:rPr>
        <w:t>不得参与对发布证券研究报告相关人员的考核</w:t>
      </w:r>
      <w:r w:rsidRPr="00B0011E">
        <w:rPr>
          <w:rFonts w:ascii="仿宋_GB2312" w:eastAsia="仿宋_GB2312" w:hint="eastAsia"/>
          <w:color w:val="000000" w:themeColor="text1"/>
          <w:sz w:val="32"/>
          <w:szCs w:val="32"/>
        </w:rPr>
        <w:t>。证券分析师跨越信息隔离</w:t>
      </w:r>
      <w:proofErr w:type="gramStart"/>
      <w:r w:rsidRPr="00B0011E">
        <w:rPr>
          <w:rFonts w:ascii="仿宋_GB2312" w:eastAsia="仿宋_GB2312" w:hint="eastAsia"/>
          <w:color w:val="000000" w:themeColor="text1"/>
          <w:sz w:val="32"/>
          <w:szCs w:val="32"/>
        </w:rPr>
        <w:t>墙参与</w:t>
      </w:r>
      <w:proofErr w:type="gramEnd"/>
      <w:r w:rsidRPr="00B0011E">
        <w:rPr>
          <w:rFonts w:ascii="仿宋_GB2312" w:eastAsia="仿宋_GB2312" w:hint="eastAsia"/>
          <w:color w:val="000000" w:themeColor="text1"/>
          <w:sz w:val="32"/>
          <w:szCs w:val="32"/>
        </w:rPr>
        <w:t>公司承销保荐、财务顾问业务等项目的，其个人薪酬不得与相关项目的业务收入直接挂钩。研究销售人员不得参与对分析师等研究人员的考核。</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的研究部门或者研究子公司接受特定客户委托，按照协议约定就尚未覆盖的具体股票提供含有证券估值或投资评级的研究成果或者投资分析意见的，</w:t>
      </w:r>
      <w:proofErr w:type="gramStart"/>
      <w:r w:rsidR="00D25A2B" w:rsidRPr="00B0011E">
        <w:rPr>
          <w:rFonts w:ascii="仿宋_GB2312" w:eastAsia="仿宋_GB2312" w:hint="eastAsia"/>
          <w:color w:val="000000" w:themeColor="text1"/>
          <w:sz w:val="32"/>
          <w:szCs w:val="32"/>
        </w:rPr>
        <w:t>自提供</w:t>
      </w:r>
      <w:proofErr w:type="gramEnd"/>
      <w:r w:rsidR="00D25A2B" w:rsidRPr="00B0011E">
        <w:rPr>
          <w:rFonts w:ascii="仿宋_GB2312" w:eastAsia="仿宋_GB2312" w:hint="eastAsia"/>
          <w:color w:val="000000" w:themeColor="text1"/>
          <w:sz w:val="32"/>
          <w:szCs w:val="32"/>
        </w:rPr>
        <w:t xml:space="preserve">之日起6个月内不得就该股票发布证券研究报告。 </w:t>
      </w:r>
    </w:p>
    <w:p w:rsidR="00D25A2B" w:rsidRPr="00B0011E" w:rsidRDefault="0048088C" w:rsidP="00D25A2B">
      <w:pPr>
        <w:spacing w:line="48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的研究部门或者研究子公司不得就已经覆盖的具体股票接受委托提供仅供特定客户使用的、与最新已发布证券研究报告结论不一致的研究成果或者投资分析意见。</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应当明确要求证券分析</w:t>
      </w:r>
      <w:proofErr w:type="gramStart"/>
      <w:r w:rsidR="00D25A2B" w:rsidRPr="00B0011E">
        <w:rPr>
          <w:rFonts w:ascii="仿宋_GB2312" w:eastAsia="仿宋_GB2312" w:hint="eastAsia"/>
          <w:color w:val="000000" w:themeColor="text1"/>
          <w:sz w:val="32"/>
          <w:szCs w:val="32"/>
        </w:rPr>
        <w:t>师不得</w:t>
      </w:r>
      <w:proofErr w:type="gramEnd"/>
      <w:r w:rsidR="00D25A2B" w:rsidRPr="00B0011E">
        <w:rPr>
          <w:rFonts w:ascii="仿宋_GB2312" w:eastAsia="仿宋_GB2312" w:hint="eastAsia"/>
          <w:color w:val="000000" w:themeColor="text1"/>
          <w:sz w:val="32"/>
          <w:szCs w:val="32"/>
        </w:rPr>
        <w:t>在公司内部部门或外部机构兼任有损其独立性与客观性的其他职务</w:t>
      </w:r>
      <w:r w:rsidR="00D25A2B" w:rsidRPr="00B0011E">
        <w:rPr>
          <w:rFonts w:ascii="仿宋_GB2312" w:eastAsia="仿宋_GB2312" w:hAnsi="宋体" w:cs="宋体" w:hint="eastAsia"/>
          <w:color w:val="000000" w:themeColor="text1"/>
          <w:kern w:val="0"/>
          <w:sz w:val="32"/>
          <w:szCs w:val="32"/>
        </w:rPr>
        <w:t>，包括担任上市公司的独立董事</w:t>
      </w:r>
      <w:r w:rsidR="00D25A2B" w:rsidRPr="00B0011E">
        <w:rPr>
          <w:rFonts w:ascii="仿宋_GB2312" w:eastAsia="仿宋_GB2312" w:hint="eastAsia"/>
          <w:color w:val="000000" w:themeColor="text1"/>
          <w:sz w:val="32"/>
          <w:szCs w:val="32"/>
        </w:rPr>
        <w:t>。</w:t>
      </w:r>
    </w:p>
    <w:p w:rsidR="00D25A2B" w:rsidRPr="00043C0C"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开展发布证券研究报告业务，应按照</w:t>
      </w:r>
      <w:r w:rsidR="00D25A2B" w:rsidRPr="00B0011E">
        <w:rPr>
          <w:rFonts w:ascii="仿宋" w:eastAsia="仿宋" w:hAnsi="仿宋" w:cs="宋体" w:hint="eastAsia"/>
          <w:color w:val="000000" w:themeColor="text1"/>
          <w:kern w:val="0"/>
          <w:sz w:val="32"/>
          <w:szCs w:val="32"/>
        </w:rPr>
        <w:t>《证券期货经营机构及工作人员廉洁从业规定》等要求</w:t>
      </w:r>
      <w:r w:rsidR="00D25A2B" w:rsidRPr="00B0011E">
        <w:rPr>
          <w:rFonts w:ascii="仿宋_GB2312" w:eastAsia="仿宋_GB2312" w:cs="仿宋_GB2312" w:hint="eastAsia"/>
          <w:color w:val="000000" w:themeColor="text1"/>
          <w:kern w:val="0"/>
          <w:sz w:val="32"/>
          <w:szCs w:val="32"/>
        </w:rPr>
        <w:t>公平竞争、合</w:t>
      </w:r>
      <w:proofErr w:type="gramStart"/>
      <w:r w:rsidR="00D25A2B" w:rsidRPr="00B0011E">
        <w:rPr>
          <w:rFonts w:ascii="仿宋_GB2312" w:eastAsia="仿宋_GB2312" w:cs="仿宋_GB2312" w:hint="eastAsia"/>
          <w:color w:val="000000" w:themeColor="text1"/>
          <w:kern w:val="0"/>
          <w:sz w:val="32"/>
          <w:szCs w:val="32"/>
        </w:rPr>
        <w:t>规</w:t>
      </w:r>
      <w:proofErr w:type="gramEnd"/>
      <w:r w:rsidR="00D25A2B" w:rsidRPr="00B0011E">
        <w:rPr>
          <w:rFonts w:ascii="仿宋_GB2312" w:eastAsia="仿宋_GB2312" w:cs="仿宋_GB2312" w:hint="eastAsia"/>
          <w:color w:val="000000" w:themeColor="text1"/>
          <w:kern w:val="0"/>
          <w:sz w:val="32"/>
          <w:szCs w:val="32"/>
        </w:rPr>
        <w:t>经营</w:t>
      </w:r>
      <w:r w:rsidR="00D25A2B" w:rsidRPr="00B0011E">
        <w:rPr>
          <w:rFonts w:ascii="仿宋_GB2312" w:eastAsia="仿宋_GB2312" w:hAnsi="宋体" w:cs="宋体" w:hint="eastAsia"/>
          <w:color w:val="000000" w:themeColor="text1"/>
          <w:kern w:val="0"/>
          <w:sz w:val="32"/>
          <w:szCs w:val="32"/>
        </w:rPr>
        <w:t>，</w:t>
      </w:r>
      <w:r w:rsidR="00D25A2B" w:rsidRPr="00B0011E">
        <w:rPr>
          <w:rFonts w:ascii="仿宋_GB2312" w:eastAsia="仿宋_GB2312" w:hint="eastAsia"/>
          <w:color w:val="000000" w:themeColor="text1"/>
          <w:sz w:val="32"/>
          <w:szCs w:val="32"/>
        </w:rPr>
        <w:t>不得向上市公司、证券发行人、基金管理公司、资产管理公司以及其他利益相关者</w:t>
      </w:r>
      <w:r w:rsidR="00D25A2B" w:rsidRPr="00B0011E">
        <w:rPr>
          <w:rFonts w:ascii="仿宋_GB2312" w:eastAsia="仿宋_GB2312" w:cs="仿宋_GB2312" w:hint="eastAsia"/>
          <w:color w:val="000000" w:themeColor="text1"/>
          <w:kern w:val="0"/>
          <w:sz w:val="32"/>
          <w:szCs w:val="32"/>
        </w:rPr>
        <w:t>输送不正当利</w:t>
      </w:r>
      <w:r w:rsidR="00D25A2B" w:rsidRPr="00B0011E">
        <w:rPr>
          <w:rFonts w:ascii="仿宋_GB2312" w:eastAsia="仿宋_GB2312" w:cs="仿宋_GB2312" w:hint="eastAsia"/>
          <w:color w:val="000000" w:themeColor="text1"/>
          <w:kern w:val="0"/>
          <w:sz w:val="32"/>
          <w:szCs w:val="32"/>
        </w:rPr>
        <w:lastRenderedPageBreak/>
        <w:t>益，包括</w:t>
      </w:r>
      <w:r w:rsidR="00D25A2B" w:rsidRPr="00B0011E">
        <w:rPr>
          <w:rFonts w:ascii="仿宋" w:eastAsia="仿宋" w:hAnsi="仿宋" w:cs="宋体" w:hint="eastAsia"/>
          <w:color w:val="000000" w:themeColor="text1"/>
          <w:kern w:val="0"/>
          <w:sz w:val="32"/>
          <w:szCs w:val="32"/>
        </w:rPr>
        <w:t>提供礼金、礼品、旅游、红包、娱乐健身等利益。</w:t>
      </w:r>
    </w:p>
    <w:p w:rsidR="00862693" w:rsidRDefault="0048088C" w:rsidP="00862693">
      <w:pPr>
        <w:spacing w:line="480" w:lineRule="auto"/>
        <w:ind w:left="640"/>
        <w:rPr>
          <w:rFonts w:ascii="仿宋_GB2312" w:eastAsia="仿宋_GB2312" w:cs="仿宋_GB2312"/>
          <w:color w:val="000000" w:themeColor="text1"/>
          <w:kern w:val="0"/>
          <w:sz w:val="32"/>
          <w:szCs w:val="32"/>
        </w:rPr>
      </w:pPr>
      <w:r>
        <w:rPr>
          <w:rFonts w:ascii="仿宋_GB2312" w:eastAsia="仿宋_GB2312" w:hint="eastAsia"/>
          <w:color w:val="000000" w:themeColor="text1"/>
          <w:sz w:val="32"/>
          <w:szCs w:val="32"/>
        </w:rPr>
        <w:t>经营机构</w:t>
      </w:r>
      <w:r w:rsidR="00043C0C" w:rsidRPr="00043C0C">
        <w:rPr>
          <w:rFonts w:ascii="仿宋_GB2312" w:eastAsia="仿宋_GB2312" w:cs="仿宋_GB2312" w:hint="eastAsia"/>
          <w:color w:val="000000" w:themeColor="text1"/>
          <w:kern w:val="0"/>
          <w:sz w:val="32"/>
          <w:szCs w:val="32"/>
        </w:rPr>
        <w:t>按照公司依法制定的内部规定及限定标准，依</w:t>
      </w:r>
    </w:p>
    <w:p w:rsidR="00043C0C" w:rsidRPr="00862693" w:rsidRDefault="00043C0C" w:rsidP="00862693">
      <w:pPr>
        <w:spacing w:line="480" w:lineRule="auto"/>
        <w:rPr>
          <w:rFonts w:ascii="仿宋_GB2312" w:eastAsia="仿宋_GB2312" w:cs="仿宋_GB2312"/>
          <w:color w:val="000000" w:themeColor="text1"/>
          <w:kern w:val="0"/>
          <w:sz w:val="32"/>
          <w:szCs w:val="32"/>
        </w:rPr>
      </w:pPr>
      <w:proofErr w:type="gramStart"/>
      <w:r w:rsidRPr="00043C0C">
        <w:rPr>
          <w:rFonts w:ascii="仿宋_GB2312" w:eastAsia="仿宋_GB2312" w:cs="仿宋_GB2312" w:hint="eastAsia"/>
          <w:color w:val="000000" w:themeColor="text1"/>
          <w:kern w:val="0"/>
          <w:sz w:val="32"/>
          <w:szCs w:val="32"/>
        </w:rPr>
        <w:t>法合理</w:t>
      </w:r>
      <w:proofErr w:type="gramEnd"/>
      <w:r w:rsidRPr="00043C0C">
        <w:rPr>
          <w:rFonts w:ascii="仿宋_GB2312" w:eastAsia="仿宋_GB2312" w:cs="仿宋_GB2312" w:hint="eastAsia"/>
          <w:color w:val="000000" w:themeColor="text1"/>
          <w:kern w:val="0"/>
          <w:sz w:val="32"/>
          <w:szCs w:val="32"/>
        </w:rPr>
        <w:t>营销的，不适用前款规定。</w:t>
      </w:r>
    </w:p>
    <w:p w:rsidR="00D25A2B"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授权公众媒体及其他机构刊载或者转发涉及具体上市公司的证券研究报告</w:t>
      </w:r>
      <w:r w:rsidR="00E44B0C" w:rsidRPr="004D2D77">
        <w:rPr>
          <w:rFonts w:ascii="仿宋_GB2312" w:eastAsia="仿宋_GB2312" w:hint="eastAsia"/>
          <w:color w:val="000000" w:themeColor="text1"/>
          <w:sz w:val="32"/>
          <w:szCs w:val="32"/>
        </w:rPr>
        <w:t>、</w:t>
      </w:r>
      <w:r w:rsidR="004820AC" w:rsidRPr="004D2D77">
        <w:rPr>
          <w:rFonts w:ascii="仿宋_GB2312" w:eastAsia="仿宋_GB2312" w:hint="eastAsia"/>
          <w:bCs/>
          <w:color w:val="000000" w:themeColor="text1"/>
          <w:sz w:val="32"/>
          <w:szCs w:val="32"/>
        </w:rPr>
        <w:t>评论意见</w:t>
      </w:r>
      <w:r w:rsidR="004B4333" w:rsidRPr="004D2D77">
        <w:rPr>
          <w:rFonts w:ascii="仿宋_GB2312" w:eastAsia="仿宋_GB2312" w:hint="eastAsia"/>
          <w:bCs/>
          <w:color w:val="000000" w:themeColor="text1"/>
          <w:sz w:val="32"/>
          <w:szCs w:val="32"/>
        </w:rPr>
        <w:t>，</w:t>
      </w:r>
      <w:r w:rsidR="00D25A2B" w:rsidRPr="00B0011E">
        <w:rPr>
          <w:rFonts w:ascii="仿宋_GB2312" w:eastAsia="仿宋_GB2312" w:hint="eastAsia"/>
          <w:color w:val="000000" w:themeColor="text1"/>
          <w:sz w:val="32"/>
          <w:szCs w:val="32"/>
        </w:rPr>
        <w:t>应当慎重评估，充分论证必要性，并符合以下要求：</w:t>
      </w:r>
    </w:p>
    <w:p w:rsidR="004820AC" w:rsidRDefault="00D25A2B" w:rsidP="004820AC">
      <w:pPr>
        <w:spacing w:line="480" w:lineRule="auto"/>
        <w:ind w:firstLineChars="150" w:firstLine="48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（一）严格按照《发布证券研究报告暂行规定》</w:t>
      </w:r>
      <w:r w:rsidR="004820AC">
        <w:rPr>
          <w:rFonts w:ascii="仿宋_GB2312" w:eastAsia="仿宋_GB2312" w:hint="eastAsia"/>
          <w:color w:val="000000" w:themeColor="text1"/>
          <w:sz w:val="32"/>
          <w:szCs w:val="32"/>
        </w:rPr>
        <w:t>等有关</w:t>
      </w:r>
      <w:r w:rsidRPr="00B0011E">
        <w:rPr>
          <w:rFonts w:ascii="仿宋_GB2312" w:eastAsia="仿宋_GB2312" w:hint="eastAsia"/>
          <w:color w:val="000000" w:themeColor="text1"/>
          <w:sz w:val="32"/>
          <w:szCs w:val="32"/>
        </w:rPr>
        <w:t>规定，与相关公众媒体及其他机构</w:t>
      </w:r>
      <w:proofErr w:type="gramStart"/>
      <w:r w:rsidRPr="00B0011E">
        <w:rPr>
          <w:rFonts w:ascii="仿宋_GB2312" w:eastAsia="仿宋_GB2312" w:hint="eastAsia"/>
          <w:color w:val="000000" w:themeColor="text1"/>
          <w:sz w:val="32"/>
          <w:szCs w:val="32"/>
        </w:rPr>
        <w:t>作出</w:t>
      </w:r>
      <w:proofErr w:type="gramEnd"/>
      <w:r w:rsidRPr="00B0011E">
        <w:rPr>
          <w:rFonts w:ascii="仿宋_GB2312" w:eastAsia="仿宋_GB2312" w:hint="eastAsia"/>
          <w:color w:val="000000" w:themeColor="text1"/>
          <w:sz w:val="32"/>
          <w:szCs w:val="32"/>
        </w:rPr>
        <w:t>协议约定，明确由被授权机构承担相关刊载或者转发责任</w:t>
      </w:r>
      <w:r w:rsidR="004820AC">
        <w:rPr>
          <w:rFonts w:ascii="仿宋_GB2312" w:eastAsia="仿宋_GB2312" w:hint="eastAsia"/>
          <w:color w:val="000000" w:themeColor="text1"/>
          <w:sz w:val="32"/>
          <w:szCs w:val="32"/>
        </w:rPr>
        <w:t>，强化媒体合作管理</w:t>
      </w:r>
      <w:r w:rsidR="00D47C20">
        <w:rPr>
          <w:rFonts w:ascii="仿宋_GB2312" w:eastAsia="仿宋_GB2312" w:hint="eastAsia"/>
          <w:color w:val="000000" w:themeColor="text1"/>
          <w:sz w:val="32"/>
          <w:szCs w:val="32"/>
        </w:rPr>
        <w:t>。</w:t>
      </w:r>
    </w:p>
    <w:p w:rsidR="004B4333" w:rsidRPr="00992181" w:rsidRDefault="004B4333" w:rsidP="004820AC">
      <w:pPr>
        <w:spacing w:line="480" w:lineRule="auto"/>
        <w:ind w:firstLineChars="200" w:firstLine="640"/>
        <w:rPr>
          <w:rFonts w:ascii="仿宋_GB2312" w:eastAsia="仿宋_GB2312"/>
          <w:color w:val="000000" w:themeColor="text1"/>
          <w:sz w:val="32"/>
          <w:szCs w:val="32"/>
        </w:rPr>
      </w:pPr>
      <w:r w:rsidRPr="00992181">
        <w:rPr>
          <w:rFonts w:ascii="仿宋_GB2312" w:eastAsia="仿宋_GB2312" w:hint="eastAsia"/>
          <w:color w:val="000000" w:themeColor="text1"/>
          <w:sz w:val="32"/>
          <w:szCs w:val="32"/>
        </w:rPr>
        <w:t>要求授权转发或刊载研究报告</w:t>
      </w:r>
      <w:r w:rsidRPr="004D2D77">
        <w:rPr>
          <w:rFonts w:ascii="仿宋_GB2312" w:eastAsia="仿宋_GB2312" w:hint="eastAsia"/>
          <w:color w:val="000000" w:themeColor="text1"/>
          <w:sz w:val="32"/>
          <w:szCs w:val="32"/>
        </w:rPr>
        <w:t>、</w:t>
      </w:r>
      <w:r w:rsidRPr="004D2D77">
        <w:rPr>
          <w:rFonts w:ascii="仿宋_GB2312" w:eastAsia="仿宋_GB2312" w:hint="eastAsia"/>
          <w:bCs/>
          <w:color w:val="000000" w:themeColor="text1"/>
          <w:sz w:val="32"/>
          <w:szCs w:val="32"/>
        </w:rPr>
        <w:t>评论意见</w:t>
      </w:r>
      <w:r w:rsidRPr="004D2D77">
        <w:rPr>
          <w:rFonts w:ascii="仿宋_GB2312" w:eastAsia="仿宋_GB2312" w:hint="eastAsia"/>
          <w:color w:val="000000" w:themeColor="text1"/>
          <w:sz w:val="32"/>
          <w:szCs w:val="32"/>
        </w:rPr>
        <w:t>的媒体机构注明研究报告的发布人和发布日期、</w:t>
      </w:r>
      <w:r w:rsidRPr="004D2D77">
        <w:rPr>
          <w:rFonts w:ascii="仿宋_GB2312" w:eastAsia="仿宋_GB2312" w:hint="eastAsia"/>
          <w:bCs/>
          <w:color w:val="000000" w:themeColor="text1"/>
          <w:sz w:val="32"/>
          <w:szCs w:val="32"/>
        </w:rPr>
        <w:t>评论意见的发表者和发布时间，提示使用研究报告或评论意见的风险等</w:t>
      </w:r>
      <w:r w:rsidRPr="004D2D77">
        <w:rPr>
          <w:rFonts w:ascii="仿宋_GB2312" w:eastAsia="仿宋_GB2312" w:hint="eastAsia"/>
          <w:color w:val="000000" w:themeColor="text1"/>
          <w:sz w:val="32"/>
          <w:szCs w:val="32"/>
        </w:rPr>
        <w:t>，要求媒体机构不得自行对公司</w:t>
      </w:r>
      <w:r w:rsidRPr="004D2D77">
        <w:rPr>
          <w:rFonts w:ascii="仿宋_GB2312" w:eastAsia="仿宋_GB2312" w:hint="eastAsia"/>
          <w:bCs/>
          <w:color w:val="000000" w:themeColor="text1"/>
          <w:sz w:val="32"/>
          <w:szCs w:val="32"/>
        </w:rPr>
        <w:t>所提供材料的</w:t>
      </w:r>
      <w:r w:rsidRPr="00992181">
        <w:rPr>
          <w:rFonts w:ascii="仿宋_GB2312" w:eastAsia="仿宋_GB2312" w:hint="eastAsia"/>
          <w:color w:val="000000" w:themeColor="text1"/>
          <w:sz w:val="32"/>
          <w:szCs w:val="32"/>
        </w:rPr>
        <w:t>标题或者内容作实质性修改</w:t>
      </w:r>
      <w:r w:rsidR="00D47C20">
        <w:rPr>
          <w:rFonts w:ascii="仿宋_GB2312" w:eastAsia="仿宋_GB2312" w:hint="eastAsia"/>
          <w:color w:val="000000" w:themeColor="text1"/>
          <w:sz w:val="32"/>
          <w:szCs w:val="32"/>
        </w:rPr>
        <w:t>;</w:t>
      </w:r>
    </w:p>
    <w:p w:rsidR="00D25A2B" w:rsidRPr="00B0011E" w:rsidRDefault="00D25A2B" w:rsidP="00D25A2B">
      <w:pPr>
        <w:pStyle w:val="af"/>
        <w:spacing w:line="480" w:lineRule="auto"/>
        <w:ind w:firstLineChars="0"/>
        <w:rPr>
          <w:color w:val="000000" w:themeColor="text1"/>
          <w:sz w:val="32"/>
          <w:szCs w:val="32"/>
        </w:rPr>
      </w:pPr>
      <w:r w:rsidRPr="00B0011E">
        <w:rPr>
          <w:rFonts w:hint="eastAsia"/>
          <w:color w:val="000000" w:themeColor="text1"/>
          <w:sz w:val="32"/>
          <w:szCs w:val="32"/>
        </w:rPr>
        <w:t>（二）采取有效措施提供</w:t>
      </w:r>
      <w:r w:rsidR="00992181" w:rsidRPr="00B0011E">
        <w:rPr>
          <w:rFonts w:hint="eastAsia"/>
          <w:color w:val="000000" w:themeColor="text1"/>
          <w:sz w:val="32"/>
          <w:szCs w:val="32"/>
        </w:rPr>
        <w:t>证券研究报告</w:t>
      </w:r>
      <w:r w:rsidRPr="00B0011E">
        <w:rPr>
          <w:rFonts w:hint="eastAsia"/>
          <w:color w:val="000000" w:themeColor="text1"/>
          <w:sz w:val="32"/>
          <w:szCs w:val="32"/>
        </w:rPr>
        <w:t>相应的后续解读服务，防止误导公众投资者；</w:t>
      </w:r>
    </w:p>
    <w:p w:rsidR="00D25A2B" w:rsidRPr="00B0011E" w:rsidRDefault="00D25A2B" w:rsidP="00D25A2B">
      <w:pPr>
        <w:pStyle w:val="af"/>
        <w:spacing w:line="480" w:lineRule="auto"/>
        <w:ind w:firstLineChars="0"/>
        <w:rPr>
          <w:color w:val="000000" w:themeColor="text1"/>
          <w:sz w:val="32"/>
          <w:szCs w:val="32"/>
        </w:rPr>
      </w:pPr>
      <w:r w:rsidRPr="00B0011E">
        <w:rPr>
          <w:rFonts w:hint="eastAsia"/>
          <w:color w:val="000000" w:themeColor="text1"/>
          <w:sz w:val="32"/>
          <w:szCs w:val="32"/>
        </w:rPr>
        <w:t>（三）通过公司网站等途径披露本公司授权公众媒体及其他机构刊载或者转发证券研究报告有关情况，提醒公众投资者慎重使用未经授权刊载或者转发的本公司证券研究报告；</w:t>
      </w:r>
    </w:p>
    <w:p w:rsidR="00D25A2B" w:rsidRPr="00B0011E" w:rsidRDefault="00D25A2B" w:rsidP="00D25A2B">
      <w:pPr>
        <w:pStyle w:val="af"/>
        <w:spacing w:line="480" w:lineRule="auto"/>
        <w:ind w:firstLineChars="0"/>
        <w:rPr>
          <w:color w:val="000000" w:themeColor="text1"/>
          <w:sz w:val="32"/>
          <w:szCs w:val="32"/>
        </w:rPr>
      </w:pPr>
      <w:r w:rsidRPr="00B0011E">
        <w:rPr>
          <w:rFonts w:hint="eastAsia"/>
          <w:color w:val="000000" w:themeColor="text1"/>
          <w:sz w:val="32"/>
          <w:szCs w:val="32"/>
        </w:rPr>
        <w:t>（四）具备相应的应对措施，妥善处理投资者投诉。</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应当采取下列措施，防止公众媒</w:t>
      </w:r>
      <w:r w:rsidR="00D25A2B" w:rsidRPr="00B0011E">
        <w:rPr>
          <w:rFonts w:ascii="仿宋_GB2312" w:eastAsia="仿宋_GB2312" w:hint="eastAsia"/>
          <w:color w:val="000000" w:themeColor="text1"/>
          <w:sz w:val="32"/>
          <w:szCs w:val="32"/>
        </w:rPr>
        <w:lastRenderedPageBreak/>
        <w:t>体或者其他机构未经授权私自刊载或者转发公司的证券研究报告：</w:t>
      </w:r>
    </w:p>
    <w:p w:rsidR="00D25A2B" w:rsidRPr="00B0011E" w:rsidRDefault="00D25A2B" w:rsidP="00D25A2B">
      <w:pPr>
        <w:pStyle w:val="af"/>
        <w:spacing w:line="480" w:lineRule="auto"/>
        <w:ind w:firstLineChars="0"/>
        <w:rPr>
          <w:color w:val="000000" w:themeColor="text1"/>
          <w:sz w:val="32"/>
          <w:szCs w:val="32"/>
        </w:rPr>
      </w:pPr>
      <w:r w:rsidRPr="00B0011E">
        <w:rPr>
          <w:rFonts w:hint="eastAsia"/>
          <w:color w:val="000000" w:themeColor="text1"/>
          <w:sz w:val="32"/>
          <w:szCs w:val="32"/>
        </w:rPr>
        <w:t>（一）加强证券研究报告发布环节管理，要求公司相关人员不得将证券研究报告私自提供给未经公司授权的公众媒体或者其他机构，提示客户不要将证券研究报告转发给他人；</w:t>
      </w:r>
    </w:p>
    <w:p w:rsidR="00D25A2B" w:rsidRPr="00B0011E" w:rsidRDefault="00D25A2B" w:rsidP="00D25A2B">
      <w:pPr>
        <w:pStyle w:val="af"/>
        <w:spacing w:line="480" w:lineRule="auto"/>
        <w:ind w:firstLineChars="0"/>
        <w:rPr>
          <w:color w:val="000000" w:themeColor="text1"/>
          <w:sz w:val="32"/>
          <w:szCs w:val="32"/>
        </w:rPr>
      </w:pPr>
      <w:r w:rsidRPr="00B0011E">
        <w:rPr>
          <w:rFonts w:hint="eastAsia"/>
          <w:color w:val="000000" w:themeColor="text1"/>
          <w:sz w:val="32"/>
          <w:szCs w:val="32"/>
        </w:rPr>
        <w:t>（二）建立跟踪监测机制，发现公司证券研究报告被私自刊载或者转发的，及时采取维权措施；</w:t>
      </w:r>
    </w:p>
    <w:p w:rsidR="00D25A2B" w:rsidRPr="00B0011E" w:rsidRDefault="00D25A2B" w:rsidP="00D25A2B">
      <w:pPr>
        <w:pStyle w:val="af"/>
        <w:spacing w:line="480" w:lineRule="auto"/>
        <w:ind w:firstLineChars="0"/>
        <w:rPr>
          <w:color w:val="000000" w:themeColor="text1"/>
          <w:sz w:val="32"/>
          <w:szCs w:val="32"/>
        </w:rPr>
      </w:pPr>
      <w:r w:rsidRPr="00B0011E">
        <w:rPr>
          <w:rFonts w:hint="eastAsia"/>
          <w:color w:val="000000" w:themeColor="text1"/>
          <w:sz w:val="32"/>
          <w:szCs w:val="32"/>
        </w:rPr>
        <w:t>（三）加强投资者教育和客户沟通，提示客户及公众投资者慎重使用公众媒体刊载的证券研究报告。</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771FB4" w:rsidRPr="00B0011E">
        <w:rPr>
          <w:rFonts w:ascii="仿宋_GB2312" w:eastAsia="仿宋_GB2312" w:hint="eastAsia"/>
          <w:color w:val="000000" w:themeColor="text1"/>
          <w:sz w:val="32"/>
          <w:szCs w:val="32"/>
        </w:rPr>
        <w:t>应当对证券分析</w:t>
      </w:r>
      <w:proofErr w:type="gramStart"/>
      <w:r w:rsidR="00771FB4" w:rsidRPr="00B0011E">
        <w:rPr>
          <w:rFonts w:ascii="仿宋_GB2312" w:eastAsia="仿宋_GB2312" w:hint="eastAsia"/>
          <w:color w:val="000000" w:themeColor="text1"/>
          <w:sz w:val="32"/>
          <w:szCs w:val="32"/>
        </w:rPr>
        <w:t>师服务</w:t>
      </w:r>
      <w:proofErr w:type="gramEnd"/>
      <w:r w:rsidR="00771FB4" w:rsidRPr="00B0011E">
        <w:rPr>
          <w:rFonts w:ascii="仿宋_GB2312" w:eastAsia="仿宋_GB2312" w:hint="eastAsia"/>
          <w:color w:val="000000" w:themeColor="text1"/>
          <w:sz w:val="32"/>
          <w:szCs w:val="32"/>
        </w:rPr>
        <w:t>客户的方式、内容、渠道进行统一规范管理</w:t>
      </w:r>
      <w:r w:rsidR="00771FB4" w:rsidRPr="004D2D77">
        <w:rPr>
          <w:rFonts w:ascii="仿宋_GB2312" w:eastAsia="仿宋_GB2312" w:hint="eastAsia"/>
          <w:color w:val="000000" w:themeColor="text1"/>
          <w:sz w:val="32"/>
          <w:szCs w:val="32"/>
        </w:rPr>
        <w:t>，</w:t>
      </w:r>
      <w:r w:rsidR="00992181" w:rsidRPr="004D2D77">
        <w:rPr>
          <w:rFonts w:ascii="仿宋_GB2312" w:eastAsia="仿宋_GB2312" w:hint="eastAsia"/>
          <w:bCs/>
          <w:color w:val="000000" w:themeColor="text1"/>
          <w:sz w:val="32"/>
          <w:szCs w:val="32"/>
        </w:rPr>
        <w:t>覆盖各种形式的服务客户行为，包括与客户举行座谈会、交流会、路演活动，为客户解读其撰写的证券研究报告，使用互联网工具等传播媒介向客户提供服务等</w:t>
      </w:r>
      <w:r w:rsidR="00F91A61" w:rsidRPr="004D2D77">
        <w:rPr>
          <w:rFonts w:ascii="仿宋_GB2312" w:eastAsia="仿宋_GB2312" w:hint="eastAsia"/>
          <w:bCs/>
          <w:color w:val="000000" w:themeColor="text1"/>
          <w:sz w:val="32"/>
          <w:szCs w:val="32"/>
        </w:rPr>
        <w:t>。</w:t>
      </w:r>
      <w:r w:rsidR="00F91A61" w:rsidRPr="00F91A61">
        <w:rPr>
          <w:rFonts w:ascii="仿宋_GB2312" w:eastAsia="仿宋_GB2312" w:hint="eastAsia"/>
          <w:bCs/>
          <w:color w:val="000000" w:themeColor="text1"/>
          <w:sz w:val="32"/>
          <w:szCs w:val="32"/>
        </w:rPr>
        <w:t>应</w:t>
      </w:r>
      <w:r w:rsidR="00D25A2B" w:rsidRPr="00B0011E">
        <w:rPr>
          <w:rFonts w:ascii="仿宋_GB2312" w:eastAsia="仿宋_GB2312" w:hint="eastAsia"/>
          <w:color w:val="000000" w:themeColor="text1"/>
          <w:sz w:val="32"/>
          <w:szCs w:val="32"/>
        </w:rPr>
        <w:t>针对发布证券研究报告业务及转载、提供、解读证券研究报告，使用新媒体工具制定相应的内部管理规范。</w:t>
      </w:r>
    </w:p>
    <w:p w:rsidR="0005415B" w:rsidRDefault="0048088C" w:rsidP="0005415B">
      <w:pPr>
        <w:spacing w:line="480" w:lineRule="auto"/>
        <w:ind w:left="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1C066F" w:rsidRPr="00B6436B">
        <w:rPr>
          <w:rFonts w:ascii="仿宋_GB2312" w:eastAsia="仿宋_GB2312" w:hint="eastAsia"/>
          <w:color w:val="000000" w:themeColor="text1"/>
          <w:sz w:val="32"/>
          <w:szCs w:val="32"/>
        </w:rPr>
        <w:t>应当建立证券分析师向客户发布信息和言论</w:t>
      </w:r>
    </w:p>
    <w:p w:rsidR="001C066F" w:rsidRPr="00B6436B" w:rsidRDefault="001C066F" w:rsidP="0005415B">
      <w:pPr>
        <w:spacing w:line="480" w:lineRule="auto"/>
        <w:jc w:val="left"/>
        <w:rPr>
          <w:rFonts w:ascii="仿宋_GB2312" w:eastAsia="仿宋_GB2312"/>
          <w:color w:val="000000" w:themeColor="text1"/>
          <w:sz w:val="32"/>
          <w:szCs w:val="32"/>
        </w:rPr>
      </w:pPr>
      <w:r w:rsidRPr="00B6436B">
        <w:rPr>
          <w:rFonts w:ascii="仿宋_GB2312" w:eastAsia="仿宋_GB2312" w:hint="eastAsia"/>
          <w:color w:val="000000" w:themeColor="text1"/>
          <w:sz w:val="32"/>
          <w:szCs w:val="32"/>
        </w:rPr>
        <w:t>的事前报备程序</w:t>
      </w:r>
      <w:r w:rsidRPr="004D2D77">
        <w:rPr>
          <w:rFonts w:ascii="仿宋_GB2312" w:eastAsia="仿宋_GB2312" w:hint="eastAsia"/>
          <w:color w:val="000000" w:themeColor="text1"/>
          <w:sz w:val="32"/>
          <w:szCs w:val="32"/>
        </w:rPr>
        <w:t>，</w:t>
      </w:r>
      <w:r w:rsidR="00F91A61" w:rsidRPr="004D2D77">
        <w:rPr>
          <w:rFonts w:ascii="仿宋_GB2312" w:eastAsia="仿宋_GB2312" w:hint="eastAsia"/>
          <w:bCs/>
          <w:color w:val="000000" w:themeColor="text1"/>
          <w:sz w:val="32"/>
          <w:szCs w:val="32"/>
        </w:rPr>
        <w:t>拟发布的主要内容</w:t>
      </w:r>
      <w:r w:rsidRPr="00B6436B">
        <w:rPr>
          <w:rFonts w:ascii="仿宋_GB2312" w:eastAsia="仿宋_GB2312" w:hint="eastAsia"/>
          <w:color w:val="000000" w:themeColor="text1"/>
          <w:sz w:val="32"/>
          <w:szCs w:val="32"/>
        </w:rPr>
        <w:t>应当经所在部门负责人或公司分管高管人员签批同意，并报合</w:t>
      </w:r>
      <w:proofErr w:type="gramStart"/>
      <w:r w:rsidRPr="00B6436B">
        <w:rPr>
          <w:rFonts w:ascii="仿宋_GB2312" w:eastAsia="仿宋_GB2312" w:hint="eastAsia"/>
          <w:color w:val="000000" w:themeColor="text1"/>
          <w:sz w:val="32"/>
          <w:szCs w:val="32"/>
        </w:rPr>
        <w:t>规</w:t>
      </w:r>
      <w:proofErr w:type="gramEnd"/>
      <w:r w:rsidRPr="00B6436B">
        <w:rPr>
          <w:rFonts w:ascii="仿宋_GB2312" w:eastAsia="仿宋_GB2312" w:hint="eastAsia"/>
          <w:color w:val="000000" w:themeColor="text1"/>
          <w:sz w:val="32"/>
          <w:szCs w:val="32"/>
        </w:rPr>
        <w:t>部门备案。</w:t>
      </w:r>
    </w:p>
    <w:p w:rsidR="007B5973" w:rsidRPr="00B0011E" w:rsidRDefault="007B5973" w:rsidP="007B5973">
      <w:pPr>
        <w:spacing w:line="480" w:lineRule="auto"/>
        <w:ind w:left="640"/>
        <w:jc w:val="distribute"/>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证券分析师使用互联网工具等传播媒介向客户提供投</w:t>
      </w:r>
    </w:p>
    <w:p w:rsidR="00D60E29" w:rsidRPr="00C5573A" w:rsidRDefault="007B5973" w:rsidP="00C5573A">
      <w:pPr>
        <w:spacing w:line="480" w:lineRule="auto"/>
        <w:jc w:val="left"/>
        <w:rPr>
          <w:rFonts w:ascii="仿宋_GB2312" w:eastAsia="仿宋_GB2312"/>
          <w:color w:val="000000" w:themeColor="text1"/>
          <w:sz w:val="32"/>
          <w:szCs w:val="32"/>
        </w:rPr>
      </w:pPr>
      <w:proofErr w:type="gramStart"/>
      <w:r w:rsidRPr="00B0011E">
        <w:rPr>
          <w:rFonts w:ascii="仿宋_GB2312" w:eastAsia="仿宋_GB2312" w:hint="eastAsia"/>
          <w:color w:val="000000" w:themeColor="text1"/>
          <w:sz w:val="32"/>
          <w:szCs w:val="32"/>
        </w:rPr>
        <w:t>资分析</w:t>
      </w:r>
      <w:proofErr w:type="gramEnd"/>
      <w:r w:rsidRPr="00B0011E">
        <w:rPr>
          <w:rFonts w:ascii="仿宋_GB2312" w:eastAsia="仿宋_GB2312" w:hint="eastAsia"/>
          <w:color w:val="000000" w:themeColor="text1"/>
          <w:sz w:val="32"/>
          <w:szCs w:val="32"/>
        </w:rPr>
        <w:t>意见，依法属于发布证券研究报告行为的，应当按照</w:t>
      </w:r>
      <w:r w:rsidRPr="00B0011E">
        <w:rPr>
          <w:rFonts w:ascii="仿宋_GB2312" w:eastAsia="仿宋_GB2312" w:hint="eastAsia"/>
          <w:color w:val="000000" w:themeColor="text1"/>
          <w:sz w:val="32"/>
          <w:szCs w:val="32"/>
        </w:rPr>
        <w:lastRenderedPageBreak/>
        <w:t>发布证券研究报告的要求履行发布程序，遵守本执业规范等相关要求。</w:t>
      </w:r>
    </w:p>
    <w:p w:rsidR="00F91A61" w:rsidRPr="00F91A61" w:rsidRDefault="0048088C" w:rsidP="00F91A61">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F91A61" w:rsidRPr="00F91A61">
        <w:rPr>
          <w:rFonts w:ascii="仿宋_GB2312" w:eastAsia="仿宋_GB2312" w:hint="eastAsia"/>
          <w:bCs/>
          <w:color w:val="000000" w:themeColor="text1"/>
          <w:sz w:val="32"/>
          <w:szCs w:val="32"/>
        </w:rPr>
        <w:t>应当建立健全证券分析</w:t>
      </w:r>
      <w:proofErr w:type="gramStart"/>
      <w:r w:rsidR="00F91A61" w:rsidRPr="00F91A61">
        <w:rPr>
          <w:rFonts w:ascii="仿宋_GB2312" w:eastAsia="仿宋_GB2312" w:hint="eastAsia"/>
          <w:bCs/>
          <w:color w:val="000000" w:themeColor="text1"/>
          <w:sz w:val="32"/>
          <w:szCs w:val="32"/>
        </w:rPr>
        <w:t>师服务</w:t>
      </w:r>
      <w:proofErr w:type="gramEnd"/>
      <w:r w:rsidR="00F91A61" w:rsidRPr="00F91A61">
        <w:rPr>
          <w:rFonts w:ascii="仿宋_GB2312" w:eastAsia="仿宋_GB2312" w:hint="eastAsia"/>
          <w:bCs/>
          <w:color w:val="000000" w:themeColor="text1"/>
          <w:sz w:val="32"/>
          <w:szCs w:val="32"/>
        </w:rPr>
        <w:t>客户工作档案，对使用互联网工具等传播媒介向客户提供服务的，应当要求证券分析师向公司备案其使用的与提供证券研究报告服务有关的聊天群、自媒体账号、云共享平台账号等，并报备与业务有关的使用记录和发布内容；对其他方式服务客户的，应当做好客户服务记录，并及时存档检查。</w:t>
      </w:r>
    </w:p>
    <w:p w:rsidR="00D25A2B" w:rsidRPr="00B0011E" w:rsidRDefault="0048088C" w:rsidP="00F91A61">
      <w:p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应当加强对制作发布证券研究报告相关人员的业务、合</w:t>
      </w:r>
      <w:proofErr w:type="gramStart"/>
      <w:r w:rsidR="00D25A2B" w:rsidRPr="00B0011E">
        <w:rPr>
          <w:rFonts w:ascii="仿宋_GB2312" w:eastAsia="仿宋_GB2312" w:hint="eastAsia"/>
          <w:color w:val="000000" w:themeColor="text1"/>
          <w:sz w:val="32"/>
          <w:szCs w:val="32"/>
        </w:rPr>
        <w:t>规</w:t>
      </w:r>
      <w:proofErr w:type="gramEnd"/>
      <w:r w:rsidR="00D25A2B" w:rsidRPr="00B0011E">
        <w:rPr>
          <w:rFonts w:ascii="仿宋_GB2312" w:eastAsia="仿宋_GB2312" w:hint="eastAsia"/>
          <w:color w:val="000000" w:themeColor="text1"/>
          <w:sz w:val="32"/>
          <w:szCs w:val="32"/>
        </w:rPr>
        <w:t>培训和职业道德教育，提升相关人员的专业能力、合</w:t>
      </w:r>
      <w:proofErr w:type="gramStart"/>
      <w:r w:rsidR="00D25A2B" w:rsidRPr="00B0011E">
        <w:rPr>
          <w:rFonts w:ascii="仿宋_GB2312" w:eastAsia="仿宋_GB2312" w:hint="eastAsia"/>
          <w:color w:val="000000" w:themeColor="text1"/>
          <w:sz w:val="32"/>
          <w:szCs w:val="32"/>
        </w:rPr>
        <w:t>规</w:t>
      </w:r>
      <w:proofErr w:type="gramEnd"/>
      <w:r w:rsidR="00D25A2B" w:rsidRPr="00B0011E">
        <w:rPr>
          <w:rFonts w:ascii="仿宋_GB2312" w:eastAsia="仿宋_GB2312" w:hint="eastAsia"/>
          <w:color w:val="000000" w:themeColor="text1"/>
          <w:sz w:val="32"/>
          <w:szCs w:val="32"/>
        </w:rPr>
        <w:t>意识和职业道德水平。</w:t>
      </w:r>
    </w:p>
    <w:p w:rsidR="00777CAC" w:rsidRDefault="0048088C" w:rsidP="00777CAC">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777CAC" w:rsidRPr="00777CAC">
        <w:rPr>
          <w:rFonts w:ascii="仿宋_GB2312" w:eastAsia="仿宋_GB2312" w:hint="eastAsia"/>
          <w:color w:val="000000" w:themeColor="text1"/>
          <w:sz w:val="32"/>
          <w:szCs w:val="32"/>
        </w:rPr>
        <w:t>应当建立健全邀请外部专家参与证券投资咨询服务以外咨询服务的管理制度。外部专家是指在某一领域具备一定的知识或信息、非</w:t>
      </w:r>
      <w:r>
        <w:rPr>
          <w:rFonts w:ascii="仿宋_GB2312" w:eastAsia="仿宋_GB2312" w:hint="eastAsia"/>
          <w:color w:val="000000" w:themeColor="text1"/>
          <w:sz w:val="32"/>
          <w:szCs w:val="32"/>
        </w:rPr>
        <w:t>经营机构</w:t>
      </w:r>
      <w:r w:rsidR="00777CAC" w:rsidRPr="00777CAC">
        <w:rPr>
          <w:rFonts w:ascii="仿宋_GB2312" w:eastAsia="仿宋_GB2312" w:hint="eastAsia"/>
          <w:color w:val="000000" w:themeColor="text1"/>
          <w:sz w:val="32"/>
          <w:szCs w:val="32"/>
        </w:rPr>
        <w:t>雇</w:t>
      </w:r>
      <w:r w:rsidR="00DB2E2B">
        <w:rPr>
          <w:rFonts w:ascii="仿宋_GB2312" w:eastAsia="仿宋_GB2312" w:hint="eastAsia"/>
          <w:color w:val="000000" w:themeColor="text1"/>
          <w:sz w:val="32"/>
          <w:szCs w:val="32"/>
        </w:rPr>
        <w:t>用的人员</w:t>
      </w:r>
      <w:r w:rsidR="00777CAC" w:rsidRPr="00777CAC">
        <w:rPr>
          <w:rFonts w:ascii="仿宋_GB2312" w:eastAsia="仿宋_GB2312" w:hint="eastAsia"/>
          <w:color w:val="000000" w:themeColor="text1"/>
          <w:sz w:val="32"/>
          <w:szCs w:val="32"/>
        </w:rPr>
        <w:t>，不包括上市公司负责信息披露的人员。</w:t>
      </w:r>
      <w:r>
        <w:rPr>
          <w:rFonts w:ascii="仿宋_GB2312" w:eastAsia="仿宋_GB2312" w:hint="eastAsia"/>
          <w:color w:val="000000" w:themeColor="text1"/>
          <w:sz w:val="32"/>
          <w:szCs w:val="32"/>
        </w:rPr>
        <w:t>经营机构</w:t>
      </w:r>
      <w:r w:rsidR="00777CAC" w:rsidRPr="00777CAC">
        <w:rPr>
          <w:rFonts w:ascii="仿宋_GB2312" w:eastAsia="仿宋_GB2312" w:hint="eastAsia"/>
          <w:color w:val="000000" w:themeColor="text1"/>
          <w:sz w:val="32"/>
          <w:szCs w:val="32"/>
        </w:rPr>
        <w:t>邀请外部专家参与证券投资咨询服务以外咨询服务，应当符合以下要求：</w:t>
      </w:r>
    </w:p>
    <w:p w:rsidR="00777CAC" w:rsidRPr="00777CAC" w:rsidRDefault="00777CAC" w:rsidP="00777CAC">
      <w:pPr>
        <w:pStyle w:val="a5"/>
        <w:numPr>
          <w:ilvl w:val="0"/>
          <w:numId w:val="10"/>
        </w:numPr>
        <w:spacing w:line="480" w:lineRule="auto"/>
        <w:ind w:firstLineChars="0"/>
        <w:rPr>
          <w:rFonts w:ascii="仿宋_GB2312" w:eastAsia="仿宋_GB2312"/>
          <w:color w:val="000000" w:themeColor="text1"/>
          <w:sz w:val="32"/>
          <w:szCs w:val="32"/>
        </w:rPr>
      </w:pPr>
      <w:r w:rsidRPr="00777CAC">
        <w:rPr>
          <w:rFonts w:ascii="仿宋_GB2312" w:eastAsia="仿宋_GB2312" w:hint="eastAsia"/>
          <w:color w:val="000000" w:themeColor="text1"/>
          <w:sz w:val="32"/>
          <w:szCs w:val="32"/>
        </w:rPr>
        <w:t>外部专家应当具有良好的社会声誉，在最近两年</w:t>
      </w:r>
    </w:p>
    <w:p w:rsidR="00777CAC" w:rsidRPr="00777CAC" w:rsidRDefault="00777CAC" w:rsidP="00777CAC">
      <w:pPr>
        <w:spacing w:line="48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没有被证券监管部门处罚的记录；</w:t>
      </w:r>
    </w:p>
    <w:p w:rsidR="00775893" w:rsidRDefault="0048088C" w:rsidP="00777CAC">
      <w:pPr>
        <w:pStyle w:val="a5"/>
        <w:numPr>
          <w:ilvl w:val="0"/>
          <w:numId w:val="10"/>
        </w:numPr>
        <w:spacing w:line="480" w:lineRule="auto"/>
        <w:ind w:firstLineChars="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777CAC" w:rsidRPr="00777CAC">
        <w:rPr>
          <w:rFonts w:ascii="仿宋_GB2312" w:eastAsia="仿宋_GB2312" w:hint="eastAsia"/>
          <w:color w:val="000000" w:themeColor="text1"/>
          <w:sz w:val="32"/>
          <w:szCs w:val="32"/>
        </w:rPr>
        <w:t>应当核实专家的身</w:t>
      </w:r>
      <w:r w:rsidR="00777CAC" w:rsidRPr="00775893">
        <w:rPr>
          <w:rFonts w:ascii="仿宋_GB2312" w:eastAsia="仿宋_GB2312" w:hint="eastAsia"/>
          <w:color w:val="000000" w:themeColor="text1"/>
          <w:sz w:val="32"/>
          <w:szCs w:val="32"/>
        </w:rPr>
        <w:t>份，并将经核实的专</w:t>
      </w:r>
    </w:p>
    <w:p w:rsidR="00777CAC" w:rsidRPr="00775893" w:rsidRDefault="00777CAC" w:rsidP="00775893">
      <w:pPr>
        <w:spacing w:line="480" w:lineRule="auto"/>
        <w:rPr>
          <w:rFonts w:ascii="仿宋_GB2312" w:eastAsia="仿宋_GB2312"/>
          <w:color w:val="000000" w:themeColor="text1"/>
          <w:sz w:val="32"/>
          <w:szCs w:val="32"/>
        </w:rPr>
      </w:pPr>
      <w:r w:rsidRPr="00775893">
        <w:rPr>
          <w:rFonts w:ascii="仿宋_GB2312" w:eastAsia="仿宋_GB2312" w:hint="eastAsia"/>
          <w:color w:val="000000" w:themeColor="text1"/>
          <w:sz w:val="32"/>
          <w:szCs w:val="32"/>
        </w:rPr>
        <w:t>家身份告知投资者，不得有虚假或误导性成份，</w:t>
      </w:r>
      <w:r w:rsidR="00043C0C" w:rsidRPr="00775893">
        <w:rPr>
          <w:rFonts w:ascii="仿宋_GB2312" w:eastAsia="仿宋_GB2312" w:hint="eastAsia"/>
          <w:color w:val="000000" w:themeColor="text1"/>
          <w:sz w:val="32"/>
          <w:szCs w:val="32"/>
        </w:rPr>
        <w:t>并</w:t>
      </w:r>
      <w:r w:rsidRPr="00775893">
        <w:rPr>
          <w:rFonts w:ascii="仿宋_GB2312" w:eastAsia="仿宋_GB2312" w:hint="eastAsia"/>
          <w:color w:val="000000" w:themeColor="text1"/>
          <w:sz w:val="32"/>
          <w:szCs w:val="32"/>
        </w:rPr>
        <w:t>应当告知外部专家必须遵守的合</w:t>
      </w:r>
      <w:proofErr w:type="gramStart"/>
      <w:r w:rsidRPr="00775893">
        <w:rPr>
          <w:rFonts w:ascii="仿宋_GB2312" w:eastAsia="仿宋_GB2312" w:hint="eastAsia"/>
          <w:color w:val="000000" w:themeColor="text1"/>
          <w:sz w:val="32"/>
          <w:szCs w:val="32"/>
        </w:rPr>
        <w:t>规</w:t>
      </w:r>
      <w:proofErr w:type="gramEnd"/>
      <w:r w:rsidRPr="00775893">
        <w:rPr>
          <w:rFonts w:ascii="仿宋_GB2312" w:eastAsia="仿宋_GB2312" w:hint="eastAsia"/>
          <w:color w:val="000000" w:themeColor="text1"/>
          <w:sz w:val="32"/>
          <w:szCs w:val="32"/>
        </w:rPr>
        <w:t>要求；</w:t>
      </w:r>
    </w:p>
    <w:p w:rsidR="00775893" w:rsidRDefault="0048088C" w:rsidP="00043C0C">
      <w:pPr>
        <w:pStyle w:val="a5"/>
        <w:numPr>
          <w:ilvl w:val="0"/>
          <w:numId w:val="10"/>
        </w:numPr>
        <w:spacing w:line="480" w:lineRule="auto"/>
        <w:ind w:firstLineChars="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777CAC" w:rsidRPr="00043C0C">
        <w:rPr>
          <w:rFonts w:ascii="仿宋_GB2312" w:eastAsia="仿宋_GB2312" w:hint="eastAsia"/>
          <w:color w:val="000000" w:themeColor="text1"/>
          <w:sz w:val="32"/>
          <w:szCs w:val="32"/>
        </w:rPr>
        <w:t>邀请的外部专家如</w:t>
      </w:r>
      <w:r w:rsidR="00777CAC" w:rsidRPr="00775893">
        <w:rPr>
          <w:rFonts w:ascii="仿宋_GB2312" w:eastAsia="仿宋_GB2312" w:hint="eastAsia"/>
          <w:color w:val="000000" w:themeColor="text1"/>
          <w:sz w:val="32"/>
          <w:szCs w:val="32"/>
        </w:rPr>
        <w:t>果是上市公司人员，</w:t>
      </w:r>
    </w:p>
    <w:p w:rsidR="00777CAC" w:rsidRPr="00775893" w:rsidRDefault="00777CAC" w:rsidP="00775893">
      <w:pPr>
        <w:spacing w:line="480" w:lineRule="auto"/>
        <w:rPr>
          <w:rFonts w:ascii="仿宋_GB2312" w:eastAsia="仿宋_GB2312"/>
          <w:color w:val="000000" w:themeColor="text1"/>
          <w:sz w:val="32"/>
          <w:szCs w:val="32"/>
        </w:rPr>
      </w:pPr>
      <w:r w:rsidRPr="00775893">
        <w:rPr>
          <w:rFonts w:ascii="仿宋_GB2312" w:eastAsia="仿宋_GB2312" w:hint="eastAsia"/>
          <w:color w:val="000000" w:themeColor="text1"/>
          <w:sz w:val="32"/>
          <w:szCs w:val="32"/>
        </w:rPr>
        <w:lastRenderedPageBreak/>
        <w:t>必须经过上市公司信息披露负责人的书面同意，同意的书面记录应保存五年；</w:t>
      </w:r>
    </w:p>
    <w:p w:rsidR="00775893" w:rsidRDefault="0048088C" w:rsidP="00777CAC">
      <w:pPr>
        <w:pStyle w:val="a5"/>
        <w:numPr>
          <w:ilvl w:val="0"/>
          <w:numId w:val="10"/>
        </w:numPr>
        <w:spacing w:line="480" w:lineRule="auto"/>
        <w:ind w:firstLineChars="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777CAC" w:rsidRPr="00777CAC">
        <w:rPr>
          <w:rFonts w:ascii="仿宋_GB2312" w:eastAsia="仿宋_GB2312" w:hint="eastAsia"/>
          <w:color w:val="000000" w:themeColor="text1"/>
          <w:sz w:val="32"/>
          <w:szCs w:val="32"/>
        </w:rPr>
        <w:t>如果通过第三方邀</w:t>
      </w:r>
      <w:r w:rsidR="00777CAC" w:rsidRPr="00775893">
        <w:rPr>
          <w:rFonts w:ascii="仿宋_GB2312" w:eastAsia="仿宋_GB2312" w:hint="eastAsia"/>
          <w:color w:val="000000" w:themeColor="text1"/>
          <w:sz w:val="32"/>
          <w:szCs w:val="32"/>
        </w:rPr>
        <w:t>请外部专家，应当与</w:t>
      </w:r>
    </w:p>
    <w:p w:rsidR="00777CAC" w:rsidRPr="00775893" w:rsidRDefault="00777CAC" w:rsidP="00775893">
      <w:pPr>
        <w:spacing w:line="480" w:lineRule="auto"/>
        <w:rPr>
          <w:rFonts w:ascii="仿宋_GB2312" w:eastAsia="仿宋_GB2312"/>
          <w:color w:val="000000" w:themeColor="text1"/>
          <w:sz w:val="32"/>
          <w:szCs w:val="32"/>
        </w:rPr>
      </w:pPr>
      <w:r w:rsidRPr="00775893">
        <w:rPr>
          <w:rFonts w:ascii="仿宋_GB2312" w:eastAsia="仿宋_GB2312" w:hint="eastAsia"/>
          <w:color w:val="000000" w:themeColor="text1"/>
          <w:sz w:val="32"/>
          <w:szCs w:val="32"/>
        </w:rPr>
        <w:t>第三方签订专门的外部专家邀请协议，协议应当载明要求第三方核实专家身份的责任，以及如有专家身份审核不实，要求第三方承担经济赔偿的责任和媒体公开道歉的责任。</w:t>
      </w:r>
    </w:p>
    <w:p w:rsidR="00D25A2B" w:rsidRPr="00B0011E" w:rsidRDefault="0048088C" w:rsidP="007859F9">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邀请第三方为客户提供证券投资咨询服务以外的咨询服务，应当维持在适度、合理水平，相关服务的费用应当单独列支，并对相关咨询服务的内容归档留存。</w:t>
      </w:r>
    </w:p>
    <w:p w:rsidR="00D25A2B" w:rsidRPr="00B0011E" w:rsidRDefault="0048088C" w:rsidP="00D25A2B">
      <w:pPr>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不得通过外包或与</w:t>
      </w:r>
      <w:r w:rsidR="005774AD">
        <w:rPr>
          <w:rFonts w:ascii="仿宋_GB2312" w:eastAsia="仿宋_GB2312" w:hint="eastAsia"/>
          <w:color w:val="000000" w:themeColor="text1"/>
          <w:sz w:val="32"/>
          <w:szCs w:val="32"/>
        </w:rPr>
        <w:t>第三方签署业务收入分成协议等类似形式安排没有证券投资咨询业务资质</w:t>
      </w:r>
      <w:r w:rsidR="00D25A2B" w:rsidRPr="00B0011E">
        <w:rPr>
          <w:rFonts w:ascii="仿宋_GB2312" w:eastAsia="仿宋_GB2312" w:hint="eastAsia"/>
          <w:color w:val="000000" w:themeColor="text1"/>
          <w:sz w:val="32"/>
          <w:szCs w:val="32"/>
        </w:rPr>
        <w:t>的机构或</w:t>
      </w:r>
      <w:proofErr w:type="gramStart"/>
      <w:r w:rsidR="00D25A2B" w:rsidRPr="00B0011E">
        <w:rPr>
          <w:rFonts w:ascii="仿宋_GB2312" w:eastAsia="仿宋_GB2312" w:hint="eastAsia"/>
          <w:color w:val="000000" w:themeColor="text1"/>
          <w:sz w:val="32"/>
          <w:szCs w:val="32"/>
        </w:rPr>
        <w:t>个</w:t>
      </w:r>
      <w:proofErr w:type="gramEnd"/>
      <w:r w:rsidR="00D25A2B" w:rsidRPr="00B0011E">
        <w:rPr>
          <w:rFonts w:ascii="仿宋_GB2312" w:eastAsia="仿宋_GB2312" w:hint="eastAsia"/>
          <w:color w:val="000000" w:themeColor="text1"/>
          <w:sz w:val="32"/>
          <w:szCs w:val="32"/>
        </w:rPr>
        <w:t>人为客户提供前述咨询服务。</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宏观研究报告和产业研究报告的发布应参照发布证券研究报告的要求执行。</w:t>
      </w:r>
    </w:p>
    <w:p w:rsidR="00D25A2B" w:rsidRPr="00B0011E" w:rsidRDefault="0048088C" w:rsidP="00D25A2B">
      <w:pPr>
        <w:numPr>
          <w:ilvl w:val="0"/>
          <w:numId w:val="7"/>
        </w:numPr>
        <w:spacing w:line="48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经营机构</w:t>
      </w:r>
      <w:r w:rsidR="00D25A2B" w:rsidRPr="00B0011E">
        <w:rPr>
          <w:rFonts w:ascii="仿宋_GB2312" w:eastAsia="仿宋_GB2312" w:hint="eastAsia"/>
          <w:color w:val="000000" w:themeColor="text1"/>
          <w:sz w:val="32"/>
          <w:szCs w:val="32"/>
        </w:rPr>
        <w:t>发布全国中小企业股份转让系统挂牌的公司，C</w:t>
      </w:r>
      <w:r w:rsidR="00D25A2B" w:rsidRPr="00B0011E">
        <w:rPr>
          <w:rFonts w:ascii="仿宋_GB2312" w:eastAsia="仿宋_GB2312"/>
          <w:color w:val="000000" w:themeColor="text1"/>
          <w:sz w:val="32"/>
          <w:szCs w:val="32"/>
        </w:rPr>
        <w:t>DR</w:t>
      </w:r>
      <w:r w:rsidR="00D25A2B" w:rsidRPr="00B0011E">
        <w:rPr>
          <w:rFonts w:ascii="仿宋_GB2312" w:eastAsia="仿宋_GB2312" w:hint="eastAsia"/>
          <w:color w:val="000000" w:themeColor="text1"/>
          <w:sz w:val="32"/>
          <w:szCs w:val="32"/>
        </w:rPr>
        <w:t>（中国存托凭证）、香港及其他境外证券市场上市公司的证券研究报告遵照</w:t>
      </w:r>
      <w:r w:rsidR="003128C1" w:rsidRPr="00B0011E">
        <w:rPr>
          <w:rFonts w:ascii="仿宋_GB2312" w:eastAsia="仿宋_GB2312" w:hint="eastAsia"/>
          <w:color w:val="000000" w:themeColor="text1"/>
          <w:sz w:val="32"/>
          <w:szCs w:val="32"/>
        </w:rPr>
        <w:t>本执业规范</w:t>
      </w:r>
      <w:r w:rsidR="00D25A2B" w:rsidRPr="00B0011E">
        <w:rPr>
          <w:rFonts w:ascii="仿宋_GB2312" w:eastAsia="仿宋_GB2312" w:hint="eastAsia"/>
          <w:color w:val="000000" w:themeColor="text1"/>
          <w:sz w:val="32"/>
          <w:szCs w:val="32"/>
        </w:rPr>
        <w:t>执行。</w:t>
      </w:r>
    </w:p>
    <w:p w:rsidR="009E7863" w:rsidRDefault="009E7863" w:rsidP="009E7863">
      <w:pPr>
        <w:numPr>
          <w:ilvl w:val="0"/>
          <w:numId w:val="7"/>
        </w:numPr>
        <w:spacing w:line="480" w:lineRule="auto"/>
        <w:ind w:firstLineChars="200" w:firstLine="640"/>
        <w:rPr>
          <w:rFonts w:ascii="仿宋_GB2312" w:eastAsia="仿宋_GB2312"/>
          <w:color w:val="000000" w:themeColor="text1"/>
          <w:sz w:val="32"/>
          <w:szCs w:val="32"/>
        </w:rPr>
      </w:pPr>
      <w:r w:rsidRPr="009E7863">
        <w:rPr>
          <w:rFonts w:ascii="仿宋_GB2312" w:eastAsia="仿宋_GB2312" w:hint="eastAsia"/>
          <w:color w:val="000000" w:themeColor="text1"/>
          <w:sz w:val="32"/>
          <w:szCs w:val="32"/>
        </w:rPr>
        <w:t>中国证券业协会将对</w:t>
      </w:r>
      <w:r w:rsidR="0048088C">
        <w:rPr>
          <w:rFonts w:ascii="仿宋_GB2312" w:eastAsia="仿宋_GB2312" w:hint="eastAsia"/>
          <w:color w:val="000000" w:themeColor="text1"/>
          <w:sz w:val="32"/>
          <w:szCs w:val="32"/>
        </w:rPr>
        <w:t>经营机构</w:t>
      </w:r>
      <w:r w:rsidRPr="009E7863">
        <w:rPr>
          <w:rFonts w:ascii="仿宋_GB2312" w:eastAsia="仿宋_GB2312" w:hint="eastAsia"/>
          <w:color w:val="000000" w:themeColor="text1"/>
          <w:sz w:val="32"/>
          <w:szCs w:val="32"/>
        </w:rPr>
        <w:t>落实本规范的情况组织开展执业检查。</w:t>
      </w:r>
      <w:r w:rsidR="0048088C">
        <w:rPr>
          <w:rFonts w:ascii="仿宋_GB2312" w:eastAsia="仿宋_GB2312" w:hint="eastAsia"/>
          <w:color w:val="000000" w:themeColor="text1"/>
          <w:sz w:val="32"/>
          <w:szCs w:val="32"/>
        </w:rPr>
        <w:t>经营机构</w:t>
      </w:r>
      <w:r w:rsidRPr="009E7863">
        <w:rPr>
          <w:rFonts w:ascii="仿宋_GB2312" w:eastAsia="仿宋_GB2312" w:hint="eastAsia"/>
          <w:color w:val="000000" w:themeColor="text1"/>
          <w:sz w:val="32"/>
          <w:szCs w:val="32"/>
        </w:rPr>
        <w:t>及其人员违反本执业规范的，中国证券业协会将根据《中国证券业协会自律措施实施办法》等有关规定，视情节轻重采取谈话提醒、要求提交</w:t>
      </w:r>
      <w:r w:rsidRPr="009E7863">
        <w:rPr>
          <w:rFonts w:ascii="仿宋_GB2312" w:eastAsia="仿宋_GB2312" w:hint="eastAsia"/>
          <w:color w:val="000000" w:themeColor="text1"/>
          <w:sz w:val="32"/>
          <w:szCs w:val="32"/>
        </w:rPr>
        <w:lastRenderedPageBreak/>
        <w:t>书面承诺、要求参加强化培训、警示、责令改正等自律管理措施或行业内通报批评、公开谴责、暂停会员权利、暂停执业、</w:t>
      </w:r>
      <w:r w:rsidR="00D61745">
        <w:rPr>
          <w:rFonts w:ascii="仿宋_GB2312" w:eastAsia="仿宋_GB2312" w:hint="eastAsia"/>
          <w:color w:val="000000" w:themeColor="text1"/>
          <w:sz w:val="32"/>
          <w:szCs w:val="32"/>
        </w:rPr>
        <w:t>停</w:t>
      </w:r>
      <w:r w:rsidRPr="009E7863">
        <w:rPr>
          <w:rFonts w:ascii="仿宋_GB2312" w:eastAsia="仿宋_GB2312" w:hint="eastAsia"/>
          <w:color w:val="000000" w:themeColor="text1"/>
          <w:sz w:val="32"/>
          <w:szCs w:val="32"/>
        </w:rPr>
        <w:t>止执业等纪律处分，并按规定将相关自律措施记入协会诚信信息管理系统，相关纪律处分信息将记入证监会诚信档案数据库。</w:t>
      </w:r>
    </w:p>
    <w:p w:rsidR="00D25A2B" w:rsidRPr="00B0011E" w:rsidRDefault="00D25A2B" w:rsidP="009E7863">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本执业规范由中国证券业协会负责解释。</w:t>
      </w:r>
    </w:p>
    <w:p w:rsidR="00D25A2B" w:rsidRPr="00B0011E" w:rsidRDefault="00D25A2B" w:rsidP="00D25A2B">
      <w:pPr>
        <w:numPr>
          <w:ilvl w:val="0"/>
          <w:numId w:val="7"/>
        </w:numPr>
        <w:spacing w:line="480" w:lineRule="auto"/>
        <w:ind w:firstLineChars="200" w:firstLine="640"/>
        <w:rPr>
          <w:rFonts w:ascii="仿宋_GB2312" w:eastAsia="仿宋_GB2312"/>
          <w:color w:val="000000" w:themeColor="text1"/>
          <w:sz w:val="32"/>
          <w:szCs w:val="32"/>
        </w:rPr>
      </w:pPr>
      <w:r w:rsidRPr="00B0011E">
        <w:rPr>
          <w:rFonts w:ascii="仿宋_GB2312" w:eastAsia="仿宋_GB2312" w:hint="eastAsia"/>
          <w:color w:val="000000" w:themeColor="text1"/>
          <w:sz w:val="32"/>
          <w:szCs w:val="32"/>
        </w:rPr>
        <w:t>本</w:t>
      </w:r>
      <w:r w:rsidR="000F1208" w:rsidRPr="00B0011E">
        <w:rPr>
          <w:rFonts w:ascii="仿宋_GB2312" w:eastAsia="仿宋_GB2312" w:hint="eastAsia"/>
          <w:color w:val="000000" w:themeColor="text1"/>
          <w:sz w:val="32"/>
          <w:szCs w:val="32"/>
        </w:rPr>
        <w:t>执业规范</w:t>
      </w:r>
      <w:r w:rsidRPr="00B0011E">
        <w:rPr>
          <w:rFonts w:ascii="仿宋_GB2312" w:eastAsia="仿宋_GB2312" w:hint="eastAsia"/>
          <w:color w:val="000000" w:themeColor="text1"/>
          <w:sz w:val="32"/>
          <w:szCs w:val="32"/>
        </w:rPr>
        <w:t>自</w:t>
      </w:r>
      <w:r w:rsidR="004D2D77">
        <w:rPr>
          <w:rFonts w:ascii="仿宋_GB2312" w:eastAsia="仿宋_GB2312" w:hint="eastAsia"/>
          <w:color w:val="000000" w:themeColor="text1"/>
          <w:sz w:val="32"/>
          <w:szCs w:val="32"/>
        </w:rPr>
        <w:t>2020年6月</w:t>
      </w:r>
      <w:r w:rsidR="0052546C">
        <w:rPr>
          <w:rFonts w:ascii="仿宋_GB2312" w:eastAsia="仿宋_GB2312" w:hint="eastAsia"/>
          <w:color w:val="000000" w:themeColor="text1"/>
          <w:sz w:val="32"/>
          <w:szCs w:val="32"/>
        </w:rPr>
        <w:t>21</w:t>
      </w:r>
      <w:r w:rsidR="004D2D77">
        <w:rPr>
          <w:rFonts w:ascii="仿宋_GB2312" w:eastAsia="仿宋_GB2312" w:hint="eastAsia"/>
          <w:color w:val="000000" w:themeColor="text1"/>
          <w:sz w:val="32"/>
          <w:szCs w:val="32"/>
        </w:rPr>
        <w:t>日起实施</w:t>
      </w:r>
      <w:r w:rsidRPr="00B0011E">
        <w:rPr>
          <w:rFonts w:ascii="仿宋_GB2312" w:eastAsia="仿宋_GB2312" w:hint="eastAsia"/>
          <w:color w:val="000000" w:themeColor="text1"/>
          <w:sz w:val="32"/>
          <w:szCs w:val="32"/>
        </w:rPr>
        <w:t>。</w:t>
      </w:r>
    </w:p>
    <w:p w:rsidR="00D25A2B" w:rsidRPr="00B0011E" w:rsidRDefault="0052546C" w:rsidP="0052546C">
      <w:pPr>
        <w:spacing w:line="360" w:lineRule="auto"/>
        <w:rPr>
          <w:rFonts w:ascii="仿宋_GB2312" w:eastAsia="仿宋_GB2312"/>
          <w:color w:val="000000" w:themeColor="text1"/>
          <w:sz w:val="32"/>
          <w:szCs w:val="32"/>
        </w:rPr>
      </w:pPr>
      <w:r w:rsidRPr="00B0011E">
        <w:rPr>
          <w:rFonts w:ascii="仿宋_GB2312" w:eastAsia="仿宋_GB2312"/>
          <w:color w:val="000000" w:themeColor="text1"/>
          <w:sz w:val="32"/>
          <w:szCs w:val="32"/>
        </w:rPr>
        <w:t xml:space="preserve"> </w:t>
      </w:r>
    </w:p>
    <w:p w:rsidR="00D25A2B" w:rsidRPr="00D65962" w:rsidRDefault="00D25A2B">
      <w:pPr>
        <w:widowControl/>
        <w:jc w:val="left"/>
        <w:rPr>
          <w:rFonts w:ascii="方正小标宋简体" w:eastAsia="方正小标宋简体" w:hAnsi="华文中宋" w:cs="宋体"/>
          <w:b/>
          <w:color w:val="000000" w:themeColor="text1"/>
          <w:kern w:val="0"/>
          <w:sz w:val="36"/>
          <w:szCs w:val="36"/>
        </w:rPr>
      </w:pPr>
    </w:p>
    <w:sectPr w:rsidR="00D25A2B" w:rsidRPr="00D65962" w:rsidSect="003674C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69" w:rsidRDefault="00753F69" w:rsidP="008D1B25">
      <w:r>
        <w:separator/>
      </w:r>
    </w:p>
  </w:endnote>
  <w:endnote w:type="continuationSeparator" w:id="0">
    <w:p w:rsidR="00753F69" w:rsidRDefault="00753F69" w:rsidP="008D1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75" w:rsidRDefault="0011370F">
    <w:pPr>
      <w:pStyle w:val="a4"/>
      <w:jc w:val="center"/>
    </w:pPr>
    <w:r w:rsidRPr="0011370F">
      <w:fldChar w:fldCharType="begin"/>
    </w:r>
    <w:r w:rsidR="00F47FC8">
      <w:instrText xml:space="preserve"> PAGE   \* MERGEFORMAT </w:instrText>
    </w:r>
    <w:r w:rsidRPr="0011370F">
      <w:fldChar w:fldCharType="separate"/>
    </w:r>
    <w:r w:rsidR="0052546C" w:rsidRPr="0052546C">
      <w:rPr>
        <w:noProof/>
        <w:lang w:val="zh-CN"/>
      </w:rPr>
      <w:t>1</w:t>
    </w:r>
    <w:r>
      <w:rPr>
        <w:noProof/>
        <w:lang w:val="zh-CN"/>
      </w:rPr>
      <w:fldChar w:fldCharType="end"/>
    </w:r>
  </w:p>
  <w:p w:rsidR="00967D75" w:rsidRDefault="00967D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69" w:rsidRDefault="00753F69" w:rsidP="008D1B25">
      <w:r>
        <w:separator/>
      </w:r>
    </w:p>
  </w:footnote>
  <w:footnote w:type="continuationSeparator" w:id="0">
    <w:p w:rsidR="00753F69" w:rsidRDefault="00753F69" w:rsidP="008D1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Thousand"/>
      <w:suff w:val="space"/>
      <w:lvlText w:val="第%1条"/>
      <w:lvlJc w:val="left"/>
      <w:pPr>
        <w:ind w:left="0" w:firstLine="0"/>
      </w:pPr>
      <w:rPr>
        <w:rFonts w:hint="eastAsia"/>
        <w:b/>
        <w:lang w:val="en-US"/>
      </w:rPr>
    </w:lvl>
  </w:abstractNum>
  <w:abstractNum w:abstractNumId="1">
    <w:nsid w:val="0E28596B"/>
    <w:multiLevelType w:val="hybridMultilevel"/>
    <w:tmpl w:val="484878BE"/>
    <w:lvl w:ilvl="0" w:tplc="DC7AD81C">
      <w:start w:val="3"/>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577133"/>
    <w:multiLevelType w:val="hybridMultilevel"/>
    <w:tmpl w:val="5C0C9FFA"/>
    <w:lvl w:ilvl="0" w:tplc="916ED052">
      <w:start w:val="1"/>
      <w:numFmt w:val="chineseCountingThousand"/>
      <w:lvlText w:val="第%1条"/>
      <w:lvlJc w:val="left"/>
      <w:pPr>
        <w:ind w:left="114" w:firstLine="737"/>
      </w:pPr>
      <w:rPr>
        <w:b/>
        <w:lang w:val="en-US"/>
      </w:rPr>
    </w:lvl>
    <w:lvl w:ilvl="1" w:tplc="04090019">
      <w:start w:val="1"/>
      <w:numFmt w:val="lowerLetter"/>
      <w:lvlText w:val="%2)"/>
      <w:lvlJc w:val="left"/>
      <w:pPr>
        <w:ind w:left="16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505B2B"/>
    <w:multiLevelType w:val="hybridMultilevel"/>
    <w:tmpl w:val="09C290A0"/>
    <w:lvl w:ilvl="0" w:tplc="45CE70F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F3D6769"/>
    <w:multiLevelType w:val="hybridMultilevel"/>
    <w:tmpl w:val="EC56253C"/>
    <w:lvl w:ilvl="0" w:tplc="87E836D4">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1D6BFA"/>
    <w:multiLevelType w:val="multilevel"/>
    <w:tmpl w:val="401D6BFA"/>
    <w:lvl w:ilvl="0">
      <w:start w:val="1"/>
      <w:numFmt w:val="japaneseCounting"/>
      <w:lvlText w:val="第%1条"/>
      <w:lvlJc w:val="left"/>
      <w:pPr>
        <w:tabs>
          <w:tab w:val="left" w:pos="1670"/>
        </w:tabs>
        <w:ind w:left="1670" w:hanging="960"/>
      </w:pPr>
      <w:rPr>
        <w:rFonts w:ascii="仿宋_GB2312" w:eastAsia="仿宋_GB2312" w:hint="eastAsia"/>
        <w:b/>
        <w:color w:val="000000"/>
        <w:sz w:val="32"/>
        <w:szCs w:val="32"/>
      </w:rPr>
    </w:lvl>
    <w:lvl w:ilvl="1">
      <w:start w:val="4"/>
      <w:numFmt w:val="japaneseCounting"/>
      <w:lvlText w:val="第%2章"/>
      <w:lvlJc w:val="left"/>
      <w:pPr>
        <w:tabs>
          <w:tab w:val="left" w:pos="1293"/>
        </w:tabs>
        <w:ind w:left="1293" w:hanging="960"/>
      </w:pPr>
      <w:rPr>
        <w:rFonts w:hint="default"/>
        <w:b/>
      </w:rPr>
    </w:lvl>
    <w:lvl w:ilvl="2">
      <w:start w:val="1"/>
      <w:numFmt w:val="decimal"/>
      <w:lvlText w:val="（%3）"/>
      <w:lvlJc w:val="left"/>
      <w:pPr>
        <w:tabs>
          <w:tab w:val="left" w:pos="1473"/>
        </w:tabs>
        <w:ind w:left="1473" w:hanging="720"/>
      </w:pPr>
      <w:rPr>
        <w:rFonts w:ascii="Times New Roman" w:hint="default"/>
      </w:rPr>
    </w:lvl>
    <w:lvl w:ilvl="3">
      <w:start w:val="1"/>
      <w:numFmt w:val="decimal"/>
      <w:lvlText w:val="%4."/>
      <w:lvlJc w:val="left"/>
      <w:pPr>
        <w:tabs>
          <w:tab w:val="left" w:pos="1593"/>
        </w:tabs>
        <w:ind w:left="1593" w:hanging="420"/>
      </w:pPr>
    </w:lvl>
    <w:lvl w:ilvl="4">
      <w:start w:val="1"/>
      <w:numFmt w:val="lowerLetter"/>
      <w:lvlText w:val="%5)"/>
      <w:lvlJc w:val="left"/>
      <w:pPr>
        <w:tabs>
          <w:tab w:val="left" w:pos="2013"/>
        </w:tabs>
        <w:ind w:left="2013" w:hanging="420"/>
      </w:pPr>
    </w:lvl>
    <w:lvl w:ilvl="5">
      <w:start w:val="1"/>
      <w:numFmt w:val="lowerRoman"/>
      <w:lvlText w:val="%6."/>
      <w:lvlJc w:val="right"/>
      <w:pPr>
        <w:tabs>
          <w:tab w:val="left" w:pos="2433"/>
        </w:tabs>
        <w:ind w:left="2433" w:hanging="420"/>
      </w:pPr>
    </w:lvl>
    <w:lvl w:ilvl="6">
      <w:start w:val="1"/>
      <w:numFmt w:val="decimal"/>
      <w:lvlText w:val="%7."/>
      <w:lvlJc w:val="left"/>
      <w:pPr>
        <w:tabs>
          <w:tab w:val="left" w:pos="2853"/>
        </w:tabs>
        <w:ind w:left="2853" w:hanging="420"/>
      </w:pPr>
    </w:lvl>
    <w:lvl w:ilvl="7">
      <w:start w:val="1"/>
      <w:numFmt w:val="lowerLetter"/>
      <w:lvlText w:val="%8)"/>
      <w:lvlJc w:val="left"/>
      <w:pPr>
        <w:tabs>
          <w:tab w:val="left" w:pos="3273"/>
        </w:tabs>
        <w:ind w:left="3273" w:hanging="420"/>
      </w:pPr>
    </w:lvl>
    <w:lvl w:ilvl="8">
      <w:start w:val="1"/>
      <w:numFmt w:val="lowerRoman"/>
      <w:lvlText w:val="%9."/>
      <w:lvlJc w:val="right"/>
      <w:pPr>
        <w:tabs>
          <w:tab w:val="left" w:pos="3693"/>
        </w:tabs>
        <w:ind w:left="3693" w:hanging="420"/>
      </w:pPr>
    </w:lvl>
  </w:abstractNum>
  <w:abstractNum w:abstractNumId="6">
    <w:nsid w:val="59ED8D7D"/>
    <w:multiLevelType w:val="singleLevel"/>
    <w:tmpl w:val="59ED8D7D"/>
    <w:lvl w:ilvl="0">
      <w:start w:val="2"/>
      <w:numFmt w:val="chineseCounting"/>
      <w:suff w:val="nothing"/>
      <w:lvlText w:val="（%1）"/>
      <w:lvlJc w:val="left"/>
      <w:pPr>
        <w:ind w:left="0" w:firstLine="0"/>
      </w:pPr>
    </w:lvl>
  </w:abstractNum>
  <w:abstractNum w:abstractNumId="7">
    <w:nsid w:val="652C22A9"/>
    <w:multiLevelType w:val="multilevel"/>
    <w:tmpl w:val="9B26957A"/>
    <w:lvl w:ilvl="0">
      <w:start w:val="4"/>
      <w:numFmt w:val="chineseCountingThousand"/>
      <w:suff w:val="space"/>
      <w:lvlText w:val="第%1条"/>
      <w:lvlJc w:val="left"/>
      <w:pPr>
        <w:ind w:left="0" w:firstLine="0"/>
      </w:pPr>
      <w:rPr>
        <w:rFonts w:hint="eastAsia"/>
        <w:b/>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77A71BF"/>
    <w:multiLevelType w:val="hybridMultilevel"/>
    <w:tmpl w:val="74C88D2E"/>
    <w:lvl w:ilvl="0" w:tplc="62444ADE">
      <w:start w:val="1"/>
      <w:numFmt w:val="japaneseCounting"/>
      <w:lvlText w:val="%1、"/>
      <w:lvlJc w:val="left"/>
      <w:pPr>
        <w:ind w:left="1395" w:hanging="6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num w:numId="1">
    <w:abstractNumId w:val="4"/>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9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portal.sac.net.cn/seeyon/officeservlet"/>
  </w:docVars>
  <w:rsids>
    <w:rsidRoot w:val="008D1B25"/>
    <w:rsid w:val="00003533"/>
    <w:rsid w:val="000103DE"/>
    <w:rsid w:val="000106BD"/>
    <w:rsid w:val="00012794"/>
    <w:rsid w:val="0001723A"/>
    <w:rsid w:val="000265FF"/>
    <w:rsid w:val="00035115"/>
    <w:rsid w:val="00035209"/>
    <w:rsid w:val="00043C0C"/>
    <w:rsid w:val="00044FF2"/>
    <w:rsid w:val="0005415B"/>
    <w:rsid w:val="00054D8B"/>
    <w:rsid w:val="000557F1"/>
    <w:rsid w:val="000659C4"/>
    <w:rsid w:val="00074F35"/>
    <w:rsid w:val="000847D0"/>
    <w:rsid w:val="00095FCE"/>
    <w:rsid w:val="000A330F"/>
    <w:rsid w:val="000B13B0"/>
    <w:rsid w:val="000B7A36"/>
    <w:rsid w:val="000C0958"/>
    <w:rsid w:val="000C164D"/>
    <w:rsid w:val="000C3566"/>
    <w:rsid w:val="000E21D6"/>
    <w:rsid w:val="000F0601"/>
    <w:rsid w:val="000F1208"/>
    <w:rsid w:val="000F40B6"/>
    <w:rsid w:val="00103C6F"/>
    <w:rsid w:val="001041C5"/>
    <w:rsid w:val="00110A3E"/>
    <w:rsid w:val="0011370F"/>
    <w:rsid w:val="001176A7"/>
    <w:rsid w:val="00120BBF"/>
    <w:rsid w:val="00122EA3"/>
    <w:rsid w:val="001231B6"/>
    <w:rsid w:val="00127198"/>
    <w:rsid w:val="0013104A"/>
    <w:rsid w:val="001339BA"/>
    <w:rsid w:val="00137784"/>
    <w:rsid w:val="00141171"/>
    <w:rsid w:val="00150B43"/>
    <w:rsid w:val="00151D87"/>
    <w:rsid w:val="00154E23"/>
    <w:rsid w:val="00162D8B"/>
    <w:rsid w:val="00165F9B"/>
    <w:rsid w:val="00171FB4"/>
    <w:rsid w:val="0017201D"/>
    <w:rsid w:val="00184C66"/>
    <w:rsid w:val="001866AE"/>
    <w:rsid w:val="00195F1E"/>
    <w:rsid w:val="001969DF"/>
    <w:rsid w:val="001B020F"/>
    <w:rsid w:val="001C066F"/>
    <w:rsid w:val="001C1E5A"/>
    <w:rsid w:val="001C279C"/>
    <w:rsid w:val="001D067C"/>
    <w:rsid w:val="001D40A2"/>
    <w:rsid w:val="001D713D"/>
    <w:rsid w:val="001D7934"/>
    <w:rsid w:val="001F2452"/>
    <w:rsid w:val="001F290B"/>
    <w:rsid w:val="001F7C12"/>
    <w:rsid w:val="00205C0D"/>
    <w:rsid w:val="00217ABE"/>
    <w:rsid w:val="00235B64"/>
    <w:rsid w:val="00243AA1"/>
    <w:rsid w:val="00246D72"/>
    <w:rsid w:val="00265178"/>
    <w:rsid w:val="002727F1"/>
    <w:rsid w:val="00273BF0"/>
    <w:rsid w:val="00274F9F"/>
    <w:rsid w:val="0027538D"/>
    <w:rsid w:val="00287D9E"/>
    <w:rsid w:val="00290DD6"/>
    <w:rsid w:val="002940DA"/>
    <w:rsid w:val="00294DC3"/>
    <w:rsid w:val="002959F8"/>
    <w:rsid w:val="00295E03"/>
    <w:rsid w:val="002B1ED0"/>
    <w:rsid w:val="002B42BF"/>
    <w:rsid w:val="002C0F56"/>
    <w:rsid w:val="002D2C90"/>
    <w:rsid w:val="002D3308"/>
    <w:rsid w:val="002E107D"/>
    <w:rsid w:val="002E1759"/>
    <w:rsid w:val="002E2395"/>
    <w:rsid w:val="002F0E27"/>
    <w:rsid w:val="002F1A69"/>
    <w:rsid w:val="00305DC7"/>
    <w:rsid w:val="003128C1"/>
    <w:rsid w:val="00312A70"/>
    <w:rsid w:val="00325693"/>
    <w:rsid w:val="00327CA0"/>
    <w:rsid w:val="0033168E"/>
    <w:rsid w:val="0033265C"/>
    <w:rsid w:val="003348BE"/>
    <w:rsid w:val="00336EAC"/>
    <w:rsid w:val="003408B4"/>
    <w:rsid w:val="003435AA"/>
    <w:rsid w:val="00344B8F"/>
    <w:rsid w:val="00344E40"/>
    <w:rsid w:val="0035009F"/>
    <w:rsid w:val="00351AD3"/>
    <w:rsid w:val="003569F2"/>
    <w:rsid w:val="00366478"/>
    <w:rsid w:val="003674C1"/>
    <w:rsid w:val="00393A7E"/>
    <w:rsid w:val="00395644"/>
    <w:rsid w:val="003A0E92"/>
    <w:rsid w:val="003A4E8D"/>
    <w:rsid w:val="003B0F32"/>
    <w:rsid w:val="003B4216"/>
    <w:rsid w:val="003C05C0"/>
    <w:rsid w:val="003C3A2C"/>
    <w:rsid w:val="003C56AD"/>
    <w:rsid w:val="003D3062"/>
    <w:rsid w:val="003E1574"/>
    <w:rsid w:val="003E2D6D"/>
    <w:rsid w:val="00405447"/>
    <w:rsid w:val="004336A3"/>
    <w:rsid w:val="00434A6C"/>
    <w:rsid w:val="004423E2"/>
    <w:rsid w:val="00443549"/>
    <w:rsid w:val="0045025C"/>
    <w:rsid w:val="004504AC"/>
    <w:rsid w:val="004518BC"/>
    <w:rsid w:val="00453769"/>
    <w:rsid w:val="004561F0"/>
    <w:rsid w:val="004613A2"/>
    <w:rsid w:val="00477734"/>
    <w:rsid w:val="00477C40"/>
    <w:rsid w:val="0048088C"/>
    <w:rsid w:val="004815E1"/>
    <w:rsid w:val="004818D3"/>
    <w:rsid w:val="00481D60"/>
    <w:rsid w:val="004820AC"/>
    <w:rsid w:val="004830A2"/>
    <w:rsid w:val="00485962"/>
    <w:rsid w:val="00485CCB"/>
    <w:rsid w:val="00486A11"/>
    <w:rsid w:val="0049074F"/>
    <w:rsid w:val="004923CA"/>
    <w:rsid w:val="00495F71"/>
    <w:rsid w:val="004A484B"/>
    <w:rsid w:val="004B4333"/>
    <w:rsid w:val="004B777E"/>
    <w:rsid w:val="004C2A9A"/>
    <w:rsid w:val="004C6075"/>
    <w:rsid w:val="004D2D77"/>
    <w:rsid w:val="004D3935"/>
    <w:rsid w:val="004D50EE"/>
    <w:rsid w:val="004D5912"/>
    <w:rsid w:val="004E52B4"/>
    <w:rsid w:val="004E74CC"/>
    <w:rsid w:val="004E7FDB"/>
    <w:rsid w:val="004F1381"/>
    <w:rsid w:val="004F1E6C"/>
    <w:rsid w:val="004F27A3"/>
    <w:rsid w:val="004F2D7A"/>
    <w:rsid w:val="004F5BDE"/>
    <w:rsid w:val="005072CD"/>
    <w:rsid w:val="005113B6"/>
    <w:rsid w:val="0052546C"/>
    <w:rsid w:val="00532C0B"/>
    <w:rsid w:val="00536C0C"/>
    <w:rsid w:val="00541B46"/>
    <w:rsid w:val="00544E30"/>
    <w:rsid w:val="0054596B"/>
    <w:rsid w:val="005467BB"/>
    <w:rsid w:val="005612F2"/>
    <w:rsid w:val="00562B08"/>
    <w:rsid w:val="00567337"/>
    <w:rsid w:val="00575415"/>
    <w:rsid w:val="00575682"/>
    <w:rsid w:val="005774AD"/>
    <w:rsid w:val="00585751"/>
    <w:rsid w:val="005A3712"/>
    <w:rsid w:val="005A3F55"/>
    <w:rsid w:val="005A4667"/>
    <w:rsid w:val="005B46E0"/>
    <w:rsid w:val="005B4930"/>
    <w:rsid w:val="005B7097"/>
    <w:rsid w:val="005C4BBE"/>
    <w:rsid w:val="005E28F5"/>
    <w:rsid w:val="005F2E86"/>
    <w:rsid w:val="0060163C"/>
    <w:rsid w:val="006020CD"/>
    <w:rsid w:val="00604800"/>
    <w:rsid w:val="006050E1"/>
    <w:rsid w:val="0061422C"/>
    <w:rsid w:val="00616E2C"/>
    <w:rsid w:val="0062182F"/>
    <w:rsid w:val="00626B92"/>
    <w:rsid w:val="006351BC"/>
    <w:rsid w:val="0064165D"/>
    <w:rsid w:val="00641FFD"/>
    <w:rsid w:val="00646364"/>
    <w:rsid w:val="00647BD2"/>
    <w:rsid w:val="00647FEA"/>
    <w:rsid w:val="006650B0"/>
    <w:rsid w:val="00682845"/>
    <w:rsid w:val="00690BB6"/>
    <w:rsid w:val="006931CA"/>
    <w:rsid w:val="0069347B"/>
    <w:rsid w:val="00695AB0"/>
    <w:rsid w:val="006A4386"/>
    <w:rsid w:val="006B1402"/>
    <w:rsid w:val="006C462A"/>
    <w:rsid w:val="006C6AE3"/>
    <w:rsid w:val="006D4924"/>
    <w:rsid w:val="006D7808"/>
    <w:rsid w:val="006E1A9F"/>
    <w:rsid w:val="006E32FE"/>
    <w:rsid w:val="006E6B92"/>
    <w:rsid w:val="006E73CB"/>
    <w:rsid w:val="006F28AA"/>
    <w:rsid w:val="006F7892"/>
    <w:rsid w:val="007072AE"/>
    <w:rsid w:val="00716E3F"/>
    <w:rsid w:val="00720F5D"/>
    <w:rsid w:val="00736FB5"/>
    <w:rsid w:val="007420E2"/>
    <w:rsid w:val="00742C66"/>
    <w:rsid w:val="007454A6"/>
    <w:rsid w:val="007465AA"/>
    <w:rsid w:val="00753F69"/>
    <w:rsid w:val="00757983"/>
    <w:rsid w:val="00771FB4"/>
    <w:rsid w:val="00773327"/>
    <w:rsid w:val="00775893"/>
    <w:rsid w:val="00777CAC"/>
    <w:rsid w:val="00784954"/>
    <w:rsid w:val="007859F9"/>
    <w:rsid w:val="007931FD"/>
    <w:rsid w:val="007933F0"/>
    <w:rsid w:val="007934E4"/>
    <w:rsid w:val="007A11A1"/>
    <w:rsid w:val="007A747A"/>
    <w:rsid w:val="007B5973"/>
    <w:rsid w:val="007B6878"/>
    <w:rsid w:val="007C5A9C"/>
    <w:rsid w:val="007C7E26"/>
    <w:rsid w:val="007D44C4"/>
    <w:rsid w:val="007E356E"/>
    <w:rsid w:val="007E5439"/>
    <w:rsid w:val="007E7C6C"/>
    <w:rsid w:val="007F1CA3"/>
    <w:rsid w:val="007F5954"/>
    <w:rsid w:val="007F6459"/>
    <w:rsid w:val="007F6BBB"/>
    <w:rsid w:val="00801037"/>
    <w:rsid w:val="008109B2"/>
    <w:rsid w:val="00812897"/>
    <w:rsid w:val="00814BD3"/>
    <w:rsid w:val="00820F13"/>
    <w:rsid w:val="008253DD"/>
    <w:rsid w:val="00826639"/>
    <w:rsid w:val="00826841"/>
    <w:rsid w:val="0082743B"/>
    <w:rsid w:val="0083063A"/>
    <w:rsid w:val="00835DB8"/>
    <w:rsid w:val="00841093"/>
    <w:rsid w:val="00844488"/>
    <w:rsid w:val="00844E55"/>
    <w:rsid w:val="0084510D"/>
    <w:rsid w:val="00850301"/>
    <w:rsid w:val="00852404"/>
    <w:rsid w:val="00862693"/>
    <w:rsid w:val="00862782"/>
    <w:rsid w:val="008939FA"/>
    <w:rsid w:val="00896744"/>
    <w:rsid w:val="008A323D"/>
    <w:rsid w:val="008A3C65"/>
    <w:rsid w:val="008A7E8F"/>
    <w:rsid w:val="008C4B5E"/>
    <w:rsid w:val="008C5D7F"/>
    <w:rsid w:val="008D1B25"/>
    <w:rsid w:val="008D4A4B"/>
    <w:rsid w:val="008D5C41"/>
    <w:rsid w:val="008E034E"/>
    <w:rsid w:val="008F1EF6"/>
    <w:rsid w:val="008F3453"/>
    <w:rsid w:val="00912934"/>
    <w:rsid w:val="0091441C"/>
    <w:rsid w:val="0091631B"/>
    <w:rsid w:val="009339F9"/>
    <w:rsid w:val="009346BA"/>
    <w:rsid w:val="009360F8"/>
    <w:rsid w:val="0094601E"/>
    <w:rsid w:val="0095063D"/>
    <w:rsid w:val="0095181E"/>
    <w:rsid w:val="00954604"/>
    <w:rsid w:val="0096240A"/>
    <w:rsid w:val="00967454"/>
    <w:rsid w:val="00967D75"/>
    <w:rsid w:val="00974747"/>
    <w:rsid w:val="00977EA4"/>
    <w:rsid w:val="00982732"/>
    <w:rsid w:val="00992181"/>
    <w:rsid w:val="00995668"/>
    <w:rsid w:val="009975E0"/>
    <w:rsid w:val="009A5C1E"/>
    <w:rsid w:val="009B3010"/>
    <w:rsid w:val="009B7B04"/>
    <w:rsid w:val="009C023C"/>
    <w:rsid w:val="009C4FFF"/>
    <w:rsid w:val="009D1503"/>
    <w:rsid w:val="009D758D"/>
    <w:rsid w:val="009E522E"/>
    <w:rsid w:val="009E7863"/>
    <w:rsid w:val="009F1A9C"/>
    <w:rsid w:val="009F5178"/>
    <w:rsid w:val="009F62E9"/>
    <w:rsid w:val="009F6555"/>
    <w:rsid w:val="00A01EC3"/>
    <w:rsid w:val="00A02DBC"/>
    <w:rsid w:val="00A063B5"/>
    <w:rsid w:val="00A07195"/>
    <w:rsid w:val="00A07C36"/>
    <w:rsid w:val="00A17512"/>
    <w:rsid w:val="00A20655"/>
    <w:rsid w:val="00A25870"/>
    <w:rsid w:val="00A274B4"/>
    <w:rsid w:val="00A432D3"/>
    <w:rsid w:val="00A47B23"/>
    <w:rsid w:val="00A62C9D"/>
    <w:rsid w:val="00A646B7"/>
    <w:rsid w:val="00A64CB9"/>
    <w:rsid w:val="00A658B5"/>
    <w:rsid w:val="00A66709"/>
    <w:rsid w:val="00A71155"/>
    <w:rsid w:val="00A7130D"/>
    <w:rsid w:val="00A7261E"/>
    <w:rsid w:val="00A80182"/>
    <w:rsid w:val="00A836A9"/>
    <w:rsid w:val="00A85FC2"/>
    <w:rsid w:val="00A8709E"/>
    <w:rsid w:val="00A878B9"/>
    <w:rsid w:val="00A94981"/>
    <w:rsid w:val="00A95CBA"/>
    <w:rsid w:val="00AA3C02"/>
    <w:rsid w:val="00AA68C9"/>
    <w:rsid w:val="00AB1E14"/>
    <w:rsid w:val="00AB5E1C"/>
    <w:rsid w:val="00AB7A1F"/>
    <w:rsid w:val="00AC1695"/>
    <w:rsid w:val="00AC4D63"/>
    <w:rsid w:val="00AD1380"/>
    <w:rsid w:val="00AD3198"/>
    <w:rsid w:val="00AD38CA"/>
    <w:rsid w:val="00AD718B"/>
    <w:rsid w:val="00AE2FEE"/>
    <w:rsid w:val="00AE64E1"/>
    <w:rsid w:val="00AF5DAF"/>
    <w:rsid w:val="00AF7EC4"/>
    <w:rsid w:val="00B0011E"/>
    <w:rsid w:val="00B11C24"/>
    <w:rsid w:val="00B22511"/>
    <w:rsid w:val="00B37E41"/>
    <w:rsid w:val="00B40D44"/>
    <w:rsid w:val="00B4316E"/>
    <w:rsid w:val="00B4681D"/>
    <w:rsid w:val="00B6436B"/>
    <w:rsid w:val="00B658DE"/>
    <w:rsid w:val="00B6718B"/>
    <w:rsid w:val="00B74105"/>
    <w:rsid w:val="00B75D40"/>
    <w:rsid w:val="00B77B76"/>
    <w:rsid w:val="00B851FB"/>
    <w:rsid w:val="00B9015F"/>
    <w:rsid w:val="00BB40C9"/>
    <w:rsid w:val="00BB4297"/>
    <w:rsid w:val="00BB4584"/>
    <w:rsid w:val="00BB5DD3"/>
    <w:rsid w:val="00BB6BFF"/>
    <w:rsid w:val="00BE381B"/>
    <w:rsid w:val="00BE5181"/>
    <w:rsid w:val="00BF158E"/>
    <w:rsid w:val="00BF496C"/>
    <w:rsid w:val="00BF6A5C"/>
    <w:rsid w:val="00C021F4"/>
    <w:rsid w:val="00C12C4C"/>
    <w:rsid w:val="00C20B46"/>
    <w:rsid w:val="00C20D50"/>
    <w:rsid w:val="00C30589"/>
    <w:rsid w:val="00C353EF"/>
    <w:rsid w:val="00C35D5B"/>
    <w:rsid w:val="00C36DC4"/>
    <w:rsid w:val="00C3710F"/>
    <w:rsid w:val="00C42466"/>
    <w:rsid w:val="00C51830"/>
    <w:rsid w:val="00C5573A"/>
    <w:rsid w:val="00C6590E"/>
    <w:rsid w:val="00C67419"/>
    <w:rsid w:val="00C747D4"/>
    <w:rsid w:val="00C96F75"/>
    <w:rsid w:val="00CA5071"/>
    <w:rsid w:val="00CB4929"/>
    <w:rsid w:val="00CB626F"/>
    <w:rsid w:val="00CC20E5"/>
    <w:rsid w:val="00CC5F17"/>
    <w:rsid w:val="00CD2FFB"/>
    <w:rsid w:val="00CE1B91"/>
    <w:rsid w:val="00CE2151"/>
    <w:rsid w:val="00CE516E"/>
    <w:rsid w:val="00CF04B4"/>
    <w:rsid w:val="00CF05DA"/>
    <w:rsid w:val="00CF6FF2"/>
    <w:rsid w:val="00D23E4D"/>
    <w:rsid w:val="00D24E0F"/>
    <w:rsid w:val="00D25A2B"/>
    <w:rsid w:val="00D47C20"/>
    <w:rsid w:val="00D51981"/>
    <w:rsid w:val="00D60E29"/>
    <w:rsid w:val="00D61745"/>
    <w:rsid w:val="00D617BA"/>
    <w:rsid w:val="00D61A76"/>
    <w:rsid w:val="00D65962"/>
    <w:rsid w:val="00D908C4"/>
    <w:rsid w:val="00D92FC7"/>
    <w:rsid w:val="00D95F33"/>
    <w:rsid w:val="00D96205"/>
    <w:rsid w:val="00D96552"/>
    <w:rsid w:val="00D96742"/>
    <w:rsid w:val="00D97A5D"/>
    <w:rsid w:val="00DB2E2B"/>
    <w:rsid w:val="00DB3227"/>
    <w:rsid w:val="00DB48E9"/>
    <w:rsid w:val="00DB5994"/>
    <w:rsid w:val="00DC1F7E"/>
    <w:rsid w:val="00DD440C"/>
    <w:rsid w:val="00DE75F6"/>
    <w:rsid w:val="00DF25E6"/>
    <w:rsid w:val="00E02198"/>
    <w:rsid w:val="00E149D3"/>
    <w:rsid w:val="00E20BC2"/>
    <w:rsid w:val="00E2283F"/>
    <w:rsid w:val="00E3148A"/>
    <w:rsid w:val="00E36865"/>
    <w:rsid w:val="00E44B0C"/>
    <w:rsid w:val="00E60606"/>
    <w:rsid w:val="00E66087"/>
    <w:rsid w:val="00E74195"/>
    <w:rsid w:val="00E75BE3"/>
    <w:rsid w:val="00E81C1A"/>
    <w:rsid w:val="00E97BCD"/>
    <w:rsid w:val="00EA0772"/>
    <w:rsid w:val="00EA11CA"/>
    <w:rsid w:val="00EA2ABF"/>
    <w:rsid w:val="00EA409B"/>
    <w:rsid w:val="00EB4916"/>
    <w:rsid w:val="00EC1998"/>
    <w:rsid w:val="00EC6410"/>
    <w:rsid w:val="00EC7061"/>
    <w:rsid w:val="00EC73E8"/>
    <w:rsid w:val="00ED7F77"/>
    <w:rsid w:val="00EE414F"/>
    <w:rsid w:val="00EF0971"/>
    <w:rsid w:val="00F025DE"/>
    <w:rsid w:val="00F064FA"/>
    <w:rsid w:val="00F132DD"/>
    <w:rsid w:val="00F23F71"/>
    <w:rsid w:val="00F32883"/>
    <w:rsid w:val="00F33D75"/>
    <w:rsid w:val="00F4124F"/>
    <w:rsid w:val="00F413A6"/>
    <w:rsid w:val="00F47FC8"/>
    <w:rsid w:val="00F55504"/>
    <w:rsid w:val="00F56E6B"/>
    <w:rsid w:val="00F664F5"/>
    <w:rsid w:val="00F748AB"/>
    <w:rsid w:val="00F76091"/>
    <w:rsid w:val="00F760BA"/>
    <w:rsid w:val="00F777A1"/>
    <w:rsid w:val="00F81D10"/>
    <w:rsid w:val="00F86BE4"/>
    <w:rsid w:val="00F91A61"/>
    <w:rsid w:val="00F977DB"/>
    <w:rsid w:val="00FB472B"/>
    <w:rsid w:val="00FC0A39"/>
    <w:rsid w:val="00FC600A"/>
    <w:rsid w:val="00FC783B"/>
    <w:rsid w:val="00FE4D1B"/>
    <w:rsid w:val="00FE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09F"/>
    <w:pPr>
      <w:widowControl w:val="0"/>
      <w:jc w:val="both"/>
    </w:pPr>
    <w:rPr>
      <w:kern w:val="2"/>
      <w:sz w:val="21"/>
      <w:szCs w:val="22"/>
    </w:rPr>
  </w:style>
  <w:style w:type="paragraph" w:styleId="1">
    <w:name w:val="heading 1"/>
    <w:basedOn w:val="a"/>
    <w:next w:val="a"/>
    <w:link w:val="1Char"/>
    <w:uiPriority w:val="9"/>
    <w:qFormat/>
    <w:rsid w:val="007579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5798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7579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B25"/>
    <w:rPr>
      <w:sz w:val="18"/>
      <w:szCs w:val="18"/>
    </w:rPr>
  </w:style>
  <w:style w:type="paragraph" w:styleId="a4">
    <w:name w:val="footer"/>
    <w:basedOn w:val="a"/>
    <w:link w:val="Char0"/>
    <w:uiPriority w:val="99"/>
    <w:unhideWhenUsed/>
    <w:rsid w:val="008D1B25"/>
    <w:pPr>
      <w:tabs>
        <w:tab w:val="center" w:pos="4153"/>
        <w:tab w:val="right" w:pos="8306"/>
      </w:tabs>
      <w:snapToGrid w:val="0"/>
      <w:jc w:val="left"/>
    </w:pPr>
    <w:rPr>
      <w:sz w:val="18"/>
      <w:szCs w:val="18"/>
    </w:rPr>
  </w:style>
  <w:style w:type="character" w:customStyle="1" w:styleId="Char0">
    <w:name w:val="页脚 Char"/>
    <w:basedOn w:val="a0"/>
    <w:link w:val="a4"/>
    <w:uiPriority w:val="99"/>
    <w:rsid w:val="008D1B25"/>
    <w:rPr>
      <w:sz w:val="18"/>
      <w:szCs w:val="18"/>
    </w:rPr>
  </w:style>
  <w:style w:type="paragraph" w:styleId="a5">
    <w:name w:val="List Paragraph"/>
    <w:basedOn w:val="a"/>
    <w:uiPriority w:val="34"/>
    <w:qFormat/>
    <w:rsid w:val="008D1B25"/>
    <w:pPr>
      <w:ind w:firstLineChars="200" w:firstLine="420"/>
    </w:pPr>
  </w:style>
  <w:style w:type="character" w:styleId="a6">
    <w:name w:val="Hyperlink"/>
    <w:basedOn w:val="a0"/>
    <w:rsid w:val="00896744"/>
    <w:rPr>
      <w:color w:val="0000FF"/>
      <w:u w:val="single"/>
    </w:rPr>
  </w:style>
  <w:style w:type="paragraph" w:styleId="a7">
    <w:name w:val="footnote text"/>
    <w:basedOn w:val="a"/>
    <w:link w:val="Char1"/>
    <w:uiPriority w:val="99"/>
    <w:semiHidden/>
    <w:unhideWhenUsed/>
    <w:rsid w:val="00896744"/>
    <w:pPr>
      <w:snapToGrid w:val="0"/>
      <w:jc w:val="left"/>
    </w:pPr>
    <w:rPr>
      <w:sz w:val="18"/>
      <w:szCs w:val="18"/>
    </w:rPr>
  </w:style>
  <w:style w:type="character" w:customStyle="1" w:styleId="Char1">
    <w:name w:val="脚注文本 Char"/>
    <w:basedOn w:val="a0"/>
    <w:link w:val="a7"/>
    <w:uiPriority w:val="99"/>
    <w:semiHidden/>
    <w:rsid w:val="00896744"/>
    <w:rPr>
      <w:sz w:val="18"/>
      <w:szCs w:val="18"/>
    </w:rPr>
  </w:style>
  <w:style w:type="character" w:styleId="a8">
    <w:name w:val="footnote reference"/>
    <w:basedOn w:val="a0"/>
    <w:uiPriority w:val="99"/>
    <w:semiHidden/>
    <w:unhideWhenUsed/>
    <w:rsid w:val="00896744"/>
    <w:rPr>
      <w:vertAlign w:val="superscript"/>
    </w:rPr>
  </w:style>
  <w:style w:type="paragraph" w:styleId="a9">
    <w:name w:val="Balloon Text"/>
    <w:basedOn w:val="a"/>
    <w:link w:val="Char2"/>
    <w:uiPriority w:val="99"/>
    <w:semiHidden/>
    <w:unhideWhenUsed/>
    <w:rsid w:val="00B658DE"/>
    <w:rPr>
      <w:sz w:val="18"/>
      <w:szCs w:val="18"/>
    </w:rPr>
  </w:style>
  <w:style w:type="character" w:customStyle="1" w:styleId="Char2">
    <w:name w:val="批注框文本 Char"/>
    <w:basedOn w:val="a0"/>
    <w:link w:val="a9"/>
    <w:uiPriority w:val="99"/>
    <w:semiHidden/>
    <w:rsid w:val="00B658DE"/>
    <w:rPr>
      <w:sz w:val="18"/>
      <w:szCs w:val="18"/>
    </w:rPr>
  </w:style>
  <w:style w:type="character" w:customStyle="1" w:styleId="1Char">
    <w:name w:val="标题 1 Char"/>
    <w:basedOn w:val="a0"/>
    <w:link w:val="1"/>
    <w:uiPriority w:val="9"/>
    <w:rsid w:val="00757983"/>
    <w:rPr>
      <w:rFonts w:ascii="Calibri" w:eastAsia="宋体" w:hAnsi="Calibri" w:cs="Times New Roman"/>
      <w:b/>
      <w:bCs/>
      <w:kern w:val="44"/>
      <w:sz w:val="44"/>
      <w:szCs w:val="44"/>
    </w:rPr>
  </w:style>
  <w:style w:type="character" w:customStyle="1" w:styleId="2Char">
    <w:name w:val="标题 2 Char"/>
    <w:basedOn w:val="a0"/>
    <w:link w:val="2"/>
    <w:uiPriority w:val="9"/>
    <w:rsid w:val="00757983"/>
    <w:rPr>
      <w:rFonts w:ascii="Cambria" w:eastAsia="宋体" w:hAnsi="Cambria" w:cs="Times New Roman"/>
      <w:b/>
      <w:bCs/>
      <w:kern w:val="2"/>
      <w:sz w:val="32"/>
      <w:szCs w:val="32"/>
    </w:rPr>
  </w:style>
  <w:style w:type="character" w:customStyle="1" w:styleId="3Char">
    <w:name w:val="标题 3 Char"/>
    <w:basedOn w:val="a0"/>
    <w:link w:val="3"/>
    <w:uiPriority w:val="9"/>
    <w:rsid w:val="00757983"/>
    <w:rPr>
      <w:rFonts w:ascii="Calibri" w:eastAsia="宋体" w:hAnsi="Calibri" w:cs="Times New Roman"/>
      <w:b/>
      <w:bCs/>
      <w:kern w:val="2"/>
      <w:sz w:val="32"/>
      <w:szCs w:val="32"/>
    </w:rPr>
  </w:style>
  <w:style w:type="paragraph" w:customStyle="1" w:styleId="p0">
    <w:name w:val="p0"/>
    <w:basedOn w:val="a"/>
    <w:rsid w:val="00757983"/>
    <w:pPr>
      <w:widowControl/>
      <w:spacing w:before="312"/>
    </w:pPr>
    <w:rPr>
      <w:rFonts w:cs="Calibri"/>
      <w:kern w:val="0"/>
      <w:szCs w:val="21"/>
    </w:rPr>
  </w:style>
  <w:style w:type="paragraph" w:styleId="TOC">
    <w:name w:val="TOC Heading"/>
    <w:basedOn w:val="1"/>
    <w:next w:val="a"/>
    <w:uiPriority w:val="39"/>
    <w:semiHidden/>
    <w:unhideWhenUsed/>
    <w:qFormat/>
    <w:rsid w:val="00757983"/>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757983"/>
  </w:style>
  <w:style w:type="paragraph" w:styleId="20">
    <w:name w:val="toc 2"/>
    <w:basedOn w:val="a"/>
    <w:next w:val="a"/>
    <w:autoRedefine/>
    <w:uiPriority w:val="39"/>
    <w:unhideWhenUsed/>
    <w:rsid w:val="00757983"/>
    <w:pPr>
      <w:ind w:leftChars="200" w:left="420"/>
    </w:pPr>
  </w:style>
  <w:style w:type="paragraph" w:styleId="30">
    <w:name w:val="toc 3"/>
    <w:basedOn w:val="a"/>
    <w:next w:val="a"/>
    <w:autoRedefine/>
    <w:uiPriority w:val="39"/>
    <w:unhideWhenUsed/>
    <w:rsid w:val="00757983"/>
    <w:pPr>
      <w:ind w:leftChars="400" w:left="840"/>
    </w:pPr>
  </w:style>
  <w:style w:type="paragraph" w:styleId="aa">
    <w:name w:val="Salutation"/>
    <w:basedOn w:val="a"/>
    <w:next w:val="a"/>
    <w:link w:val="Char3"/>
    <w:rsid w:val="00477734"/>
    <w:rPr>
      <w:rFonts w:ascii="Verdana" w:hAnsi="Verdana" w:cs="宋体"/>
      <w:color w:val="000000"/>
      <w:kern w:val="0"/>
      <w:sz w:val="24"/>
      <w:szCs w:val="24"/>
    </w:rPr>
  </w:style>
  <w:style w:type="character" w:customStyle="1" w:styleId="Char3">
    <w:name w:val="称呼 Char"/>
    <w:basedOn w:val="a0"/>
    <w:link w:val="aa"/>
    <w:rsid w:val="00477734"/>
    <w:rPr>
      <w:rFonts w:ascii="Verdana" w:hAnsi="Verdana" w:cs="宋体"/>
      <w:color w:val="000000"/>
      <w:sz w:val="24"/>
      <w:szCs w:val="24"/>
    </w:rPr>
  </w:style>
  <w:style w:type="paragraph" w:styleId="ab">
    <w:name w:val="Closing"/>
    <w:basedOn w:val="a"/>
    <w:link w:val="Char4"/>
    <w:rsid w:val="00477734"/>
    <w:pPr>
      <w:ind w:leftChars="2100" w:left="100"/>
    </w:pPr>
    <w:rPr>
      <w:rFonts w:ascii="Verdana" w:hAnsi="Verdana" w:cs="宋体"/>
      <w:color w:val="000000"/>
      <w:kern w:val="0"/>
      <w:sz w:val="24"/>
      <w:szCs w:val="24"/>
    </w:rPr>
  </w:style>
  <w:style w:type="character" w:customStyle="1" w:styleId="Char4">
    <w:name w:val="结束语 Char"/>
    <w:basedOn w:val="a0"/>
    <w:link w:val="ab"/>
    <w:rsid w:val="00477734"/>
    <w:rPr>
      <w:rFonts w:ascii="Verdana" w:hAnsi="Verdana" w:cs="宋体"/>
      <w:color w:val="000000"/>
      <w:sz w:val="24"/>
      <w:szCs w:val="24"/>
    </w:rPr>
  </w:style>
  <w:style w:type="paragraph" w:styleId="ac">
    <w:name w:val="Plain Text"/>
    <w:basedOn w:val="a"/>
    <w:link w:val="Char5"/>
    <w:uiPriority w:val="99"/>
    <w:rsid w:val="00AE2FEE"/>
    <w:rPr>
      <w:rFonts w:ascii="宋体" w:hAnsi="Courier New"/>
      <w:szCs w:val="20"/>
    </w:rPr>
  </w:style>
  <w:style w:type="character" w:customStyle="1" w:styleId="Char5">
    <w:name w:val="纯文本 Char"/>
    <w:basedOn w:val="a0"/>
    <w:link w:val="ac"/>
    <w:uiPriority w:val="99"/>
    <w:rsid w:val="00AE2FEE"/>
    <w:rPr>
      <w:rFonts w:ascii="宋体" w:hAnsi="Courier New"/>
      <w:kern w:val="2"/>
      <w:sz w:val="21"/>
    </w:rPr>
  </w:style>
  <w:style w:type="paragraph" w:styleId="ad">
    <w:name w:val="Normal (Web)"/>
    <w:basedOn w:val="a"/>
    <w:semiHidden/>
    <w:unhideWhenUsed/>
    <w:rsid w:val="003435AA"/>
    <w:pPr>
      <w:spacing w:before="100" w:beforeAutospacing="1" w:after="100" w:afterAutospacing="1"/>
      <w:jc w:val="left"/>
    </w:pPr>
    <w:rPr>
      <w:rFonts w:cs="Calibri"/>
      <w:kern w:val="0"/>
      <w:sz w:val="24"/>
      <w:szCs w:val="24"/>
    </w:rPr>
  </w:style>
  <w:style w:type="character" w:styleId="ae">
    <w:name w:val="Strong"/>
    <w:basedOn w:val="a0"/>
    <w:uiPriority w:val="99"/>
    <w:qFormat/>
    <w:rsid w:val="003435AA"/>
    <w:rPr>
      <w:b/>
      <w:bCs/>
    </w:rPr>
  </w:style>
  <w:style w:type="paragraph" w:customStyle="1" w:styleId="af">
    <w:name w:val="发文格式"/>
    <w:basedOn w:val="a"/>
    <w:rsid w:val="00D25A2B"/>
    <w:pPr>
      <w:spacing w:line="460" w:lineRule="exact"/>
      <w:ind w:firstLineChars="225" w:firstLine="540"/>
    </w:pPr>
    <w:rPr>
      <w:rFonts w:ascii="仿宋_GB2312" w:eastAsia="仿宋_GB2312"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45923">
      <w:bodyDiv w:val="1"/>
      <w:marLeft w:val="0"/>
      <w:marRight w:val="0"/>
      <w:marTop w:val="0"/>
      <w:marBottom w:val="0"/>
      <w:divBdr>
        <w:top w:val="none" w:sz="0" w:space="0" w:color="auto"/>
        <w:left w:val="none" w:sz="0" w:space="0" w:color="auto"/>
        <w:bottom w:val="none" w:sz="0" w:space="0" w:color="auto"/>
        <w:right w:val="none" w:sz="0" w:space="0" w:color="auto"/>
      </w:divBdr>
    </w:div>
    <w:div w:id="67385403">
      <w:bodyDiv w:val="1"/>
      <w:marLeft w:val="0"/>
      <w:marRight w:val="0"/>
      <w:marTop w:val="0"/>
      <w:marBottom w:val="0"/>
      <w:divBdr>
        <w:top w:val="none" w:sz="0" w:space="0" w:color="auto"/>
        <w:left w:val="none" w:sz="0" w:space="0" w:color="auto"/>
        <w:bottom w:val="none" w:sz="0" w:space="0" w:color="auto"/>
        <w:right w:val="none" w:sz="0" w:space="0" w:color="auto"/>
      </w:divBdr>
    </w:div>
    <w:div w:id="83578599">
      <w:bodyDiv w:val="1"/>
      <w:marLeft w:val="0"/>
      <w:marRight w:val="0"/>
      <w:marTop w:val="0"/>
      <w:marBottom w:val="0"/>
      <w:divBdr>
        <w:top w:val="none" w:sz="0" w:space="0" w:color="auto"/>
        <w:left w:val="none" w:sz="0" w:space="0" w:color="auto"/>
        <w:bottom w:val="none" w:sz="0" w:space="0" w:color="auto"/>
        <w:right w:val="none" w:sz="0" w:space="0" w:color="auto"/>
      </w:divBdr>
    </w:div>
    <w:div w:id="182012421">
      <w:bodyDiv w:val="1"/>
      <w:marLeft w:val="0"/>
      <w:marRight w:val="0"/>
      <w:marTop w:val="0"/>
      <w:marBottom w:val="0"/>
      <w:divBdr>
        <w:top w:val="none" w:sz="0" w:space="0" w:color="auto"/>
        <w:left w:val="none" w:sz="0" w:space="0" w:color="auto"/>
        <w:bottom w:val="none" w:sz="0" w:space="0" w:color="auto"/>
        <w:right w:val="none" w:sz="0" w:space="0" w:color="auto"/>
      </w:divBdr>
    </w:div>
    <w:div w:id="192887273">
      <w:bodyDiv w:val="1"/>
      <w:marLeft w:val="0"/>
      <w:marRight w:val="0"/>
      <w:marTop w:val="0"/>
      <w:marBottom w:val="0"/>
      <w:divBdr>
        <w:top w:val="none" w:sz="0" w:space="0" w:color="auto"/>
        <w:left w:val="none" w:sz="0" w:space="0" w:color="auto"/>
        <w:bottom w:val="none" w:sz="0" w:space="0" w:color="auto"/>
        <w:right w:val="none" w:sz="0" w:space="0" w:color="auto"/>
      </w:divBdr>
    </w:div>
    <w:div w:id="251663850">
      <w:bodyDiv w:val="1"/>
      <w:marLeft w:val="0"/>
      <w:marRight w:val="0"/>
      <w:marTop w:val="0"/>
      <w:marBottom w:val="0"/>
      <w:divBdr>
        <w:top w:val="none" w:sz="0" w:space="0" w:color="auto"/>
        <w:left w:val="none" w:sz="0" w:space="0" w:color="auto"/>
        <w:bottom w:val="none" w:sz="0" w:space="0" w:color="auto"/>
        <w:right w:val="none" w:sz="0" w:space="0" w:color="auto"/>
      </w:divBdr>
    </w:div>
    <w:div w:id="273026824">
      <w:bodyDiv w:val="1"/>
      <w:marLeft w:val="0"/>
      <w:marRight w:val="0"/>
      <w:marTop w:val="0"/>
      <w:marBottom w:val="0"/>
      <w:divBdr>
        <w:top w:val="none" w:sz="0" w:space="0" w:color="auto"/>
        <w:left w:val="none" w:sz="0" w:space="0" w:color="auto"/>
        <w:bottom w:val="none" w:sz="0" w:space="0" w:color="auto"/>
        <w:right w:val="none" w:sz="0" w:space="0" w:color="auto"/>
      </w:divBdr>
    </w:div>
    <w:div w:id="296450688">
      <w:bodyDiv w:val="1"/>
      <w:marLeft w:val="0"/>
      <w:marRight w:val="0"/>
      <w:marTop w:val="0"/>
      <w:marBottom w:val="0"/>
      <w:divBdr>
        <w:top w:val="none" w:sz="0" w:space="0" w:color="auto"/>
        <w:left w:val="none" w:sz="0" w:space="0" w:color="auto"/>
        <w:bottom w:val="none" w:sz="0" w:space="0" w:color="auto"/>
        <w:right w:val="none" w:sz="0" w:space="0" w:color="auto"/>
      </w:divBdr>
    </w:div>
    <w:div w:id="402728283">
      <w:bodyDiv w:val="1"/>
      <w:marLeft w:val="0"/>
      <w:marRight w:val="0"/>
      <w:marTop w:val="0"/>
      <w:marBottom w:val="0"/>
      <w:divBdr>
        <w:top w:val="none" w:sz="0" w:space="0" w:color="auto"/>
        <w:left w:val="none" w:sz="0" w:space="0" w:color="auto"/>
        <w:bottom w:val="none" w:sz="0" w:space="0" w:color="auto"/>
        <w:right w:val="none" w:sz="0" w:space="0" w:color="auto"/>
      </w:divBdr>
      <w:divsChild>
        <w:div w:id="400493983">
          <w:marLeft w:val="0"/>
          <w:marRight w:val="0"/>
          <w:marTop w:val="0"/>
          <w:marBottom w:val="0"/>
          <w:divBdr>
            <w:top w:val="none" w:sz="0" w:space="0" w:color="auto"/>
            <w:left w:val="none" w:sz="0" w:space="0" w:color="auto"/>
            <w:bottom w:val="none" w:sz="0" w:space="0" w:color="auto"/>
            <w:right w:val="none" w:sz="0" w:space="0" w:color="auto"/>
          </w:divBdr>
          <w:divsChild>
            <w:div w:id="572079899">
              <w:marLeft w:val="0"/>
              <w:marRight w:val="0"/>
              <w:marTop w:val="0"/>
              <w:marBottom w:val="0"/>
              <w:divBdr>
                <w:top w:val="none" w:sz="0" w:space="0" w:color="auto"/>
                <w:left w:val="none" w:sz="0" w:space="0" w:color="auto"/>
                <w:bottom w:val="none" w:sz="0" w:space="0" w:color="auto"/>
                <w:right w:val="none" w:sz="0" w:space="0" w:color="auto"/>
              </w:divBdr>
              <w:divsChild>
                <w:div w:id="1201896020">
                  <w:marLeft w:val="0"/>
                  <w:marRight w:val="0"/>
                  <w:marTop w:val="0"/>
                  <w:marBottom w:val="0"/>
                  <w:divBdr>
                    <w:top w:val="none" w:sz="0" w:space="0" w:color="auto"/>
                    <w:left w:val="none" w:sz="0" w:space="0" w:color="auto"/>
                    <w:bottom w:val="none" w:sz="0" w:space="0" w:color="auto"/>
                    <w:right w:val="none" w:sz="0" w:space="0" w:color="auto"/>
                  </w:divBdr>
                  <w:divsChild>
                    <w:div w:id="1215699655">
                      <w:marLeft w:val="0"/>
                      <w:marRight w:val="0"/>
                      <w:marTop w:val="0"/>
                      <w:marBottom w:val="0"/>
                      <w:divBdr>
                        <w:top w:val="none" w:sz="0" w:space="0" w:color="auto"/>
                        <w:left w:val="none" w:sz="0" w:space="0" w:color="auto"/>
                        <w:bottom w:val="none" w:sz="0" w:space="0" w:color="auto"/>
                        <w:right w:val="none" w:sz="0" w:space="0" w:color="auto"/>
                      </w:divBdr>
                      <w:divsChild>
                        <w:div w:id="1333068702">
                          <w:marLeft w:val="0"/>
                          <w:marRight w:val="0"/>
                          <w:marTop w:val="0"/>
                          <w:marBottom w:val="0"/>
                          <w:divBdr>
                            <w:top w:val="none" w:sz="0" w:space="0" w:color="auto"/>
                            <w:left w:val="none" w:sz="0" w:space="0" w:color="auto"/>
                            <w:bottom w:val="none" w:sz="0" w:space="0" w:color="auto"/>
                            <w:right w:val="none" w:sz="0" w:space="0" w:color="auto"/>
                          </w:divBdr>
                          <w:divsChild>
                            <w:div w:id="1235896504">
                              <w:marLeft w:val="0"/>
                              <w:marRight w:val="0"/>
                              <w:marTop w:val="0"/>
                              <w:marBottom w:val="0"/>
                              <w:divBdr>
                                <w:top w:val="none" w:sz="0" w:space="0" w:color="auto"/>
                                <w:left w:val="none" w:sz="0" w:space="0" w:color="auto"/>
                                <w:bottom w:val="none" w:sz="0" w:space="0" w:color="auto"/>
                                <w:right w:val="none" w:sz="0" w:space="0" w:color="auto"/>
                              </w:divBdr>
                              <w:divsChild>
                                <w:div w:id="332876784">
                                  <w:marLeft w:val="0"/>
                                  <w:marRight w:val="0"/>
                                  <w:marTop w:val="0"/>
                                  <w:marBottom w:val="0"/>
                                  <w:divBdr>
                                    <w:top w:val="none" w:sz="0" w:space="0" w:color="auto"/>
                                    <w:left w:val="none" w:sz="0" w:space="0" w:color="auto"/>
                                    <w:bottom w:val="none" w:sz="0" w:space="0" w:color="auto"/>
                                    <w:right w:val="none" w:sz="0" w:space="0" w:color="auto"/>
                                  </w:divBdr>
                                  <w:divsChild>
                                    <w:div w:id="257913187">
                                      <w:marLeft w:val="0"/>
                                      <w:marRight w:val="0"/>
                                      <w:marTop w:val="0"/>
                                      <w:marBottom w:val="0"/>
                                      <w:divBdr>
                                        <w:top w:val="none" w:sz="0" w:space="0" w:color="auto"/>
                                        <w:left w:val="none" w:sz="0" w:space="0" w:color="auto"/>
                                        <w:bottom w:val="none" w:sz="0" w:space="0" w:color="auto"/>
                                        <w:right w:val="none" w:sz="0" w:space="0" w:color="auto"/>
                                      </w:divBdr>
                                      <w:divsChild>
                                        <w:div w:id="722828173">
                                          <w:marLeft w:val="75"/>
                                          <w:marRight w:val="75"/>
                                          <w:marTop w:val="0"/>
                                          <w:marBottom w:val="0"/>
                                          <w:divBdr>
                                            <w:top w:val="none" w:sz="0" w:space="0" w:color="auto"/>
                                            <w:left w:val="none" w:sz="0" w:space="0" w:color="auto"/>
                                            <w:bottom w:val="none" w:sz="0" w:space="0" w:color="auto"/>
                                            <w:right w:val="none" w:sz="0" w:space="0" w:color="auto"/>
                                          </w:divBdr>
                                          <w:divsChild>
                                            <w:div w:id="483161738">
                                              <w:marLeft w:val="0"/>
                                              <w:marRight w:val="0"/>
                                              <w:marTop w:val="60"/>
                                              <w:marBottom w:val="0"/>
                                              <w:divBdr>
                                                <w:top w:val="none" w:sz="0" w:space="0" w:color="auto"/>
                                                <w:left w:val="none" w:sz="0" w:space="0" w:color="auto"/>
                                                <w:bottom w:val="none" w:sz="0" w:space="0" w:color="auto"/>
                                                <w:right w:val="none" w:sz="0" w:space="0" w:color="auto"/>
                                              </w:divBdr>
                                              <w:divsChild>
                                                <w:div w:id="473915873">
                                                  <w:marLeft w:val="0"/>
                                                  <w:marRight w:val="0"/>
                                                  <w:marTop w:val="0"/>
                                                  <w:marBottom w:val="0"/>
                                                  <w:divBdr>
                                                    <w:top w:val="none" w:sz="0" w:space="0" w:color="auto"/>
                                                    <w:left w:val="none" w:sz="0" w:space="0" w:color="auto"/>
                                                    <w:bottom w:val="none" w:sz="0" w:space="0" w:color="auto"/>
                                                    <w:right w:val="none" w:sz="0" w:space="0" w:color="auto"/>
                                                  </w:divBdr>
                                                  <w:divsChild>
                                                    <w:div w:id="768042639">
                                                      <w:marLeft w:val="195"/>
                                                      <w:marRight w:val="195"/>
                                                      <w:marTop w:val="0"/>
                                                      <w:marBottom w:val="0"/>
                                                      <w:divBdr>
                                                        <w:top w:val="none" w:sz="0" w:space="0" w:color="auto"/>
                                                        <w:left w:val="none" w:sz="0" w:space="0" w:color="auto"/>
                                                        <w:bottom w:val="none" w:sz="0" w:space="0" w:color="auto"/>
                                                        <w:right w:val="none" w:sz="0" w:space="0" w:color="auto"/>
                                                      </w:divBdr>
                                                      <w:divsChild>
                                                        <w:div w:id="1157497771">
                                                          <w:marLeft w:val="0"/>
                                                          <w:marRight w:val="0"/>
                                                          <w:marTop w:val="0"/>
                                                          <w:marBottom w:val="0"/>
                                                          <w:divBdr>
                                                            <w:top w:val="none" w:sz="0" w:space="0" w:color="auto"/>
                                                            <w:left w:val="none" w:sz="0" w:space="0" w:color="auto"/>
                                                            <w:bottom w:val="none" w:sz="0" w:space="0" w:color="auto"/>
                                                            <w:right w:val="none" w:sz="0" w:space="0" w:color="auto"/>
                                                          </w:divBdr>
                                                          <w:divsChild>
                                                            <w:div w:id="846676231">
                                                              <w:marLeft w:val="0"/>
                                                              <w:marRight w:val="0"/>
                                                              <w:marTop w:val="0"/>
                                                              <w:marBottom w:val="0"/>
                                                              <w:divBdr>
                                                                <w:top w:val="none" w:sz="0" w:space="0" w:color="auto"/>
                                                                <w:left w:val="none" w:sz="0" w:space="0" w:color="auto"/>
                                                                <w:bottom w:val="none" w:sz="0" w:space="0" w:color="auto"/>
                                                                <w:right w:val="none" w:sz="0" w:space="0" w:color="auto"/>
                                                              </w:divBdr>
                                                              <w:divsChild>
                                                                <w:div w:id="1601600575">
                                                                  <w:marLeft w:val="0"/>
                                                                  <w:marRight w:val="0"/>
                                                                  <w:marTop w:val="0"/>
                                                                  <w:marBottom w:val="0"/>
                                                                  <w:divBdr>
                                                                    <w:top w:val="none" w:sz="0" w:space="0" w:color="auto"/>
                                                                    <w:left w:val="none" w:sz="0" w:space="0" w:color="auto"/>
                                                                    <w:bottom w:val="none" w:sz="0" w:space="0" w:color="auto"/>
                                                                    <w:right w:val="none" w:sz="0" w:space="0" w:color="auto"/>
                                                                  </w:divBdr>
                                                                  <w:divsChild>
                                                                    <w:div w:id="584152905">
                                                                      <w:marLeft w:val="0"/>
                                                                      <w:marRight w:val="0"/>
                                                                      <w:marTop w:val="0"/>
                                                                      <w:marBottom w:val="0"/>
                                                                      <w:divBdr>
                                                                        <w:top w:val="none" w:sz="0" w:space="0" w:color="auto"/>
                                                                        <w:left w:val="none" w:sz="0" w:space="0" w:color="auto"/>
                                                                        <w:bottom w:val="none" w:sz="0" w:space="0" w:color="auto"/>
                                                                        <w:right w:val="none" w:sz="0" w:space="0" w:color="auto"/>
                                                                      </w:divBdr>
                                                                      <w:divsChild>
                                                                        <w:div w:id="616914958">
                                                                          <w:marLeft w:val="0"/>
                                                                          <w:marRight w:val="0"/>
                                                                          <w:marTop w:val="0"/>
                                                                          <w:marBottom w:val="0"/>
                                                                          <w:divBdr>
                                                                            <w:top w:val="none" w:sz="0" w:space="0" w:color="auto"/>
                                                                            <w:left w:val="none" w:sz="0" w:space="0" w:color="auto"/>
                                                                            <w:bottom w:val="none" w:sz="0" w:space="0" w:color="auto"/>
                                                                            <w:right w:val="none" w:sz="0" w:space="0" w:color="auto"/>
                                                                          </w:divBdr>
                                                                          <w:divsChild>
                                                                            <w:div w:id="594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549728">
      <w:bodyDiv w:val="1"/>
      <w:marLeft w:val="0"/>
      <w:marRight w:val="0"/>
      <w:marTop w:val="0"/>
      <w:marBottom w:val="0"/>
      <w:divBdr>
        <w:top w:val="none" w:sz="0" w:space="0" w:color="auto"/>
        <w:left w:val="none" w:sz="0" w:space="0" w:color="auto"/>
        <w:bottom w:val="none" w:sz="0" w:space="0" w:color="auto"/>
        <w:right w:val="none" w:sz="0" w:space="0" w:color="auto"/>
      </w:divBdr>
    </w:div>
    <w:div w:id="734350707">
      <w:bodyDiv w:val="1"/>
      <w:marLeft w:val="0"/>
      <w:marRight w:val="0"/>
      <w:marTop w:val="0"/>
      <w:marBottom w:val="0"/>
      <w:divBdr>
        <w:top w:val="none" w:sz="0" w:space="0" w:color="auto"/>
        <w:left w:val="none" w:sz="0" w:space="0" w:color="auto"/>
        <w:bottom w:val="none" w:sz="0" w:space="0" w:color="auto"/>
        <w:right w:val="none" w:sz="0" w:space="0" w:color="auto"/>
      </w:divBdr>
    </w:div>
    <w:div w:id="758018444">
      <w:bodyDiv w:val="1"/>
      <w:marLeft w:val="0"/>
      <w:marRight w:val="0"/>
      <w:marTop w:val="0"/>
      <w:marBottom w:val="0"/>
      <w:divBdr>
        <w:top w:val="none" w:sz="0" w:space="0" w:color="auto"/>
        <w:left w:val="none" w:sz="0" w:space="0" w:color="auto"/>
        <w:bottom w:val="none" w:sz="0" w:space="0" w:color="auto"/>
        <w:right w:val="none" w:sz="0" w:space="0" w:color="auto"/>
      </w:divBdr>
    </w:div>
    <w:div w:id="826827296">
      <w:bodyDiv w:val="1"/>
      <w:marLeft w:val="0"/>
      <w:marRight w:val="0"/>
      <w:marTop w:val="0"/>
      <w:marBottom w:val="0"/>
      <w:divBdr>
        <w:top w:val="none" w:sz="0" w:space="0" w:color="auto"/>
        <w:left w:val="none" w:sz="0" w:space="0" w:color="auto"/>
        <w:bottom w:val="none" w:sz="0" w:space="0" w:color="auto"/>
        <w:right w:val="none" w:sz="0" w:space="0" w:color="auto"/>
      </w:divBdr>
    </w:div>
    <w:div w:id="1282225816">
      <w:bodyDiv w:val="1"/>
      <w:marLeft w:val="0"/>
      <w:marRight w:val="0"/>
      <w:marTop w:val="0"/>
      <w:marBottom w:val="0"/>
      <w:divBdr>
        <w:top w:val="none" w:sz="0" w:space="0" w:color="auto"/>
        <w:left w:val="none" w:sz="0" w:space="0" w:color="auto"/>
        <w:bottom w:val="none" w:sz="0" w:space="0" w:color="auto"/>
        <w:right w:val="none" w:sz="0" w:space="0" w:color="auto"/>
      </w:divBdr>
    </w:div>
    <w:div w:id="1285773733">
      <w:bodyDiv w:val="1"/>
      <w:marLeft w:val="0"/>
      <w:marRight w:val="0"/>
      <w:marTop w:val="0"/>
      <w:marBottom w:val="0"/>
      <w:divBdr>
        <w:top w:val="none" w:sz="0" w:space="0" w:color="auto"/>
        <w:left w:val="none" w:sz="0" w:space="0" w:color="auto"/>
        <w:bottom w:val="none" w:sz="0" w:space="0" w:color="auto"/>
        <w:right w:val="none" w:sz="0" w:space="0" w:color="auto"/>
      </w:divBdr>
    </w:div>
    <w:div w:id="1366062586">
      <w:bodyDiv w:val="1"/>
      <w:marLeft w:val="0"/>
      <w:marRight w:val="0"/>
      <w:marTop w:val="0"/>
      <w:marBottom w:val="0"/>
      <w:divBdr>
        <w:top w:val="none" w:sz="0" w:space="0" w:color="auto"/>
        <w:left w:val="none" w:sz="0" w:space="0" w:color="auto"/>
        <w:bottom w:val="none" w:sz="0" w:space="0" w:color="auto"/>
        <w:right w:val="none" w:sz="0" w:space="0" w:color="auto"/>
      </w:divBdr>
    </w:div>
    <w:div w:id="1572616438">
      <w:bodyDiv w:val="1"/>
      <w:marLeft w:val="0"/>
      <w:marRight w:val="0"/>
      <w:marTop w:val="0"/>
      <w:marBottom w:val="0"/>
      <w:divBdr>
        <w:top w:val="none" w:sz="0" w:space="0" w:color="auto"/>
        <w:left w:val="none" w:sz="0" w:space="0" w:color="auto"/>
        <w:bottom w:val="none" w:sz="0" w:space="0" w:color="auto"/>
        <w:right w:val="none" w:sz="0" w:space="0" w:color="auto"/>
      </w:divBdr>
    </w:div>
    <w:div w:id="1760710111">
      <w:bodyDiv w:val="1"/>
      <w:marLeft w:val="0"/>
      <w:marRight w:val="0"/>
      <w:marTop w:val="0"/>
      <w:marBottom w:val="0"/>
      <w:divBdr>
        <w:top w:val="none" w:sz="0" w:space="0" w:color="auto"/>
        <w:left w:val="none" w:sz="0" w:space="0" w:color="auto"/>
        <w:bottom w:val="none" w:sz="0" w:space="0" w:color="auto"/>
        <w:right w:val="none" w:sz="0" w:space="0" w:color="auto"/>
      </w:divBdr>
      <w:divsChild>
        <w:div w:id="855269822">
          <w:marLeft w:val="0"/>
          <w:marRight w:val="0"/>
          <w:marTop w:val="0"/>
          <w:marBottom w:val="0"/>
          <w:divBdr>
            <w:top w:val="none" w:sz="0" w:space="0" w:color="auto"/>
            <w:left w:val="none" w:sz="0" w:space="0" w:color="auto"/>
            <w:bottom w:val="none" w:sz="0" w:space="0" w:color="auto"/>
            <w:right w:val="none" w:sz="0" w:space="0" w:color="auto"/>
          </w:divBdr>
          <w:divsChild>
            <w:div w:id="1599605502">
              <w:marLeft w:val="0"/>
              <w:marRight w:val="0"/>
              <w:marTop w:val="0"/>
              <w:marBottom w:val="0"/>
              <w:divBdr>
                <w:top w:val="none" w:sz="0" w:space="0" w:color="auto"/>
                <w:left w:val="none" w:sz="0" w:space="0" w:color="auto"/>
                <w:bottom w:val="none" w:sz="0" w:space="0" w:color="auto"/>
                <w:right w:val="none" w:sz="0" w:space="0" w:color="auto"/>
              </w:divBdr>
              <w:divsChild>
                <w:div w:id="1665738971">
                  <w:marLeft w:val="0"/>
                  <w:marRight w:val="0"/>
                  <w:marTop w:val="0"/>
                  <w:marBottom w:val="0"/>
                  <w:divBdr>
                    <w:top w:val="none" w:sz="0" w:space="0" w:color="auto"/>
                    <w:left w:val="none" w:sz="0" w:space="0" w:color="auto"/>
                    <w:bottom w:val="none" w:sz="0" w:space="0" w:color="auto"/>
                    <w:right w:val="none" w:sz="0" w:space="0" w:color="auto"/>
                  </w:divBdr>
                  <w:divsChild>
                    <w:div w:id="1973779824">
                      <w:marLeft w:val="0"/>
                      <w:marRight w:val="0"/>
                      <w:marTop w:val="0"/>
                      <w:marBottom w:val="0"/>
                      <w:divBdr>
                        <w:top w:val="none" w:sz="0" w:space="0" w:color="auto"/>
                        <w:left w:val="none" w:sz="0" w:space="0" w:color="auto"/>
                        <w:bottom w:val="none" w:sz="0" w:space="0" w:color="auto"/>
                        <w:right w:val="none" w:sz="0" w:space="0" w:color="auto"/>
                      </w:divBdr>
                      <w:divsChild>
                        <w:div w:id="1792047262">
                          <w:marLeft w:val="0"/>
                          <w:marRight w:val="0"/>
                          <w:marTop w:val="0"/>
                          <w:marBottom w:val="0"/>
                          <w:divBdr>
                            <w:top w:val="none" w:sz="0" w:space="0" w:color="auto"/>
                            <w:left w:val="none" w:sz="0" w:space="0" w:color="auto"/>
                            <w:bottom w:val="none" w:sz="0" w:space="0" w:color="auto"/>
                            <w:right w:val="none" w:sz="0" w:space="0" w:color="auto"/>
                          </w:divBdr>
                          <w:divsChild>
                            <w:div w:id="780226465">
                              <w:marLeft w:val="0"/>
                              <w:marRight w:val="0"/>
                              <w:marTop w:val="0"/>
                              <w:marBottom w:val="0"/>
                              <w:divBdr>
                                <w:top w:val="none" w:sz="0" w:space="0" w:color="auto"/>
                                <w:left w:val="none" w:sz="0" w:space="0" w:color="auto"/>
                                <w:bottom w:val="none" w:sz="0" w:space="0" w:color="auto"/>
                                <w:right w:val="none" w:sz="0" w:space="0" w:color="auto"/>
                              </w:divBdr>
                              <w:divsChild>
                                <w:div w:id="1718895885">
                                  <w:marLeft w:val="0"/>
                                  <w:marRight w:val="0"/>
                                  <w:marTop w:val="0"/>
                                  <w:marBottom w:val="0"/>
                                  <w:divBdr>
                                    <w:top w:val="none" w:sz="0" w:space="0" w:color="auto"/>
                                    <w:left w:val="none" w:sz="0" w:space="0" w:color="auto"/>
                                    <w:bottom w:val="none" w:sz="0" w:space="0" w:color="auto"/>
                                    <w:right w:val="none" w:sz="0" w:space="0" w:color="auto"/>
                                  </w:divBdr>
                                  <w:divsChild>
                                    <w:div w:id="203449967">
                                      <w:marLeft w:val="0"/>
                                      <w:marRight w:val="0"/>
                                      <w:marTop w:val="0"/>
                                      <w:marBottom w:val="0"/>
                                      <w:divBdr>
                                        <w:top w:val="none" w:sz="0" w:space="0" w:color="auto"/>
                                        <w:left w:val="none" w:sz="0" w:space="0" w:color="auto"/>
                                        <w:bottom w:val="none" w:sz="0" w:space="0" w:color="auto"/>
                                        <w:right w:val="none" w:sz="0" w:space="0" w:color="auto"/>
                                      </w:divBdr>
                                      <w:divsChild>
                                        <w:div w:id="1210266404">
                                          <w:marLeft w:val="75"/>
                                          <w:marRight w:val="75"/>
                                          <w:marTop w:val="0"/>
                                          <w:marBottom w:val="0"/>
                                          <w:divBdr>
                                            <w:top w:val="none" w:sz="0" w:space="0" w:color="auto"/>
                                            <w:left w:val="none" w:sz="0" w:space="0" w:color="auto"/>
                                            <w:bottom w:val="none" w:sz="0" w:space="0" w:color="auto"/>
                                            <w:right w:val="none" w:sz="0" w:space="0" w:color="auto"/>
                                          </w:divBdr>
                                          <w:divsChild>
                                            <w:div w:id="230316834">
                                              <w:marLeft w:val="0"/>
                                              <w:marRight w:val="0"/>
                                              <w:marTop w:val="60"/>
                                              <w:marBottom w:val="0"/>
                                              <w:divBdr>
                                                <w:top w:val="none" w:sz="0" w:space="0" w:color="auto"/>
                                                <w:left w:val="none" w:sz="0" w:space="0" w:color="auto"/>
                                                <w:bottom w:val="none" w:sz="0" w:space="0" w:color="auto"/>
                                                <w:right w:val="none" w:sz="0" w:space="0" w:color="auto"/>
                                              </w:divBdr>
                                              <w:divsChild>
                                                <w:div w:id="1410611801">
                                                  <w:marLeft w:val="0"/>
                                                  <w:marRight w:val="0"/>
                                                  <w:marTop w:val="0"/>
                                                  <w:marBottom w:val="0"/>
                                                  <w:divBdr>
                                                    <w:top w:val="none" w:sz="0" w:space="0" w:color="auto"/>
                                                    <w:left w:val="none" w:sz="0" w:space="0" w:color="auto"/>
                                                    <w:bottom w:val="none" w:sz="0" w:space="0" w:color="auto"/>
                                                    <w:right w:val="none" w:sz="0" w:space="0" w:color="auto"/>
                                                  </w:divBdr>
                                                  <w:divsChild>
                                                    <w:div w:id="408312554">
                                                      <w:marLeft w:val="195"/>
                                                      <w:marRight w:val="195"/>
                                                      <w:marTop w:val="0"/>
                                                      <w:marBottom w:val="0"/>
                                                      <w:divBdr>
                                                        <w:top w:val="none" w:sz="0" w:space="0" w:color="auto"/>
                                                        <w:left w:val="none" w:sz="0" w:space="0" w:color="auto"/>
                                                        <w:bottom w:val="none" w:sz="0" w:space="0" w:color="auto"/>
                                                        <w:right w:val="none" w:sz="0" w:space="0" w:color="auto"/>
                                                      </w:divBdr>
                                                      <w:divsChild>
                                                        <w:div w:id="1811899630">
                                                          <w:marLeft w:val="0"/>
                                                          <w:marRight w:val="0"/>
                                                          <w:marTop w:val="0"/>
                                                          <w:marBottom w:val="0"/>
                                                          <w:divBdr>
                                                            <w:top w:val="none" w:sz="0" w:space="0" w:color="auto"/>
                                                            <w:left w:val="none" w:sz="0" w:space="0" w:color="auto"/>
                                                            <w:bottom w:val="none" w:sz="0" w:space="0" w:color="auto"/>
                                                            <w:right w:val="none" w:sz="0" w:space="0" w:color="auto"/>
                                                          </w:divBdr>
                                                          <w:divsChild>
                                                            <w:div w:id="930427013">
                                                              <w:marLeft w:val="0"/>
                                                              <w:marRight w:val="0"/>
                                                              <w:marTop w:val="0"/>
                                                              <w:marBottom w:val="0"/>
                                                              <w:divBdr>
                                                                <w:top w:val="none" w:sz="0" w:space="0" w:color="auto"/>
                                                                <w:left w:val="none" w:sz="0" w:space="0" w:color="auto"/>
                                                                <w:bottom w:val="none" w:sz="0" w:space="0" w:color="auto"/>
                                                                <w:right w:val="none" w:sz="0" w:space="0" w:color="auto"/>
                                                              </w:divBdr>
                                                              <w:divsChild>
                                                                <w:div w:id="1662346145">
                                                                  <w:marLeft w:val="0"/>
                                                                  <w:marRight w:val="0"/>
                                                                  <w:marTop w:val="0"/>
                                                                  <w:marBottom w:val="0"/>
                                                                  <w:divBdr>
                                                                    <w:top w:val="none" w:sz="0" w:space="0" w:color="auto"/>
                                                                    <w:left w:val="none" w:sz="0" w:space="0" w:color="auto"/>
                                                                    <w:bottom w:val="none" w:sz="0" w:space="0" w:color="auto"/>
                                                                    <w:right w:val="none" w:sz="0" w:space="0" w:color="auto"/>
                                                                  </w:divBdr>
                                                                  <w:divsChild>
                                                                    <w:div w:id="16237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8441612">
      <w:bodyDiv w:val="1"/>
      <w:marLeft w:val="0"/>
      <w:marRight w:val="0"/>
      <w:marTop w:val="0"/>
      <w:marBottom w:val="0"/>
      <w:divBdr>
        <w:top w:val="none" w:sz="0" w:space="0" w:color="auto"/>
        <w:left w:val="none" w:sz="0" w:space="0" w:color="auto"/>
        <w:bottom w:val="none" w:sz="0" w:space="0" w:color="auto"/>
        <w:right w:val="none" w:sz="0" w:space="0" w:color="auto"/>
      </w:divBdr>
    </w:div>
    <w:div w:id="1936471372">
      <w:bodyDiv w:val="1"/>
      <w:marLeft w:val="0"/>
      <w:marRight w:val="0"/>
      <w:marTop w:val="0"/>
      <w:marBottom w:val="0"/>
      <w:divBdr>
        <w:top w:val="none" w:sz="0" w:space="0" w:color="auto"/>
        <w:left w:val="none" w:sz="0" w:space="0" w:color="auto"/>
        <w:bottom w:val="none" w:sz="0" w:space="0" w:color="auto"/>
        <w:right w:val="none" w:sz="0" w:space="0" w:color="auto"/>
      </w:divBdr>
    </w:div>
    <w:div w:id="19787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5361-7401-4722-924F-0FD23836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942</Words>
  <Characters>5372</Characters>
  <Application>Microsoft Office Word</Application>
  <DocSecurity>0</DocSecurity>
  <Lines>44</Lines>
  <Paragraphs>12</Paragraphs>
  <ScaleCrop>false</ScaleCrop>
  <Company>Lenovo</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gaohua</dc:creator>
  <cp:lastModifiedBy>高华</cp:lastModifiedBy>
  <cp:revision>2</cp:revision>
  <cp:lastPrinted>2020-05-20T01:36:00Z</cp:lastPrinted>
  <dcterms:created xsi:type="dcterms:W3CDTF">2020-05-22T08:21:00Z</dcterms:created>
  <dcterms:modified xsi:type="dcterms:W3CDTF">2020-05-22T08:21:00Z</dcterms:modified>
</cp:coreProperties>
</file>