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AF" w:rsidRDefault="00B671AF" w:rsidP="00B671AF">
      <w:pPr>
        <w:spacing w:line="540" w:lineRule="exact"/>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附件</w:t>
      </w:r>
    </w:p>
    <w:p w:rsidR="00CC3D6A" w:rsidRDefault="00CC3D6A" w:rsidP="00CC3D6A">
      <w:pPr>
        <w:spacing w:line="560" w:lineRule="exact"/>
        <w:jc w:val="center"/>
        <w:rPr>
          <w:rFonts w:ascii="黑体" w:eastAsia="黑体" w:hAnsi="黑体"/>
          <w:b/>
          <w:bCs/>
          <w:sz w:val="44"/>
          <w:szCs w:val="44"/>
        </w:rPr>
      </w:pPr>
    </w:p>
    <w:p w:rsidR="00CC3D6A" w:rsidRDefault="00CC3D6A" w:rsidP="00CC3D6A">
      <w:pPr>
        <w:spacing w:line="560" w:lineRule="exact"/>
        <w:jc w:val="center"/>
        <w:rPr>
          <w:rFonts w:ascii="方正大标宋简体" w:eastAsia="方正大标宋简体" w:hAnsi="黑体"/>
          <w:bCs/>
          <w:sz w:val="42"/>
          <w:szCs w:val="42"/>
        </w:rPr>
      </w:pPr>
      <w:r w:rsidRPr="002E591F">
        <w:rPr>
          <w:rFonts w:ascii="方正大标宋简体" w:eastAsia="方正大标宋简体" w:hAnsi="黑体"/>
          <w:bCs/>
          <w:sz w:val="42"/>
          <w:szCs w:val="42"/>
        </w:rPr>
        <w:t>上海证券交易所资产支持证券临时报告</w:t>
      </w:r>
    </w:p>
    <w:p w:rsidR="00CC3D6A" w:rsidRDefault="00CC3D6A" w:rsidP="00CC3D6A">
      <w:pPr>
        <w:spacing w:line="560" w:lineRule="exact"/>
        <w:jc w:val="center"/>
        <w:rPr>
          <w:rFonts w:ascii="方正大标宋简体" w:eastAsia="方正大标宋简体" w:hAnsi="黑体"/>
          <w:bCs/>
          <w:sz w:val="42"/>
          <w:szCs w:val="42"/>
        </w:rPr>
      </w:pPr>
      <w:r w:rsidRPr="002E591F">
        <w:rPr>
          <w:rFonts w:ascii="方正大标宋简体" w:eastAsia="方正大标宋简体" w:hAnsi="黑体"/>
          <w:bCs/>
          <w:sz w:val="42"/>
          <w:szCs w:val="42"/>
        </w:rPr>
        <w:t>信息披露指引</w:t>
      </w:r>
    </w:p>
    <w:p w:rsidR="00CC3D6A" w:rsidRDefault="00CC3D6A" w:rsidP="00CC3D6A">
      <w:pPr>
        <w:spacing w:line="560" w:lineRule="exact"/>
        <w:rPr>
          <w:rFonts w:ascii="黑体" w:eastAsia="黑体" w:hAnsi="黑体"/>
          <w:sz w:val="44"/>
          <w:szCs w:val="44"/>
        </w:rPr>
      </w:pPr>
    </w:p>
    <w:p w:rsidR="00CC3D6A" w:rsidRDefault="00CC3D6A" w:rsidP="00CC3D6A">
      <w:pPr>
        <w:spacing w:line="560" w:lineRule="exact"/>
        <w:jc w:val="center"/>
        <w:rPr>
          <w:rFonts w:ascii="黑体" w:eastAsia="黑体" w:hAnsi="黑体"/>
          <w:b/>
          <w:kern w:val="0"/>
          <w:sz w:val="30"/>
          <w:szCs w:val="30"/>
        </w:rPr>
      </w:pPr>
      <w:r w:rsidRPr="009A6C80">
        <w:rPr>
          <w:rFonts w:ascii="黑体" w:eastAsia="黑体" w:hAnsi="黑体"/>
          <w:b/>
          <w:kern w:val="0"/>
          <w:sz w:val="30"/>
          <w:szCs w:val="30"/>
        </w:rPr>
        <w:t>第一章  总则</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第一条</w:t>
      </w:r>
      <w:r w:rsidRPr="009A6C80">
        <w:rPr>
          <w:rFonts w:ascii="仿宋_GB2312" w:eastAsia="仿宋_GB2312" w:hint="eastAsia"/>
          <w:b/>
          <w:kern w:val="0"/>
          <w:sz w:val="30"/>
          <w:szCs w:val="30"/>
        </w:rPr>
        <w:tab/>
      </w:r>
      <w:r w:rsidRPr="009A6C80">
        <w:rPr>
          <w:rFonts w:ascii="仿宋_GB2312" w:eastAsia="仿宋_GB2312" w:hint="eastAsia"/>
          <w:kern w:val="0"/>
          <w:sz w:val="30"/>
          <w:szCs w:val="30"/>
        </w:rPr>
        <w:t>为规范资产支持证券临时报告编制和披露行为，保护投资者合法权益，根据《证券公司及基金管理公司子公司资产证券化业务管理规定》（以下简称《管理规定》）、《证券公司及基金管理公司子公司资产证券化业务信息披露指引》（以下简称《信息披露指引》）和《上海证券交易所资产证券化业务指引》（以下简称《业务指引》）及相关法律、行政法规、部门规章、规范性文件及上海证券交易所（以下简称本所）业务规则，制定本指引。</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第二条</w:t>
      </w:r>
      <w:r w:rsidRPr="009A6C80">
        <w:rPr>
          <w:rFonts w:ascii="仿宋_GB2312" w:eastAsia="仿宋_GB2312" w:hint="eastAsia"/>
          <w:kern w:val="0"/>
          <w:sz w:val="30"/>
          <w:szCs w:val="30"/>
        </w:rPr>
        <w:t xml:space="preserve"> 资产支持证券在本所挂牌转让的，资产支持专项计划（以下简称专项计划）的管理人、资信评级机构等信息披露义务人</w:t>
      </w:r>
      <w:r w:rsidRPr="007D7EAB">
        <w:rPr>
          <w:rFonts w:ascii="仿宋_GB2312" w:eastAsia="仿宋_GB2312" w:hint="eastAsia"/>
          <w:kern w:val="0"/>
          <w:sz w:val="30"/>
          <w:szCs w:val="30"/>
        </w:rPr>
        <w:t>（以下统称信息披露义务人）</w:t>
      </w:r>
      <w:r w:rsidRPr="009A6C80">
        <w:rPr>
          <w:rFonts w:ascii="仿宋_GB2312" w:eastAsia="仿宋_GB2312" w:hint="eastAsia"/>
          <w:kern w:val="0"/>
          <w:sz w:val="30"/>
          <w:szCs w:val="30"/>
        </w:rPr>
        <w:t>应当按照《管理规定》《信息披露指引》《业务指引》、本指引的规定、专项计划文件的约定及所</w:t>
      </w:r>
      <w:proofErr w:type="gramStart"/>
      <w:r w:rsidRPr="009A6C80">
        <w:rPr>
          <w:rFonts w:ascii="仿宋_GB2312" w:eastAsia="仿宋_GB2312" w:hint="eastAsia"/>
          <w:kern w:val="0"/>
          <w:sz w:val="30"/>
          <w:szCs w:val="30"/>
        </w:rPr>
        <w:t>作出</w:t>
      </w:r>
      <w:proofErr w:type="gramEnd"/>
      <w:r w:rsidRPr="009A6C80">
        <w:rPr>
          <w:rFonts w:ascii="仿宋_GB2312" w:eastAsia="仿宋_GB2312" w:hint="eastAsia"/>
          <w:kern w:val="0"/>
          <w:sz w:val="30"/>
          <w:szCs w:val="30"/>
        </w:rPr>
        <w:t>的承诺，及时、</w:t>
      </w:r>
      <w:proofErr w:type="gramStart"/>
      <w:r w:rsidRPr="009A6C80">
        <w:rPr>
          <w:rFonts w:ascii="仿宋_GB2312" w:eastAsia="仿宋_GB2312" w:hint="eastAsia"/>
          <w:kern w:val="0"/>
          <w:sz w:val="30"/>
          <w:szCs w:val="30"/>
        </w:rPr>
        <w:t>公平履行</w:t>
      </w:r>
      <w:proofErr w:type="gramEnd"/>
      <w:r w:rsidRPr="009A6C80">
        <w:rPr>
          <w:rFonts w:ascii="仿宋_GB2312" w:eastAsia="仿宋_GB2312" w:hint="eastAsia"/>
          <w:kern w:val="0"/>
          <w:sz w:val="30"/>
          <w:szCs w:val="30"/>
        </w:rPr>
        <w:t>临时报告信息披露义务，所披露的信息必须真实、准确、完整，不得有虚假记载、误导性陈述或重大遗漏。</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第三条</w:t>
      </w:r>
      <w:r w:rsidRPr="009A6C80">
        <w:rPr>
          <w:rFonts w:ascii="仿宋_GB2312" w:eastAsia="仿宋_GB2312" w:hint="eastAsia"/>
          <w:kern w:val="0"/>
          <w:sz w:val="30"/>
          <w:szCs w:val="30"/>
        </w:rPr>
        <w:t xml:space="preserve"> 原始权益人、托管人、资产服务机构、增信机构、基础资产现金</w:t>
      </w:r>
      <w:proofErr w:type="gramStart"/>
      <w:r w:rsidRPr="009A6C80">
        <w:rPr>
          <w:rFonts w:ascii="仿宋_GB2312" w:eastAsia="仿宋_GB2312" w:hint="eastAsia"/>
          <w:kern w:val="0"/>
          <w:sz w:val="30"/>
          <w:szCs w:val="30"/>
        </w:rPr>
        <w:t>流重要</w:t>
      </w:r>
      <w:proofErr w:type="gramEnd"/>
      <w:r w:rsidRPr="009A6C80">
        <w:rPr>
          <w:rFonts w:ascii="仿宋_GB2312" w:eastAsia="仿宋_GB2312" w:hint="eastAsia"/>
          <w:kern w:val="0"/>
          <w:sz w:val="30"/>
          <w:szCs w:val="30"/>
        </w:rPr>
        <w:t>提供方、律师事务所、会计师事务所、资产评估机构、现金</w:t>
      </w:r>
      <w:proofErr w:type="gramStart"/>
      <w:r w:rsidRPr="009A6C80">
        <w:rPr>
          <w:rFonts w:ascii="仿宋_GB2312" w:eastAsia="仿宋_GB2312" w:hint="eastAsia"/>
          <w:kern w:val="0"/>
          <w:sz w:val="30"/>
          <w:szCs w:val="30"/>
        </w:rPr>
        <w:t>流预测</w:t>
      </w:r>
      <w:proofErr w:type="gramEnd"/>
      <w:r w:rsidRPr="009A6C80">
        <w:rPr>
          <w:rFonts w:ascii="仿宋_GB2312" w:eastAsia="仿宋_GB2312" w:hint="eastAsia"/>
          <w:kern w:val="0"/>
          <w:sz w:val="30"/>
          <w:szCs w:val="30"/>
        </w:rPr>
        <w:t>机构、监管银行等资产证券化业务其他参</w:t>
      </w:r>
      <w:r w:rsidRPr="009A6C80">
        <w:rPr>
          <w:rFonts w:ascii="仿宋_GB2312" w:eastAsia="仿宋_GB2312" w:hint="eastAsia"/>
          <w:kern w:val="0"/>
          <w:sz w:val="30"/>
          <w:szCs w:val="30"/>
        </w:rPr>
        <w:lastRenderedPageBreak/>
        <w:t>与机构</w:t>
      </w:r>
      <w:r w:rsidRPr="007D7EAB">
        <w:rPr>
          <w:rFonts w:ascii="仿宋_GB2312" w:eastAsia="仿宋_GB2312" w:hint="eastAsia"/>
          <w:kern w:val="0"/>
          <w:sz w:val="30"/>
          <w:szCs w:val="30"/>
        </w:rPr>
        <w:t>（以下统称资产证券化业务其他参与机构）</w:t>
      </w:r>
      <w:r w:rsidRPr="009A6C80">
        <w:rPr>
          <w:rFonts w:ascii="仿宋_GB2312" w:eastAsia="仿宋_GB2312" w:hint="eastAsia"/>
          <w:kern w:val="0"/>
          <w:sz w:val="30"/>
          <w:szCs w:val="30"/>
        </w:rPr>
        <w:t>应当积极配合信息披露义务人编制和披露临时报告，及时向信息披露义务人提供相关信息，并保证所提供的信息真实、准确、完整。</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 xml:space="preserve">第四条 </w:t>
      </w:r>
      <w:r w:rsidRPr="009A6C80">
        <w:rPr>
          <w:rFonts w:ascii="仿宋_GB2312" w:eastAsia="仿宋_GB2312" w:hint="eastAsia"/>
          <w:kern w:val="0"/>
          <w:sz w:val="30"/>
          <w:szCs w:val="30"/>
        </w:rPr>
        <w:t>信息披露义务人应当按照本指引正文和附件中规定的适用范围、公告格式及注意事项编制临时报告，对不同基础资产类型的资产支持证券进行针对性信息披露。本指引未作规定的，应当按照相关法律、行政法规、部门规章、规范性文件及本所其他业务规则进行编制。</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中国证监会、本所或其他相关机构对资产支持证券临时报告另有规定的，信息披露义务人应当遵守相关规定。</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第五条</w:t>
      </w:r>
      <w:r w:rsidRPr="009A6C80">
        <w:rPr>
          <w:rFonts w:ascii="仿宋_GB2312" w:eastAsia="仿宋_GB2312" w:hint="eastAsia"/>
          <w:kern w:val="0"/>
          <w:sz w:val="30"/>
          <w:szCs w:val="30"/>
        </w:rPr>
        <w:t xml:space="preserve"> 专项计划文件对信息披露进行约定，且相关约定不违反中国证监会、本所及其他相关机构规定的，信息披露义务人应当按照约定及时披露信息。</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 xml:space="preserve">第六条 </w:t>
      </w:r>
      <w:r w:rsidRPr="009A6C80">
        <w:rPr>
          <w:rFonts w:ascii="仿宋_GB2312" w:eastAsia="仿宋_GB2312" w:hint="eastAsia"/>
          <w:kern w:val="0"/>
          <w:sz w:val="30"/>
          <w:szCs w:val="30"/>
        </w:rPr>
        <w:t>临时报告是指按照法律、行政法规、部门规章、规范性文件、本指引和本所相关业务规则发布的除定期报告以外的公告。</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 xml:space="preserve">第七条 </w:t>
      </w:r>
      <w:r w:rsidRPr="009A6C80">
        <w:rPr>
          <w:rFonts w:ascii="仿宋_GB2312" w:eastAsia="仿宋_GB2312" w:hint="eastAsia"/>
          <w:kern w:val="0"/>
          <w:sz w:val="30"/>
          <w:szCs w:val="30"/>
        </w:rPr>
        <w:t>信息披露义务人应当</w:t>
      </w:r>
      <w:proofErr w:type="gramStart"/>
      <w:r w:rsidRPr="009A6C80">
        <w:rPr>
          <w:rFonts w:ascii="仿宋_GB2312" w:eastAsia="仿宋_GB2312" w:hint="eastAsia"/>
          <w:kern w:val="0"/>
          <w:sz w:val="30"/>
          <w:szCs w:val="30"/>
        </w:rPr>
        <w:t>自资产</w:t>
      </w:r>
      <w:proofErr w:type="gramEnd"/>
      <w:r w:rsidRPr="009A6C80">
        <w:rPr>
          <w:rFonts w:ascii="仿宋_GB2312" w:eastAsia="仿宋_GB2312" w:hint="eastAsia"/>
          <w:kern w:val="0"/>
          <w:sz w:val="30"/>
          <w:szCs w:val="30"/>
        </w:rPr>
        <w:t>支持证券在本所挂牌日起至专项计划清算完毕之</w:t>
      </w:r>
      <w:proofErr w:type="gramStart"/>
      <w:r w:rsidRPr="009A6C80">
        <w:rPr>
          <w:rFonts w:ascii="仿宋_GB2312" w:eastAsia="仿宋_GB2312" w:hint="eastAsia"/>
          <w:kern w:val="0"/>
          <w:sz w:val="30"/>
          <w:szCs w:val="30"/>
        </w:rPr>
        <w:t>日履行</w:t>
      </w:r>
      <w:proofErr w:type="gramEnd"/>
      <w:r w:rsidRPr="009A6C80">
        <w:rPr>
          <w:rFonts w:ascii="仿宋_GB2312" w:eastAsia="仿宋_GB2312" w:hint="eastAsia"/>
          <w:kern w:val="0"/>
          <w:sz w:val="30"/>
          <w:szCs w:val="30"/>
        </w:rPr>
        <w:t>临时报告信息披露义务。</w:t>
      </w:r>
    </w:p>
    <w:p w:rsidR="00CC3D6A" w:rsidRDefault="00CC3D6A" w:rsidP="00CC3D6A">
      <w:pPr>
        <w:pStyle w:val="Default"/>
        <w:spacing w:line="560" w:lineRule="exact"/>
        <w:ind w:firstLineChars="200" w:firstLine="600"/>
        <w:rPr>
          <w:sz w:val="30"/>
          <w:szCs w:val="30"/>
        </w:rPr>
      </w:pPr>
      <w:r w:rsidRPr="009A6C80">
        <w:rPr>
          <w:rFonts w:hAnsi="Times New Roman" w:cs="Times New Roman" w:hint="eastAsia"/>
          <w:sz w:val="30"/>
          <w:szCs w:val="30"/>
        </w:rPr>
        <w:t>资产支持证券发行后至挂牌转让前，发生本指引规定的临时披露事项的，信息披露义务人应参照本指引履行临时报告信息披露义务。</w:t>
      </w:r>
    </w:p>
    <w:p w:rsidR="00CC3D6A" w:rsidRDefault="00CC3D6A" w:rsidP="00CC3D6A">
      <w:pPr>
        <w:spacing w:line="560" w:lineRule="exact"/>
        <w:ind w:firstLineChars="200" w:firstLine="602"/>
        <w:rPr>
          <w:rFonts w:ascii="仿宋_GB2312" w:eastAsia="仿宋_GB2312"/>
          <w:b/>
          <w:kern w:val="0"/>
          <w:sz w:val="30"/>
          <w:szCs w:val="30"/>
        </w:rPr>
      </w:pPr>
      <w:r w:rsidRPr="009A6C80">
        <w:rPr>
          <w:rFonts w:ascii="仿宋_GB2312" w:eastAsia="仿宋_GB2312" w:hint="eastAsia"/>
          <w:b/>
          <w:kern w:val="0"/>
          <w:sz w:val="30"/>
          <w:szCs w:val="30"/>
        </w:rPr>
        <w:t>第八条</w:t>
      </w:r>
      <w:r w:rsidRPr="009A6C80">
        <w:rPr>
          <w:rFonts w:ascii="仿宋_GB2312" w:eastAsia="仿宋_GB2312" w:hint="eastAsia"/>
          <w:kern w:val="0"/>
          <w:sz w:val="30"/>
          <w:szCs w:val="30"/>
        </w:rPr>
        <w:t xml:space="preserve"> 临时报告应当通过本所网站或者以本所认可的其他方式向合格投资者披露。</w:t>
      </w:r>
    </w:p>
    <w:p w:rsidR="00CC3D6A" w:rsidRDefault="00CC3D6A" w:rsidP="00CC3D6A">
      <w:pPr>
        <w:pStyle w:val="Default"/>
        <w:spacing w:line="560" w:lineRule="exact"/>
        <w:ind w:firstLine="600"/>
        <w:rPr>
          <w:sz w:val="30"/>
          <w:szCs w:val="30"/>
        </w:rPr>
      </w:pPr>
      <w:r w:rsidRPr="009A6C80">
        <w:rPr>
          <w:rFonts w:hAnsi="Times New Roman" w:cs="Times New Roman" w:hint="eastAsia"/>
          <w:b/>
          <w:sz w:val="30"/>
          <w:szCs w:val="30"/>
        </w:rPr>
        <w:t xml:space="preserve">第九条 </w:t>
      </w:r>
      <w:r w:rsidRPr="009A6C80">
        <w:rPr>
          <w:rFonts w:hAnsi="Times New Roman" w:cs="Times New Roman" w:hint="eastAsia"/>
          <w:sz w:val="30"/>
          <w:szCs w:val="30"/>
        </w:rPr>
        <w:t>信息披露义务人应当在其编制的临时报告中声明：</w:t>
      </w:r>
      <w:r w:rsidRPr="009A6C80">
        <w:rPr>
          <w:rFonts w:hAnsi="Times New Roman" w:cs="Times New Roman" w:hint="eastAsia"/>
          <w:sz w:val="30"/>
          <w:szCs w:val="30"/>
        </w:rPr>
        <w:lastRenderedPageBreak/>
        <w:t>保证本报告内容不存在任何虚假记载、误导性陈述或者重大遗漏，并对其内容的真实性、准确性和完整性承担相应的法律责任。</w:t>
      </w:r>
    </w:p>
    <w:p w:rsidR="00CC3D6A" w:rsidRDefault="00CC3D6A" w:rsidP="00CC3D6A">
      <w:pPr>
        <w:pStyle w:val="Default"/>
        <w:spacing w:line="560" w:lineRule="exact"/>
        <w:ind w:firstLine="600"/>
        <w:rPr>
          <w:sz w:val="30"/>
          <w:szCs w:val="30"/>
        </w:rPr>
      </w:pPr>
      <w:r w:rsidRPr="009A6C80">
        <w:rPr>
          <w:rFonts w:hint="eastAsia"/>
          <w:b/>
          <w:sz w:val="30"/>
          <w:szCs w:val="30"/>
        </w:rPr>
        <w:t xml:space="preserve">第十条 </w:t>
      </w:r>
      <w:r w:rsidRPr="009A6C80">
        <w:rPr>
          <w:rFonts w:hint="eastAsia"/>
          <w:sz w:val="30"/>
          <w:szCs w:val="30"/>
        </w:rPr>
        <w:t>信息披露义务人按照境内外其他相关机构、交易场所等的要求披露临时报告的，或者将临时报告刊登在其他媒体上的，其披露时间不得早于在本所披露的时间。</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第十一条</w:t>
      </w:r>
      <w:r w:rsidRPr="009A6C80">
        <w:rPr>
          <w:rFonts w:ascii="仿宋_GB2312" w:eastAsia="仿宋_GB2312" w:hint="eastAsia"/>
          <w:kern w:val="0"/>
          <w:sz w:val="30"/>
          <w:szCs w:val="30"/>
        </w:rPr>
        <w:t xml:space="preserve"> 本指引的规定是对资产支持证券临时报告信息披露义务的最低要求。对资产支持证券收益分配、转让价格或持有人权益有重大影响的事项及信息，信息披露义务人均应当及时履行临时报告信息披露义务。</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第十二条</w:t>
      </w:r>
      <w:r w:rsidRPr="009A6C80">
        <w:rPr>
          <w:rFonts w:ascii="仿宋_GB2312" w:eastAsia="仿宋_GB2312" w:hint="eastAsia"/>
          <w:kern w:val="0"/>
          <w:sz w:val="30"/>
          <w:szCs w:val="30"/>
        </w:rPr>
        <w:t xml:space="preserve"> </w:t>
      </w:r>
      <w:r w:rsidRPr="009A6C80">
        <w:rPr>
          <w:rFonts w:ascii="仿宋_GB2312" w:eastAsia="仿宋_GB2312" w:hint="eastAsia"/>
          <w:sz w:val="30"/>
          <w:szCs w:val="30"/>
        </w:rPr>
        <w:t>信息披露义务人</w:t>
      </w:r>
      <w:r w:rsidRPr="009A6C80">
        <w:rPr>
          <w:rFonts w:ascii="仿宋_GB2312" w:eastAsia="仿宋_GB2312" w:hint="eastAsia"/>
          <w:kern w:val="0"/>
          <w:sz w:val="30"/>
          <w:szCs w:val="30"/>
        </w:rPr>
        <w:t>未按照法律、行政法规、部门规章和其他规范性文件以及本所的相关规定履行信息披露义务的，应当承担相应的法律责任。</w:t>
      </w:r>
    </w:p>
    <w:p w:rsidR="00CC3D6A" w:rsidRDefault="00CC3D6A" w:rsidP="00CC3D6A">
      <w:pPr>
        <w:spacing w:line="560" w:lineRule="exact"/>
        <w:jc w:val="center"/>
        <w:rPr>
          <w:rFonts w:ascii="黑体" w:eastAsia="黑体" w:hAnsi="黑体"/>
          <w:b/>
          <w:kern w:val="0"/>
          <w:sz w:val="30"/>
          <w:szCs w:val="30"/>
        </w:rPr>
      </w:pPr>
      <w:r w:rsidRPr="009A6C80">
        <w:rPr>
          <w:rFonts w:ascii="黑体" w:eastAsia="黑体" w:hAnsi="黑体"/>
          <w:b/>
          <w:kern w:val="0"/>
          <w:sz w:val="30"/>
          <w:szCs w:val="30"/>
        </w:rPr>
        <w:t>第</w:t>
      </w:r>
      <w:r w:rsidRPr="009A6C80">
        <w:rPr>
          <w:rFonts w:ascii="黑体" w:eastAsia="黑体" w:hAnsi="黑体" w:hint="eastAsia"/>
          <w:b/>
          <w:kern w:val="0"/>
          <w:sz w:val="30"/>
          <w:szCs w:val="30"/>
        </w:rPr>
        <w:t>二</w:t>
      </w:r>
      <w:r w:rsidRPr="009A6C80">
        <w:rPr>
          <w:rFonts w:ascii="黑体" w:eastAsia="黑体" w:hAnsi="黑体"/>
          <w:b/>
          <w:kern w:val="0"/>
          <w:sz w:val="30"/>
          <w:szCs w:val="30"/>
        </w:rPr>
        <w:t>章 重大事件信息披露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第十三条</w:t>
      </w:r>
      <w:r w:rsidRPr="009A6C80">
        <w:rPr>
          <w:rFonts w:ascii="仿宋_GB2312" w:eastAsia="仿宋_GB2312" w:hint="eastAsia"/>
          <w:kern w:val="0"/>
          <w:sz w:val="30"/>
          <w:szCs w:val="30"/>
        </w:rPr>
        <w:t xml:space="preserve"> 管理人应当于知悉或应当知悉重大事件发生后以及取得相关进展后两个交易日内披露临时报告。重大事件包括但不限于以下事项：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（一）未按照专项计划文件约定的时间、金额、方式分配资产支持证券收益；</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（二）资产支持证券信用评级下调或被列入信用观察名单；</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（三）专项计划资产发生超过资产支持证券</w:t>
      </w:r>
      <w:proofErr w:type="gramStart"/>
      <w:r w:rsidRPr="009A6C80">
        <w:rPr>
          <w:rFonts w:ascii="仿宋_GB2312" w:eastAsia="仿宋_GB2312" w:hint="eastAsia"/>
          <w:kern w:val="0"/>
          <w:sz w:val="30"/>
          <w:szCs w:val="30"/>
        </w:rPr>
        <w:t>未偿</w:t>
      </w:r>
      <w:proofErr w:type="gramEnd"/>
      <w:r w:rsidRPr="009A6C80">
        <w:rPr>
          <w:rFonts w:ascii="仿宋_GB2312" w:eastAsia="仿宋_GB2312" w:hint="eastAsia"/>
          <w:kern w:val="0"/>
          <w:sz w:val="30"/>
          <w:szCs w:val="30"/>
        </w:rPr>
        <w:t>还本金余额10%以上的损失；</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（四）基础资产的运行情况、产生现金流的能力或现金</w:t>
      </w:r>
      <w:proofErr w:type="gramStart"/>
      <w:r w:rsidRPr="009A6C80">
        <w:rPr>
          <w:rFonts w:ascii="仿宋_GB2312" w:eastAsia="仿宋_GB2312" w:hint="eastAsia"/>
          <w:kern w:val="0"/>
          <w:sz w:val="30"/>
          <w:szCs w:val="30"/>
        </w:rPr>
        <w:t>流重要</w:t>
      </w:r>
      <w:proofErr w:type="gramEnd"/>
      <w:r w:rsidRPr="009A6C80">
        <w:rPr>
          <w:rFonts w:ascii="仿宋_GB2312" w:eastAsia="仿宋_GB2312" w:hint="eastAsia"/>
          <w:kern w:val="0"/>
          <w:sz w:val="30"/>
          <w:szCs w:val="30"/>
        </w:rPr>
        <w:t>提供方发生重大变化；</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（五）特定原始权益人、管理人、托管人、资产服务机构、</w:t>
      </w:r>
      <w:r w:rsidRPr="009A6C80">
        <w:rPr>
          <w:rFonts w:ascii="仿宋_GB2312" w:eastAsia="仿宋_GB2312" w:hint="eastAsia"/>
          <w:kern w:val="0"/>
          <w:sz w:val="30"/>
          <w:szCs w:val="30"/>
        </w:rPr>
        <w:lastRenderedPageBreak/>
        <w:t>监管银行等资产证券化业务参与机构或者基础资产涉及法律纠纷，可能影响资产支持证券按时分配收益；</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（六）基础资产在任</w:t>
      </w:r>
      <w:proofErr w:type="gramStart"/>
      <w:r w:rsidRPr="009A6C80">
        <w:rPr>
          <w:rFonts w:ascii="仿宋_GB2312" w:eastAsia="仿宋_GB2312" w:hint="eastAsia"/>
          <w:kern w:val="0"/>
          <w:sz w:val="30"/>
          <w:szCs w:val="30"/>
        </w:rPr>
        <w:t>一</w:t>
      </w:r>
      <w:proofErr w:type="gramEnd"/>
      <w:r w:rsidRPr="009A6C80">
        <w:rPr>
          <w:rFonts w:ascii="仿宋_GB2312" w:eastAsia="仿宋_GB2312" w:hint="eastAsia"/>
          <w:kern w:val="0"/>
          <w:sz w:val="30"/>
          <w:szCs w:val="30"/>
        </w:rPr>
        <w:t>预测周期内实际产生的</w:t>
      </w:r>
      <w:proofErr w:type="gramStart"/>
      <w:r w:rsidRPr="009A6C80">
        <w:rPr>
          <w:rFonts w:ascii="仿宋_GB2312" w:eastAsia="仿宋_GB2312" w:hint="eastAsia"/>
          <w:kern w:val="0"/>
          <w:sz w:val="30"/>
          <w:szCs w:val="30"/>
        </w:rPr>
        <w:t>现金流较对应</w:t>
      </w:r>
      <w:proofErr w:type="gramEnd"/>
      <w:r w:rsidRPr="009A6C80">
        <w:rPr>
          <w:rFonts w:ascii="仿宋_GB2312" w:eastAsia="仿宋_GB2312" w:hint="eastAsia"/>
          <w:kern w:val="0"/>
          <w:sz w:val="30"/>
          <w:szCs w:val="30"/>
        </w:rPr>
        <w:t>期间的最近一次现金</w:t>
      </w:r>
      <w:proofErr w:type="gramStart"/>
      <w:r w:rsidRPr="009A6C80">
        <w:rPr>
          <w:rFonts w:ascii="仿宋_GB2312" w:eastAsia="仿宋_GB2312" w:hint="eastAsia"/>
          <w:kern w:val="0"/>
          <w:sz w:val="30"/>
          <w:szCs w:val="30"/>
        </w:rPr>
        <w:t>流预测</w:t>
      </w:r>
      <w:proofErr w:type="gramEnd"/>
      <w:r w:rsidRPr="009A6C80">
        <w:rPr>
          <w:rFonts w:ascii="仿宋_GB2312" w:eastAsia="仿宋_GB2312" w:hint="eastAsia"/>
          <w:kern w:val="0"/>
          <w:sz w:val="30"/>
          <w:szCs w:val="30"/>
        </w:rPr>
        <w:t>结果下降20%以上，或最近一次对任</w:t>
      </w:r>
      <w:proofErr w:type="gramStart"/>
      <w:r w:rsidRPr="009A6C80">
        <w:rPr>
          <w:rFonts w:ascii="仿宋_GB2312" w:eastAsia="仿宋_GB2312" w:hint="eastAsia"/>
          <w:kern w:val="0"/>
          <w:sz w:val="30"/>
          <w:szCs w:val="30"/>
        </w:rPr>
        <w:t>一</w:t>
      </w:r>
      <w:proofErr w:type="gramEnd"/>
      <w:r w:rsidRPr="009A6C80">
        <w:rPr>
          <w:rFonts w:ascii="仿宋_GB2312" w:eastAsia="仿宋_GB2312" w:hint="eastAsia"/>
          <w:kern w:val="0"/>
          <w:sz w:val="30"/>
          <w:szCs w:val="30"/>
        </w:rPr>
        <w:t>预测周期的现金</w:t>
      </w:r>
      <w:proofErr w:type="gramStart"/>
      <w:r w:rsidRPr="009A6C80">
        <w:rPr>
          <w:rFonts w:ascii="仿宋_GB2312" w:eastAsia="仿宋_GB2312" w:hint="eastAsia"/>
          <w:kern w:val="0"/>
          <w:sz w:val="30"/>
          <w:szCs w:val="30"/>
        </w:rPr>
        <w:t>流预测</w:t>
      </w:r>
      <w:proofErr w:type="gramEnd"/>
      <w:r w:rsidRPr="009A6C80">
        <w:rPr>
          <w:rFonts w:ascii="仿宋_GB2312" w:eastAsia="仿宋_GB2312" w:hint="eastAsia"/>
          <w:kern w:val="0"/>
          <w:sz w:val="30"/>
          <w:szCs w:val="30"/>
        </w:rPr>
        <w:t>结果比上一次披露的预测结果下降20%以上；</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（七）原始权益人、管理人、托管人、资产服务机构、增信机构、监管银行等资产证券化业务参与机构违反专项计划文件约定，对资产支持证券投资者利益产生不利影响；</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（八）特定原始权益人、管理人、托管人、资产服务机构、增</w:t>
      </w:r>
      <w:proofErr w:type="gramStart"/>
      <w:r w:rsidRPr="009A6C80">
        <w:rPr>
          <w:rFonts w:ascii="仿宋_GB2312" w:eastAsia="仿宋_GB2312" w:hint="eastAsia"/>
          <w:kern w:val="0"/>
          <w:sz w:val="30"/>
          <w:szCs w:val="30"/>
        </w:rPr>
        <w:t>信机构</w:t>
      </w:r>
      <w:proofErr w:type="gramEnd"/>
      <w:r w:rsidRPr="009A6C80">
        <w:rPr>
          <w:rFonts w:ascii="仿宋_GB2312" w:eastAsia="仿宋_GB2312" w:hint="eastAsia"/>
          <w:kern w:val="0"/>
          <w:sz w:val="30"/>
          <w:szCs w:val="30"/>
        </w:rPr>
        <w:t>等资产证券化业务参与机构的资信状况或经营情况发生重大变化，或被列为失信被执行人，或发生公开市场债务违约，或</w:t>
      </w:r>
      <w:proofErr w:type="gramStart"/>
      <w:r w:rsidRPr="009A6C80">
        <w:rPr>
          <w:rFonts w:ascii="仿宋_GB2312" w:eastAsia="仿宋_GB2312" w:hint="eastAsia"/>
          <w:kern w:val="0"/>
          <w:sz w:val="30"/>
          <w:szCs w:val="30"/>
        </w:rPr>
        <w:t>作出</w:t>
      </w:r>
      <w:proofErr w:type="gramEnd"/>
      <w:r w:rsidRPr="009A6C80">
        <w:rPr>
          <w:rFonts w:ascii="仿宋_GB2312" w:eastAsia="仿宋_GB2312" w:hint="eastAsia"/>
          <w:kern w:val="0"/>
          <w:sz w:val="30"/>
          <w:szCs w:val="30"/>
        </w:rPr>
        <w:t>减资、合并、分立、解散、申请破产等决定，或受到重大刑事或行政处罚等，可能影响资产支持证券投资者利益；</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（九）管理人、托管人、资信评级机构、资产服务机构、增</w:t>
      </w:r>
      <w:proofErr w:type="gramStart"/>
      <w:r w:rsidRPr="009A6C80">
        <w:rPr>
          <w:rFonts w:ascii="仿宋_GB2312" w:eastAsia="仿宋_GB2312" w:hint="eastAsia"/>
          <w:kern w:val="0"/>
          <w:sz w:val="30"/>
          <w:szCs w:val="30"/>
        </w:rPr>
        <w:t>信机构</w:t>
      </w:r>
      <w:proofErr w:type="gramEnd"/>
      <w:r w:rsidRPr="009A6C80">
        <w:rPr>
          <w:rFonts w:ascii="仿宋_GB2312" w:eastAsia="仿宋_GB2312" w:hint="eastAsia"/>
          <w:kern w:val="0"/>
          <w:sz w:val="30"/>
          <w:szCs w:val="30"/>
        </w:rPr>
        <w:t>等资产证券化业务参与机构发生变更；</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（十）特定原始权益人、管理人、托管人、资产服务机构、增</w:t>
      </w:r>
      <w:proofErr w:type="gramStart"/>
      <w:r w:rsidRPr="009A6C80">
        <w:rPr>
          <w:rFonts w:ascii="仿宋_GB2312" w:eastAsia="仿宋_GB2312" w:hint="eastAsia"/>
          <w:kern w:val="0"/>
          <w:sz w:val="30"/>
          <w:szCs w:val="30"/>
        </w:rPr>
        <w:t>信机构</w:t>
      </w:r>
      <w:proofErr w:type="gramEnd"/>
      <w:r w:rsidRPr="009A6C80">
        <w:rPr>
          <w:rFonts w:ascii="仿宋_GB2312" w:eastAsia="仿宋_GB2312" w:hint="eastAsia"/>
          <w:kern w:val="0"/>
          <w:sz w:val="30"/>
          <w:szCs w:val="30"/>
        </w:rPr>
        <w:t>等资产证券化业务参与机构的信用等级发生调整，包括信用评级或评级展望发生变化、被列入信用观察名单等，可能影响资产支持证券投资者利益；</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（十一）专项计划文件的主要约定发生变化；</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（十二）专项计划文件约定在专项计划设立后完成相关资产抵质押登记、解除相关资产权利负担，或承诺履行其他事项的，</w:t>
      </w:r>
      <w:r>
        <w:rPr>
          <w:rFonts w:ascii="仿宋_GB2312" w:eastAsia="仿宋_GB2312" w:hint="eastAsia"/>
          <w:kern w:val="0"/>
          <w:sz w:val="30"/>
          <w:szCs w:val="30"/>
        </w:rPr>
        <w:t>前述约定或</w:t>
      </w:r>
      <w:r w:rsidRPr="009A6C80">
        <w:rPr>
          <w:rFonts w:ascii="仿宋_GB2312" w:eastAsia="仿宋_GB2312" w:hint="eastAsia"/>
          <w:kern w:val="0"/>
          <w:sz w:val="30"/>
          <w:szCs w:val="30"/>
        </w:rPr>
        <w:t>承诺事项未在</w:t>
      </w:r>
      <w:r>
        <w:rPr>
          <w:rFonts w:ascii="仿宋_GB2312" w:eastAsia="仿宋_GB2312" w:hint="eastAsia"/>
          <w:kern w:val="0"/>
          <w:sz w:val="30"/>
          <w:szCs w:val="30"/>
        </w:rPr>
        <w:t>相应</w:t>
      </w:r>
      <w:r w:rsidRPr="009A6C80">
        <w:rPr>
          <w:rFonts w:ascii="仿宋_GB2312" w:eastAsia="仿宋_GB2312" w:hint="eastAsia"/>
          <w:kern w:val="0"/>
          <w:sz w:val="30"/>
          <w:szCs w:val="30"/>
        </w:rPr>
        <w:t>期限内完成；</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lastRenderedPageBreak/>
        <w:t>（十三）基础资产权属发生变化，被设置权利负担或其他权利限制；</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（十四）专项计划现金流归集相关账户因涉及法律纠纷被查封、冻结或限制使用，或基础资产现金</w:t>
      </w:r>
      <w:proofErr w:type="gramStart"/>
      <w:r w:rsidRPr="009A6C80">
        <w:rPr>
          <w:rFonts w:ascii="仿宋_GB2312" w:eastAsia="仿宋_GB2312" w:hint="eastAsia"/>
          <w:kern w:val="0"/>
          <w:sz w:val="30"/>
          <w:szCs w:val="30"/>
        </w:rPr>
        <w:t>流出现</w:t>
      </w:r>
      <w:proofErr w:type="gramEnd"/>
      <w:r w:rsidRPr="009A6C80">
        <w:rPr>
          <w:rFonts w:ascii="仿宋_GB2312" w:eastAsia="仿宋_GB2312" w:hint="eastAsia"/>
          <w:kern w:val="0"/>
          <w:sz w:val="30"/>
          <w:szCs w:val="30"/>
        </w:rPr>
        <w:t>被滞留、截留、挪用等情况；</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（十五）市场上出现关于专项计划或原始权益人、资产服务机构、增</w:t>
      </w:r>
      <w:proofErr w:type="gramStart"/>
      <w:r w:rsidRPr="009A6C80">
        <w:rPr>
          <w:rFonts w:ascii="仿宋_GB2312" w:eastAsia="仿宋_GB2312" w:hint="eastAsia"/>
          <w:kern w:val="0"/>
          <w:sz w:val="30"/>
          <w:szCs w:val="30"/>
        </w:rPr>
        <w:t>信机构</w:t>
      </w:r>
      <w:proofErr w:type="gramEnd"/>
      <w:r w:rsidRPr="009A6C80">
        <w:rPr>
          <w:rFonts w:ascii="仿宋_GB2312" w:eastAsia="仿宋_GB2312" w:hint="eastAsia"/>
          <w:kern w:val="0"/>
          <w:sz w:val="30"/>
          <w:szCs w:val="30"/>
        </w:rPr>
        <w:t>等资产证券化业务参与机构的重大不利报道或负面市场传闻，可能影响资产支持证券投资者利益；</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（十六）可能对资产支持证券投资者利益产生重大影响的其他情形。</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 xml:space="preserve">第十四条 </w:t>
      </w:r>
      <w:r w:rsidRPr="009A6C80">
        <w:rPr>
          <w:rFonts w:ascii="仿宋_GB2312" w:eastAsia="仿宋_GB2312" w:hint="eastAsia"/>
          <w:kern w:val="0"/>
          <w:sz w:val="30"/>
          <w:szCs w:val="30"/>
        </w:rPr>
        <w:t>重大事件临时报告的信息披露内容应当至少包括以下事项：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（一）专项计划的基本信息；</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（二）重大事件的事实、成因和影响；</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（三）已采取及拟采取的应对措施；</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（四）后续信息披露安排；</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（五）本章规定的其他信息披露内容。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已披露的重大事件出现可能对资产支持证券收益分配、转让价格等产生较大影响的进展或者变化的，管理人应当及时披露后续进展或者变化情况及其影响。</w:t>
      </w:r>
    </w:p>
    <w:p w:rsidR="00CC3D6A" w:rsidRDefault="00CC3D6A" w:rsidP="00CC3D6A">
      <w:pPr>
        <w:spacing w:line="560" w:lineRule="exact"/>
        <w:jc w:val="center"/>
        <w:rPr>
          <w:rFonts w:ascii="黑体" w:eastAsia="黑体" w:hAnsi="黑体"/>
          <w:b/>
          <w:kern w:val="0"/>
          <w:sz w:val="30"/>
          <w:szCs w:val="30"/>
        </w:rPr>
      </w:pPr>
      <w:r w:rsidRPr="009A6C80">
        <w:rPr>
          <w:rFonts w:ascii="黑体" w:eastAsia="黑体" w:hAnsi="黑体"/>
          <w:b/>
          <w:kern w:val="0"/>
          <w:sz w:val="30"/>
          <w:szCs w:val="30"/>
        </w:rPr>
        <w:t>第</w:t>
      </w:r>
      <w:r w:rsidRPr="009A6C80">
        <w:rPr>
          <w:rFonts w:ascii="黑体" w:eastAsia="黑体" w:hAnsi="黑体" w:hint="eastAsia"/>
          <w:b/>
          <w:kern w:val="0"/>
          <w:sz w:val="30"/>
          <w:szCs w:val="30"/>
        </w:rPr>
        <w:t>三</w:t>
      </w:r>
      <w:r w:rsidRPr="009A6C80">
        <w:rPr>
          <w:rFonts w:ascii="黑体" w:eastAsia="黑体" w:hAnsi="黑体"/>
          <w:b/>
          <w:kern w:val="0"/>
          <w:sz w:val="30"/>
          <w:szCs w:val="30"/>
        </w:rPr>
        <w:t>章 循环购买信息披露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第十五条</w:t>
      </w:r>
      <w:r w:rsidRPr="009A6C80">
        <w:rPr>
          <w:rFonts w:ascii="仿宋_GB2312" w:eastAsia="仿宋_GB2312" w:hint="eastAsia"/>
          <w:kern w:val="0"/>
          <w:sz w:val="30"/>
          <w:szCs w:val="30"/>
        </w:rPr>
        <w:t xml:space="preserve"> 专项计划文件约定循环购买基础资产的，管理人应当于每次循环购买完成之日起两个交易日内披露当次循环购买基础资产的基本情况，包括但不限于循环购买账户资金划转情</w:t>
      </w:r>
      <w:r w:rsidRPr="009A6C80">
        <w:rPr>
          <w:rFonts w:ascii="仿宋_GB2312" w:eastAsia="仿宋_GB2312" w:hint="eastAsia"/>
          <w:kern w:val="0"/>
          <w:sz w:val="30"/>
          <w:szCs w:val="30"/>
        </w:rPr>
        <w:lastRenderedPageBreak/>
        <w:t>况、购买完成</w:t>
      </w:r>
      <w:proofErr w:type="gramStart"/>
      <w:r w:rsidRPr="009A6C80">
        <w:rPr>
          <w:rFonts w:ascii="仿宋_GB2312" w:eastAsia="仿宋_GB2312" w:hint="eastAsia"/>
          <w:kern w:val="0"/>
          <w:sz w:val="30"/>
          <w:szCs w:val="30"/>
        </w:rPr>
        <w:t>后基础</w:t>
      </w:r>
      <w:proofErr w:type="gramEnd"/>
      <w:r w:rsidRPr="009A6C80">
        <w:rPr>
          <w:rFonts w:ascii="仿宋_GB2312" w:eastAsia="仿宋_GB2312" w:hint="eastAsia"/>
          <w:kern w:val="0"/>
          <w:sz w:val="30"/>
          <w:szCs w:val="30"/>
        </w:rPr>
        <w:t>资产概况、相关主体是否按照专项计划文件约定的购买条件和程序进行循环购买。如循环购买频率高于每季度一次，管理人可在每季度前十个交易日内对上一季度发生的循环购买情况进行整体披露。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第十六条</w:t>
      </w:r>
      <w:r w:rsidRPr="009A6C80">
        <w:rPr>
          <w:rFonts w:ascii="仿宋_GB2312" w:eastAsia="仿宋_GB2312" w:hint="eastAsia"/>
          <w:kern w:val="0"/>
          <w:sz w:val="30"/>
          <w:szCs w:val="30"/>
        </w:rPr>
        <w:t xml:space="preserve"> 未按照专项计划文件约定进行循环购买或者循环期提前结束的，管理人应当于事件发生之日起两个交易日内披露违反约定或循环期提前结束的原因、对资产支持证券的影响、已采取和</w:t>
      </w:r>
      <w:proofErr w:type="gramStart"/>
      <w:r w:rsidRPr="009A6C80">
        <w:rPr>
          <w:rFonts w:ascii="仿宋_GB2312" w:eastAsia="仿宋_GB2312" w:hint="eastAsia"/>
          <w:kern w:val="0"/>
          <w:sz w:val="30"/>
          <w:szCs w:val="30"/>
        </w:rPr>
        <w:t>拟采取</w:t>
      </w:r>
      <w:proofErr w:type="gramEnd"/>
      <w:r w:rsidRPr="009A6C80">
        <w:rPr>
          <w:rFonts w:ascii="仿宋_GB2312" w:eastAsia="仿宋_GB2312" w:hint="eastAsia"/>
          <w:kern w:val="0"/>
          <w:sz w:val="30"/>
          <w:szCs w:val="30"/>
        </w:rPr>
        <w:t>的应对措施及后续信息披露安排等信息。</w:t>
      </w:r>
    </w:p>
    <w:p w:rsidR="00CC3D6A" w:rsidRDefault="00CC3D6A" w:rsidP="00CC3D6A">
      <w:pPr>
        <w:spacing w:line="560" w:lineRule="exact"/>
        <w:jc w:val="center"/>
        <w:rPr>
          <w:rFonts w:ascii="黑体" w:eastAsia="黑体" w:hAnsi="黑体"/>
          <w:b/>
          <w:kern w:val="0"/>
          <w:sz w:val="30"/>
          <w:szCs w:val="30"/>
        </w:rPr>
      </w:pPr>
      <w:r w:rsidRPr="009A6C80">
        <w:rPr>
          <w:rFonts w:ascii="黑体" w:eastAsia="黑体" w:hAnsi="黑体"/>
          <w:b/>
          <w:kern w:val="0"/>
          <w:sz w:val="30"/>
          <w:szCs w:val="30"/>
        </w:rPr>
        <w:t>第</w:t>
      </w:r>
      <w:r w:rsidRPr="009A6C80">
        <w:rPr>
          <w:rFonts w:ascii="黑体" w:eastAsia="黑体" w:hAnsi="黑体" w:hint="eastAsia"/>
          <w:b/>
          <w:kern w:val="0"/>
          <w:sz w:val="30"/>
          <w:szCs w:val="30"/>
        </w:rPr>
        <w:t>四</w:t>
      </w:r>
      <w:r w:rsidRPr="009A6C80">
        <w:rPr>
          <w:rFonts w:ascii="黑体" w:eastAsia="黑体" w:hAnsi="黑体"/>
          <w:b/>
          <w:kern w:val="0"/>
          <w:sz w:val="30"/>
          <w:szCs w:val="30"/>
        </w:rPr>
        <w:t>章  持有人会议信息披露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第十七条</w:t>
      </w:r>
      <w:r w:rsidRPr="009A6C80">
        <w:rPr>
          <w:rFonts w:ascii="仿宋_GB2312" w:eastAsia="仿宋_GB2312" w:hint="eastAsia"/>
          <w:kern w:val="0"/>
          <w:sz w:val="30"/>
          <w:szCs w:val="30"/>
        </w:rPr>
        <w:t xml:space="preserve"> 资产支持证券召开持有人会议的，管理人或其他召集人应当至少于持有人会议召开前十个交易日发布召开持有人会议的公告</w:t>
      </w:r>
      <w:r>
        <w:rPr>
          <w:rFonts w:ascii="仿宋_GB2312" w:eastAsia="仿宋_GB2312" w:hint="eastAsia"/>
          <w:kern w:val="0"/>
          <w:sz w:val="30"/>
          <w:szCs w:val="30"/>
        </w:rPr>
        <w:t>，</w:t>
      </w:r>
      <w:r w:rsidRPr="009A6C80">
        <w:rPr>
          <w:rFonts w:ascii="仿宋_GB2312" w:eastAsia="仿宋_GB2312" w:hint="eastAsia"/>
          <w:kern w:val="0"/>
          <w:sz w:val="30"/>
          <w:szCs w:val="30"/>
        </w:rPr>
        <w:t>专项计划文件另有约定的，从其约定。公告内容包括但不限于下列事项：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（一）专项计划的基本情况；</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（二）召集人、负责人姓名及联系方式；</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（三）会议时间和地点；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（四）会议召开形式：可以采用现场、非现场或者两者相结合的形式；</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（五）会议</w:t>
      </w:r>
      <w:proofErr w:type="gramStart"/>
      <w:r w:rsidRPr="009A6C80">
        <w:rPr>
          <w:rFonts w:ascii="仿宋_GB2312" w:eastAsia="仿宋_GB2312" w:hint="eastAsia"/>
          <w:kern w:val="0"/>
          <w:sz w:val="30"/>
          <w:szCs w:val="30"/>
        </w:rPr>
        <w:t>拟审议</w:t>
      </w:r>
      <w:proofErr w:type="gramEnd"/>
      <w:r w:rsidRPr="009A6C80">
        <w:rPr>
          <w:rFonts w:ascii="仿宋_GB2312" w:eastAsia="仿宋_GB2312" w:hint="eastAsia"/>
          <w:kern w:val="0"/>
          <w:sz w:val="30"/>
          <w:szCs w:val="30"/>
        </w:rPr>
        <w:t>议案：议案应当属于持有人会议权限范围、有明确的决议事项，并且符合法律、法规和本所业务规则的相关规定；</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（六）会议议事程序：包括持有人会议的召集方式、表决方式、表决时间和其他相关事项；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（七）持有人会议权益登记日；</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lastRenderedPageBreak/>
        <w:t>（八）委托事项：持有人委托他人参会的，受托参会人员应当出具授权委托书和身份证明，在授权范围内参加持有人会议并履行义务。</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有权参加持有人会议并享有表决权的持有人以权益登记日收市后的持有人名册为准。</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管理人或其他召集人可以根据相关规定或者持有人会议规则的约定简化持有人会议召集程序或者决议方式，但不得对持有人合法权益产生不利影响。</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第十八条</w:t>
      </w:r>
      <w:r w:rsidRPr="009A6C80">
        <w:rPr>
          <w:rFonts w:ascii="仿宋_GB2312" w:eastAsia="仿宋_GB2312" w:hint="eastAsia"/>
          <w:kern w:val="0"/>
          <w:sz w:val="30"/>
          <w:szCs w:val="30"/>
        </w:rPr>
        <w:t xml:space="preserve"> 管理人或者其他召集人应当在持有人会议表决截止日次</w:t>
      </w:r>
      <w:proofErr w:type="gramStart"/>
      <w:r w:rsidRPr="009A6C80">
        <w:rPr>
          <w:rFonts w:ascii="仿宋_GB2312" w:eastAsia="仿宋_GB2312" w:hint="eastAsia"/>
          <w:kern w:val="0"/>
          <w:sz w:val="30"/>
          <w:szCs w:val="30"/>
        </w:rPr>
        <w:t>一</w:t>
      </w:r>
      <w:proofErr w:type="gramEnd"/>
      <w:r w:rsidRPr="009A6C80">
        <w:rPr>
          <w:rFonts w:ascii="仿宋_GB2312" w:eastAsia="仿宋_GB2312" w:hint="eastAsia"/>
          <w:kern w:val="0"/>
          <w:sz w:val="30"/>
          <w:szCs w:val="30"/>
        </w:rPr>
        <w:t>交易日内披露会议决议公告，会议决议公告包括但不限于以下内容：</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（一）出席会议的资产支持证券持有人所持表决权情况；</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（二）会议有效性；</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（三）各项议案的议题和表决结果。</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第十九条</w:t>
      </w:r>
      <w:r w:rsidRPr="009A6C80">
        <w:rPr>
          <w:rFonts w:ascii="仿宋_GB2312" w:eastAsia="仿宋_GB2312" w:hint="eastAsia"/>
          <w:kern w:val="0"/>
          <w:sz w:val="30"/>
          <w:szCs w:val="30"/>
        </w:rPr>
        <w:t xml:space="preserve"> 持有人会议应当由律师见证。见证律师应当对会议的召集、召开、表决程序、出席会议人员资格和有效表决权等事项出具法律意见书。法律意见书应当与持有人会议决议公告一同披露。</w:t>
      </w:r>
    </w:p>
    <w:p w:rsidR="00CC3D6A" w:rsidRDefault="00CC3D6A" w:rsidP="00CC3D6A">
      <w:pPr>
        <w:spacing w:line="560" w:lineRule="exact"/>
        <w:jc w:val="center"/>
        <w:rPr>
          <w:rFonts w:ascii="黑体" w:eastAsia="黑体" w:hAnsi="黑体"/>
          <w:b/>
          <w:kern w:val="0"/>
          <w:sz w:val="30"/>
          <w:szCs w:val="30"/>
        </w:rPr>
      </w:pPr>
      <w:r w:rsidRPr="009A6C80">
        <w:rPr>
          <w:rFonts w:ascii="黑体" w:eastAsia="黑体" w:hAnsi="黑体"/>
          <w:b/>
          <w:kern w:val="0"/>
          <w:sz w:val="30"/>
          <w:szCs w:val="30"/>
        </w:rPr>
        <w:t>第</w:t>
      </w:r>
      <w:r w:rsidRPr="009A6C80">
        <w:rPr>
          <w:rFonts w:ascii="黑体" w:eastAsia="黑体" w:hAnsi="黑体" w:hint="eastAsia"/>
          <w:b/>
          <w:kern w:val="0"/>
          <w:sz w:val="30"/>
          <w:szCs w:val="30"/>
        </w:rPr>
        <w:t>五</w:t>
      </w:r>
      <w:r w:rsidRPr="009A6C80">
        <w:rPr>
          <w:rFonts w:ascii="黑体" w:eastAsia="黑体" w:hAnsi="黑体"/>
          <w:b/>
          <w:kern w:val="0"/>
          <w:sz w:val="30"/>
          <w:szCs w:val="30"/>
        </w:rPr>
        <w:t>章  其他事项信息披露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 xml:space="preserve">第二十条 </w:t>
      </w:r>
      <w:r w:rsidRPr="009A6C80">
        <w:rPr>
          <w:rFonts w:ascii="仿宋_GB2312" w:eastAsia="仿宋_GB2312" w:hint="eastAsia"/>
          <w:kern w:val="0"/>
          <w:sz w:val="30"/>
          <w:szCs w:val="30"/>
        </w:rPr>
        <w:t>管理人应当及时披露专项计划收益分配报告，披露</w:t>
      </w:r>
      <w:proofErr w:type="gramStart"/>
      <w:r w:rsidRPr="009A6C80">
        <w:rPr>
          <w:rFonts w:ascii="仿宋_GB2312" w:eastAsia="仿宋_GB2312" w:hint="eastAsia"/>
          <w:kern w:val="0"/>
          <w:sz w:val="30"/>
          <w:szCs w:val="30"/>
        </w:rPr>
        <w:t>日应当</w:t>
      </w:r>
      <w:proofErr w:type="gramEnd"/>
      <w:r w:rsidRPr="009A6C80">
        <w:rPr>
          <w:rFonts w:ascii="仿宋_GB2312" w:eastAsia="仿宋_GB2312" w:hint="eastAsia"/>
          <w:kern w:val="0"/>
          <w:sz w:val="30"/>
          <w:szCs w:val="30"/>
        </w:rPr>
        <w:t>不晚于每期资产支持证券收益分配日前的第三个交易日。</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第二十一条</w:t>
      </w:r>
      <w:r w:rsidRPr="009A6C80">
        <w:rPr>
          <w:rFonts w:ascii="仿宋_GB2312" w:eastAsia="仿宋_GB2312" w:hint="eastAsia"/>
          <w:kern w:val="0"/>
          <w:sz w:val="30"/>
          <w:szCs w:val="30"/>
        </w:rPr>
        <w:t xml:space="preserve"> 资产支持证券进行收益率调整、赎回或回售的，管理人应披露相关权利条款的基本信息与权利行使结果。</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lastRenderedPageBreak/>
        <w:t>资产支持证券</w:t>
      </w:r>
      <w:proofErr w:type="gramStart"/>
      <w:r w:rsidRPr="009A6C80">
        <w:rPr>
          <w:rFonts w:ascii="仿宋_GB2312" w:eastAsia="仿宋_GB2312" w:hint="eastAsia"/>
          <w:kern w:val="0"/>
          <w:sz w:val="30"/>
          <w:szCs w:val="30"/>
        </w:rPr>
        <w:t>附调整</w:t>
      </w:r>
      <w:proofErr w:type="gramEnd"/>
      <w:r w:rsidRPr="009A6C80">
        <w:rPr>
          <w:rFonts w:ascii="仿宋_GB2312" w:eastAsia="仿宋_GB2312" w:hint="eastAsia"/>
          <w:kern w:val="0"/>
          <w:sz w:val="30"/>
          <w:szCs w:val="30"/>
        </w:rPr>
        <w:t>收益率条款的，管理人应当按照专项计划文件约定的日期披露收益率调整公告。没有约定或约定不明确的，管理人应当于收益率调整实施日之前及时披露收益率调整公告。公告内容应当包含是否调整收益率、调整前后的收益率、收益率调整生效日期等信息。</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资产支持证券附回售选择权的，管理人应当在回售申报期</w:t>
      </w:r>
      <w:proofErr w:type="gramStart"/>
      <w:r w:rsidRPr="009A6C80">
        <w:rPr>
          <w:rFonts w:ascii="仿宋_GB2312" w:eastAsia="仿宋_GB2312" w:hint="eastAsia"/>
          <w:kern w:val="0"/>
          <w:sz w:val="30"/>
          <w:szCs w:val="30"/>
        </w:rPr>
        <w:t>起始日前</w:t>
      </w:r>
      <w:proofErr w:type="gramEnd"/>
      <w:r w:rsidRPr="009A6C80">
        <w:rPr>
          <w:rFonts w:ascii="仿宋_GB2312" w:eastAsia="仿宋_GB2312" w:hint="eastAsia"/>
          <w:kern w:val="0"/>
          <w:sz w:val="30"/>
          <w:szCs w:val="30"/>
        </w:rPr>
        <w:t>披露回售义务人、回售程序、回售申报期、回售价格、回售资金到账日等信息。回售完成后，管理人应当及时披露回售情况及其影响。</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资产支持证券附赎回条款的，管理人应当在满足赎回条件时，披露相关主体是否行使赎回权。行使赎回权的，应当披露行使赎回权主体、赎回程序、赎回价格、赎回资金到账日等内容。赎回完成后，管理人应当及时披露赎回情况及其影响。</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专项计划文件约定由指定主体受让或向指定主体转让资产支持证券的，管理人应当参照上述要求披露相关权利条款的基本信息与权利行使结果。</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第二十二条</w:t>
      </w:r>
      <w:r w:rsidRPr="009A6C80">
        <w:rPr>
          <w:rFonts w:ascii="仿宋_GB2312" w:eastAsia="仿宋_GB2312" w:hint="eastAsia"/>
          <w:kern w:val="0"/>
          <w:sz w:val="30"/>
          <w:szCs w:val="30"/>
        </w:rPr>
        <w:t xml:space="preserve"> 资产支持证券停牌、复牌的，管理人应于资产支持证券停牌或复牌前披露停牌或复牌公告，公告应当包括但不限于：停牌或复</w:t>
      </w:r>
      <w:proofErr w:type="gramStart"/>
      <w:r w:rsidRPr="009A6C80">
        <w:rPr>
          <w:rFonts w:ascii="仿宋_GB2312" w:eastAsia="仿宋_GB2312" w:hint="eastAsia"/>
          <w:kern w:val="0"/>
          <w:sz w:val="30"/>
          <w:szCs w:val="30"/>
        </w:rPr>
        <w:t>牌具体</w:t>
      </w:r>
      <w:proofErr w:type="gramEnd"/>
      <w:r w:rsidRPr="009A6C80">
        <w:rPr>
          <w:rFonts w:ascii="仿宋_GB2312" w:eastAsia="仿宋_GB2312" w:hint="eastAsia"/>
          <w:kern w:val="0"/>
          <w:sz w:val="30"/>
          <w:szCs w:val="30"/>
        </w:rPr>
        <w:t>时间、申请停牌或复牌的原因，以及后续进展公告的披露安排。停牌期间，管理人应于相关事项取得重大进展或发生重大变化时及时进行信息披露。</w:t>
      </w:r>
    </w:p>
    <w:p w:rsidR="00CC3D6A" w:rsidRDefault="00CC3D6A" w:rsidP="00CC3D6A">
      <w:pPr>
        <w:spacing w:line="560" w:lineRule="exact"/>
        <w:ind w:firstLineChars="200" w:firstLine="602"/>
        <w:rPr>
          <w:rFonts w:ascii="仿宋_GB2312" w:eastAsia="仿宋_GB2312"/>
          <w:sz w:val="30"/>
          <w:szCs w:val="30"/>
        </w:rPr>
      </w:pPr>
      <w:r w:rsidRPr="009A6C80">
        <w:rPr>
          <w:rFonts w:ascii="仿宋_GB2312" w:eastAsia="仿宋_GB2312" w:hint="eastAsia"/>
          <w:b/>
          <w:kern w:val="0"/>
          <w:sz w:val="30"/>
          <w:szCs w:val="30"/>
        </w:rPr>
        <w:t>第二十</w:t>
      </w:r>
      <w:r w:rsidRPr="009A6C80">
        <w:rPr>
          <w:rFonts w:ascii="仿宋_GB2312" w:eastAsia="仿宋_GB2312" w:hint="eastAsia"/>
          <w:b/>
          <w:sz w:val="30"/>
          <w:szCs w:val="30"/>
        </w:rPr>
        <w:t>三</w:t>
      </w:r>
      <w:r w:rsidRPr="009A6C80">
        <w:rPr>
          <w:rFonts w:ascii="仿宋_GB2312" w:eastAsia="仿宋_GB2312" w:hint="eastAsia"/>
          <w:b/>
          <w:kern w:val="0"/>
          <w:sz w:val="30"/>
          <w:szCs w:val="30"/>
        </w:rPr>
        <w:t>条</w:t>
      </w:r>
      <w:r w:rsidRPr="009A6C80">
        <w:rPr>
          <w:rFonts w:ascii="仿宋_GB2312" w:eastAsia="仿宋_GB2312" w:hint="eastAsia"/>
          <w:b/>
          <w:sz w:val="30"/>
          <w:szCs w:val="30"/>
        </w:rPr>
        <w:t xml:space="preserve"> </w:t>
      </w:r>
      <w:r w:rsidRPr="009A6C80">
        <w:rPr>
          <w:rFonts w:ascii="仿宋_GB2312" w:eastAsia="仿宋_GB2312" w:hint="eastAsia"/>
          <w:sz w:val="30"/>
          <w:szCs w:val="30"/>
        </w:rPr>
        <w:t>资产支持证券终止挂牌转让的，管理人应当于资产支持证券终止挂牌</w:t>
      </w:r>
      <w:proofErr w:type="gramStart"/>
      <w:r w:rsidRPr="009A6C80">
        <w:rPr>
          <w:rFonts w:ascii="仿宋_GB2312" w:eastAsia="仿宋_GB2312" w:hint="eastAsia"/>
          <w:sz w:val="30"/>
          <w:szCs w:val="30"/>
        </w:rPr>
        <w:t>转让日</w:t>
      </w:r>
      <w:proofErr w:type="gramEnd"/>
      <w:r w:rsidRPr="009A6C80">
        <w:rPr>
          <w:rFonts w:ascii="仿宋_GB2312" w:eastAsia="仿宋_GB2312" w:hint="eastAsia"/>
          <w:sz w:val="30"/>
          <w:szCs w:val="30"/>
        </w:rPr>
        <w:t>之前披露终止挂牌转让的原因、终止挂牌转让的日期以及后续清算安排。资产支持证券终止挂牌</w:t>
      </w:r>
      <w:proofErr w:type="gramStart"/>
      <w:r w:rsidRPr="009A6C80">
        <w:rPr>
          <w:rFonts w:ascii="仿宋_GB2312" w:eastAsia="仿宋_GB2312" w:hint="eastAsia"/>
          <w:sz w:val="30"/>
          <w:szCs w:val="30"/>
        </w:rPr>
        <w:t>转</w:t>
      </w:r>
      <w:r w:rsidRPr="009A6C80">
        <w:rPr>
          <w:rFonts w:ascii="仿宋_GB2312" w:eastAsia="仿宋_GB2312" w:hint="eastAsia"/>
          <w:sz w:val="30"/>
          <w:szCs w:val="30"/>
        </w:rPr>
        <w:lastRenderedPageBreak/>
        <w:t>让日</w:t>
      </w:r>
      <w:proofErr w:type="gramEnd"/>
      <w:r w:rsidRPr="009A6C80">
        <w:rPr>
          <w:rFonts w:ascii="仿宋_GB2312" w:eastAsia="仿宋_GB2312" w:hint="eastAsia"/>
          <w:sz w:val="30"/>
          <w:szCs w:val="30"/>
        </w:rPr>
        <w:t>不得晚于专项计划终止日。</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第二十四条</w:t>
      </w:r>
      <w:r w:rsidRPr="009A6C80">
        <w:rPr>
          <w:rFonts w:ascii="仿宋_GB2312" w:eastAsia="仿宋_GB2312" w:hint="eastAsia"/>
          <w:kern w:val="0"/>
          <w:sz w:val="30"/>
          <w:szCs w:val="30"/>
        </w:rPr>
        <w:t xml:space="preserve"> 专项计划终止的，管理人应当自专项计划清算完毕之日起十个交易日内披露清算报告，清算报告内容应当包括终止时间、终止原因、专项计划剩余资产分配情况以及登记注销日等信息。</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 xml:space="preserve">第二十五条 </w:t>
      </w:r>
      <w:r w:rsidRPr="009A6C80">
        <w:rPr>
          <w:rFonts w:ascii="仿宋_GB2312" w:eastAsia="仿宋_GB2312" w:hint="eastAsia"/>
          <w:kern w:val="0"/>
          <w:sz w:val="30"/>
          <w:szCs w:val="30"/>
        </w:rPr>
        <w:t>资信评级机构应按照资信评级相关规定以及《信息披露指引》《业务指引》及专项计划文件的约定及时披露资产支持证券不定期跟踪评级报告。</w:t>
      </w:r>
    </w:p>
    <w:p w:rsidR="00CC3D6A" w:rsidRDefault="00CC3D6A" w:rsidP="00CC3D6A">
      <w:pPr>
        <w:spacing w:line="560" w:lineRule="exact"/>
        <w:jc w:val="center"/>
        <w:rPr>
          <w:rFonts w:ascii="黑体" w:eastAsia="黑体" w:hAnsi="黑体"/>
          <w:b/>
          <w:sz w:val="30"/>
          <w:szCs w:val="30"/>
        </w:rPr>
      </w:pPr>
      <w:r w:rsidRPr="009A6C80">
        <w:rPr>
          <w:rFonts w:ascii="黑体" w:eastAsia="黑体" w:hAnsi="黑体" w:hint="eastAsia"/>
          <w:b/>
          <w:kern w:val="0"/>
          <w:sz w:val="30"/>
          <w:szCs w:val="30"/>
        </w:rPr>
        <w:t>第六章  自律监管</w:t>
      </w:r>
    </w:p>
    <w:p w:rsidR="00CC3D6A" w:rsidRDefault="00CC3D6A" w:rsidP="00CC3D6A">
      <w:pPr>
        <w:spacing w:line="560" w:lineRule="exact"/>
        <w:ind w:firstLineChars="200" w:firstLine="602"/>
        <w:rPr>
          <w:rFonts w:ascii="仿宋_GB2312" w:eastAsia="仿宋_GB2312"/>
          <w:sz w:val="30"/>
          <w:szCs w:val="30"/>
        </w:rPr>
      </w:pPr>
      <w:r w:rsidRPr="009A6C80">
        <w:rPr>
          <w:rFonts w:ascii="仿宋_GB2312" w:eastAsia="仿宋_GB2312" w:hint="eastAsia"/>
          <w:b/>
          <w:kern w:val="0"/>
          <w:sz w:val="30"/>
          <w:szCs w:val="30"/>
        </w:rPr>
        <w:t xml:space="preserve">第二十六条  </w:t>
      </w:r>
      <w:r w:rsidRPr="009A6C80">
        <w:rPr>
          <w:rFonts w:ascii="仿宋_GB2312" w:eastAsia="仿宋_GB2312" w:hint="eastAsia"/>
          <w:sz w:val="30"/>
          <w:szCs w:val="30"/>
        </w:rPr>
        <w:t>本所对资产支持证券临时报告编制和披露进行自律监管，并根据监管需要对信息披露义务人、资产证券化业务其他参与机构进行现场或者非现场检查。</w:t>
      </w:r>
    </w:p>
    <w:p w:rsidR="00CC3D6A" w:rsidRDefault="00CC3D6A" w:rsidP="00CC3D6A">
      <w:pPr>
        <w:spacing w:line="560" w:lineRule="exact"/>
        <w:ind w:firstLineChars="200" w:firstLine="602"/>
        <w:rPr>
          <w:rFonts w:ascii="仿宋_GB2312" w:eastAsia="仿宋_GB2312"/>
          <w:sz w:val="30"/>
          <w:szCs w:val="30"/>
        </w:rPr>
      </w:pPr>
      <w:r w:rsidRPr="00B65637">
        <w:rPr>
          <w:rFonts w:ascii="仿宋_GB2312" w:eastAsia="仿宋_GB2312" w:hint="eastAsia"/>
          <w:b/>
          <w:kern w:val="0"/>
          <w:sz w:val="30"/>
          <w:szCs w:val="30"/>
        </w:rPr>
        <w:t>第二十七条</w:t>
      </w:r>
      <w:r>
        <w:rPr>
          <w:rFonts w:ascii="仿宋_GB2312" w:eastAsia="仿宋_GB2312" w:hint="eastAsia"/>
          <w:kern w:val="0"/>
          <w:sz w:val="30"/>
          <w:szCs w:val="30"/>
        </w:rPr>
        <w:t xml:space="preserve">  </w:t>
      </w:r>
      <w:r w:rsidRPr="009A6C80">
        <w:rPr>
          <w:rFonts w:ascii="仿宋_GB2312" w:eastAsia="仿宋_GB2312" w:hint="eastAsia"/>
          <w:kern w:val="0"/>
          <w:sz w:val="30"/>
          <w:szCs w:val="30"/>
        </w:rPr>
        <w:t>信息披露义务人及其人员</w:t>
      </w:r>
      <w:r>
        <w:rPr>
          <w:rFonts w:ascii="仿宋_GB2312" w:eastAsia="仿宋_GB2312" w:hint="eastAsia"/>
          <w:kern w:val="0"/>
          <w:sz w:val="30"/>
          <w:szCs w:val="30"/>
        </w:rPr>
        <w:t>、</w:t>
      </w:r>
      <w:r w:rsidRPr="009A6C80">
        <w:rPr>
          <w:rFonts w:ascii="仿宋_GB2312" w:eastAsia="仿宋_GB2312" w:hint="eastAsia"/>
          <w:kern w:val="0"/>
          <w:sz w:val="30"/>
          <w:szCs w:val="30"/>
        </w:rPr>
        <w:t>资产证券化业务其他参与机构及其人员</w:t>
      </w:r>
      <w:r w:rsidRPr="009A6C80">
        <w:rPr>
          <w:rFonts w:ascii="仿宋_GB2312" w:eastAsia="仿宋_GB2312" w:hint="eastAsia"/>
          <w:sz w:val="30"/>
          <w:szCs w:val="30"/>
        </w:rPr>
        <w:t>违反本指引、本所</w:t>
      </w:r>
      <w:r>
        <w:rPr>
          <w:rFonts w:ascii="仿宋_GB2312" w:eastAsia="仿宋_GB2312" w:hint="eastAsia"/>
          <w:sz w:val="30"/>
          <w:szCs w:val="30"/>
        </w:rPr>
        <w:t>其他</w:t>
      </w:r>
      <w:r w:rsidRPr="009A6C80">
        <w:rPr>
          <w:rFonts w:ascii="仿宋_GB2312" w:eastAsia="仿宋_GB2312" w:hint="eastAsia"/>
          <w:sz w:val="30"/>
          <w:szCs w:val="30"/>
        </w:rPr>
        <w:t>业务规则</w:t>
      </w:r>
      <w:r>
        <w:rPr>
          <w:rFonts w:ascii="仿宋_GB2312" w:eastAsia="仿宋_GB2312" w:hint="eastAsia"/>
          <w:sz w:val="30"/>
          <w:szCs w:val="30"/>
        </w:rPr>
        <w:t>、专项计划文件</w:t>
      </w:r>
      <w:r w:rsidRPr="009A6C80">
        <w:rPr>
          <w:rFonts w:ascii="仿宋_GB2312" w:eastAsia="仿宋_GB2312" w:hint="eastAsia"/>
          <w:sz w:val="30"/>
          <w:szCs w:val="30"/>
        </w:rPr>
        <w:t>约定</w:t>
      </w:r>
      <w:r>
        <w:rPr>
          <w:rFonts w:ascii="仿宋_GB2312" w:eastAsia="仿宋_GB2312" w:hint="eastAsia"/>
          <w:sz w:val="30"/>
          <w:szCs w:val="30"/>
        </w:rPr>
        <w:t>或者</w:t>
      </w:r>
      <w:r w:rsidRPr="009A6C80">
        <w:rPr>
          <w:rFonts w:ascii="仿宋_GB2312" w:eastAsia="仿宋_GB2312" w:hint="eastAsia"/>
          <w:sz w:val="30"/>
          <w:szCs w:val="30"/>
        </w:rPr>
        <w:t>其所</w:t>
      </w:r>
      <w:proofErr w:type="gramStart"/>
      <w:r w:rsidRPr="009A6C80">
        <w:rPr>
          <w:rFonts w:ascii="仿宋_GB2312" w:eastAsia="仿宋_GB2312" w:hint="eastAsia"/>
          <w:sz w:val="30"/>
          <w:szCs w:val="30"/>
        </w:rPr>
        <w:t>作出</w:t>
      </w:r>
      <w:proofErr w:type="gramEnd"/>
      <w:r>
        <w:rPr>
          <w:rFonts w:ascii="仿宋_GB2312" w:eastAsia="仿宋_GB2312" w:hint="eastAsia"/>
          <w:sz w:val="30"/>
          <w:szCs w:val="30"/>
        </w:rPr>
        <w:t>的</w:t>
      </w:r>
      <w:r w:rsidRPr="009A6C80">
        <w:rPr>
          <w:rFonts w:ascii="仿宋_GB2312" w:eastAsia="仿宋_GB2312" w:hint="eastAsia"/>
          <w:sz w:val="30"/>
          <w:szCs w:val="30"/>
        </w:rPr>
        <w:t>承诺</w:t>
      </w:r>
      <w:r>
        <w:rPr>
          <w:rFonts w:ascii="仿宋_GB2312" w:eastAsia="仿宋_GB2312" w:hint="eastAsia"/>
          <w:sz w:val="30"/>
          <w:szCs w:val="30"/>
        </w:rPr>
        <w:t>的</w:t>
      </w:r>
      <w:r w:rsidRPr="009A6C80">
        <w:rPr>
          <w:rFonts w:ascii="仿宋_GB2312" w:eastAsia="仿宋_GB2312" w:hint="eastAsia"/>
          <w:sz w:val="30"/>
          <w:szCs w:val="30"/>
        </w:rPr>
        <w:t>，本所可以</w:t>
      </w:r>
      <w:r>
        <w:rPr>
          <w:rFonts w:ascii="仿宋_GB2312" w:eastAsia="仿宋_GB2312" w:hint="eastAsia"/>
          <w:sz w:val="30"/>
          <w:szCs w:val="30"/>
        </w:rPr>
        <w:t>按照相关业务规则，对其实施监管措施或纪律处分。</w:t>
      </w:r>
    </w:p>
    <w:p w:rsidR="00CC3D6A" w:rsidRDefault="00CC3D6A" w:rsidP="00CC3D6A">
      <w:pPr>
        <w:spacing w:line="560" w:lineRule="exact"/>
        <w:ind w:firstLineChars="200" w:firstLine="602"/>
        <w:rPr>
          <w:rFonts w:ascii="仿宋_GB2312" w:eastAsia="仿宋_GB2312"/>
          <w:sz w:val="30"/>
          <w:szCs w:val="30"/>
        </w:rPr>
      </w:pPr>
      <w:r w:rsidRPr="00B65637">
        <w:rPr>
          <w:rFonts w:ascii="仿宋_GB2312" w:eastAsia="仿宋_GB2312" w:hint="eastAsia"/>
          <w:b/>
          <w:kern w:val="0"/>
          <w:sz w:val="30"/>
          <w:szCs w:val="30"/>
        </w:rPr>
        <w:t>第二十八条</w:t>
      </w:r>
      <w:r>
        <w:rPr>
          <w:rFonts w:ascii="仿宋_GB2312" w:eastAsia="仿宋_GB2312" w:hint="eastAsia"/>
          <w:kern w:val="0"/>
          <w:sz w:val="30"/>
          <w:szCs w:val="30"/>
        </w:rPr>
        <w:t xml:space="preserve">  </w:t>
      </w:r>
      <w:r w:rsidRPr="009A6C80">
        <w:rPr>
          <w:rFonts w:ascii="仿宋_GB2312" w:eastAsia="仿宋_GB2312" w:hint="eastAsia"/>
          <w:kern w:val="0"/>
          <w:sz w:val="30"/>
          <w:szCs w:val="30"/>
        </w:rPr>
        <w:t>信息披露义务人及其人员</w:t>
      </w:r>
      <w:r>
        <w:rPr>
          <w:rFonts w:ascii="仿宋_GB2312" w:eastAsia="仿宋_GB2312" w:hint="eastAsia"/>
          <w:kern w:val="0"/>
          <w:sz w:val="30"/>
          <w:szCs w:val="30"/>
        </w:rPr>
        <w:t>、</w:t>
      </w:r>
      <w:r w:rsidRPr="009A6C80">
        <w:rPr>
          <w:rFonts w:ascii="仿宋_GB2312" w:eastAsia="仿宋_GB2312" w:hint="eastAsia"/>
          <w:kern w:val="0"/>
          <w:sz w:val="30"/>
          <w:szCs w:val="30"/>
        </w:rPr>
        <w:t>资产证券化业务其他参与机构及其人员</w:t>
      </w:r>
      <w:r w:rsidRPr="009A6C80">
        <w:rPr>
          <w:rFonts w:ascii="仿宋_GB2312" w:eastAsia="仿宋_GB2312" w:hint="eastAsia"/>
          <w:sz w:val="30"/>
          <w:szCs w:val="30"/>
        </w:rPr>
        <w:t>违反本指引、本所</w:t>
      </w:r>
      <w:r>
        <w:rPr>
          <w:rFonts w:ascii="仿宋_GB2312" w:eastAsia="仿宋_GB2312" w:hint="eastAsia"/>
          <w:sz w:val="30"/>
          <w:szCs w:val="30"/>
        </w:rPr>
        <w:t>其他</w:t>
      </w:r>
      <w:r w:rsidRPr="009A6C80">
        <w:rPr>
          <w:rFonts w:ascii="仿宋_GB2312" w:eastAsia="仿宋_GB2312" w:hint="eastAsia"/>
          <w:sz w:val="30"/>
          <w:szCs w:val="30"/>
        </w:rPr>
        <w:t>业务规则</w:t>
      </w:r>
      <w:r>
        <w:rPr>
          <w:rFonts w:ascii="仿宋_GB2312" w:eastAsia="仿宋_GB2312" w:hint="eastAsia"/>
          <w:sz w:val="30"/>
          <w:szCs w:val="30"/>
        </w:rPr>
        <w:t>、专项计划文件</w:t>
      </w:r>
      <w:r w:rsidRPr="009A6C80">
        <w:rPr>
          <w:rFonts w:ascii="仿宋_GB2312" w:eastAsia="仿宋_GB2312" w:hint="eastAsia"/>
          <w:sz w:val="30"/>
          <w:szCs w:val="30"/>
        </w:rPr>
        <w:t>约定</w:t>
      </w:r>
      <w:r>
        <w:rPr>
          <w:rFonts w:ascii="仿宋_GB2312" w:eastAsia="仿宋_GB2312" w:hint="eastAsia"/>
          <w:sz w:val="30"/>
          <w:szCs w:val="30"/>
        </w:rPr>
        <w:t>或者</w:t>
      </w:r>
      <w:r w:rsidRPr="009A6C80">
        <w:rPr>
          <w:rFonts w:ascii="仿宋_GB2312" w:eastAsia="仿宋_GB2312" w:hint="eastAsia"/>
          <w:sz w:val="30"/>
          <w:szCs w:val="30"/>
        </w:rPr>
        <w:t>其所</w:t>
      </w:r>
      <w:proofErr w:type="gramStart"/>
      <w:r w:rsidRPr="009A6C80">
        <w:rPr>
          <w:rFonts w:ascii="仿宋_GB2312" w:eastAsia="仿宋_GB2312" w:hint="eastAsia"/>
          <w:sz w:val="30"/>
          <w:szCs w:val="30"/>
        </w:rPr>
        <w:t>作出</w:t>
      </w:r>
      <w:proofErr w:type="gramEnd"/>
      <w:r>
        <w:rPr>
          <w:rFonts w:ascii="仿宋_GB2312" w:eastAsia="仿宋_GB2312" w:hint="eastAsia"/>
          <w:sz w:val="30"/>
          <w:szCs w:val="30"/>
        </w:rPr>
        <w:t>的</w:t>
      </w:r>
      <w:r w:rsidRPr="009A6C80">
        <w:rPr>
          <w:rFonts w:ascii="仿宋_GB2312" w:eastAsia="仿宋_GB2312" w:hint="eastAsia"/>
          <w:sz w:val="30"/>
          <w:szCs w:val="30"/>
        </w:rPr>
        <w:t>承诺</w:t>
      </w:r>
      <w:r>
        <w:rPr>
          <w:rFonts w:ascii="仿宋_GB2312" w:eastAsia="仿宋_GB2312" w:hint="eastAsia"/>
          <w:sz w:val="30"/>
          <w:szCs w:val="30"/>
        </w:rPr>
        <w:t>的</w:t>
      </w:r>
      <w:r w:rsidRPr="009A6C80">
        <w:rPr>
          <w:rFonts w:ascii="仿宋_GB2312" w:eastAsia="仿宋_GB2312" w:hint="eastAsia"/>
          <w:sz w:val="30"/>
          <w:szCs w:val="30"/>
        </w:rPr>
        <w:t>，本所可以</w:t>
      </w:r>
      <w:r>
        <w:rPr>
          <w:rFonts w:ascii="仿宋_GB2312" w:eastAsia="仿宋_GB2312" w:hint="eastAsia"/>
          <w:sz w:val="30"/>
          <w:szCs w:val="30"/>
        </w:rPr>
        <w:t>实施以下监管措施或纪律处分：</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sidRPr="009A6C80">
        <w:rPr>
          <w:rFonts w:ascii="仿宋_GB2312" w:eastAsia="仿宋_GB2312" w:hint="eastAsia"/>
          <w:sz w:val="30"/>
          <w:szCs w:val="30"/>
        </w:rPr>
        <w:t>口头警示</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Pr="009A6C80">
        <w:rPr>
          <w:rFonts w:ascii="仿宋_GB2312" w:eastAsia="仿宋_GB2312" w:hint="eastAsia"/>
          <w:sz w:val="30"/>
          <w:szCs w:val="30"/>
        </w:rPr>
        <w:t>书面警示</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sidRPr="009A6C80">
        <w:rPr>
          <w:rFonts w:ascii="仿宋_GB2312" w:eastAsia="仿宋_GB2312" w:hint="eastAsia"/>
          <w:sz w:val="30"/>
          <w:szCs w:val="30"/>
        </w:rPr>
        <w:t>监管谈话</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sidRPr="009A6C80">
        <w:rPr>
          <w:rFonts w:ascii="仿宋_GB2312" w:eastAsia="仿宋_GB2312" w:hint="eastAsia"/>
          <w:sz w:val="30"/>
          <w:szCs w:val="30"/>
        </w:rPr>
        <w:t>要求限期改正</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（五）</w:t>
      </w:r>
      <w:r w:rsidRPr="009A6C80">
        <w:rPr>
          <w:rFonts w:ascii="仿宋_GB2312" w:eastAsia="仿宋_GB2312" w:hint="eastAsia"/>
          <w:sz w:val="30"/>
          <w:szCs w:val="30"/>
        </w:rPr>
        <w:t>要求公开更正、澄清或说明</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（六）</w:t>
      </w:r>
      <w:r w:rsidRPr="009A6C80">
        <w:rPr>
          <w:rFonts w:ascii="仿宋_GB2312" w:eastAsia="仿宋_GB2312" w:hint="eastAsia"/>
          <w:sz w:val="30"/>
          <w:szCs w:val="30"/>
        </w:rPr>
        <w:t>要求聘请证券服务机构进行核查并发表意见</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（七）</w:t>
      </w:r>
      <w:r w:rsidRPr="009A6C80">
        <w:rPr>
          <w:rFonts w:ascii="仿宋_GB2312" w:eastAsia="仿宋_GB2312" w:hint="eastAsia"/>
          <w:sz w:val="30"/>
          <w:szCs w:val="30"/>
        </w:rPr>
        <w:t>要求限期参加培训或考试</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（八）</w:t>
      </w:r>
      <w:r w:rsidRPr="009A6C80">
        <w:rPr>
          <w:rFonts w:ascii="仿宋_GB2312" w:eastAsia="仿宋_GB2312" w:hint="eastAsia"/>
          <w:sz w:val="30"/>
          <w:szCs w:val="30"/>
        </w:rPr>
        <w:t>要求限期召开投资者说明会</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（九）</w:t>
      </w:r>
      <w:r w:rsidRPr="009A6C80">
        <w:rPr>
          <w:rFonts w:ascii="仿宋_GB2312" w:eastAsia="仿宋_GB2312" w:hint="eastAsia"/>
          <w:sz w:val="30"/>
          <w:szCs w:val="30"/>
        </w:rPr>
        <w:t>暂不</w:t>
      </w:r>
      <w:r>
        <w:rPr>
          <w:rFonts w:ascii="仿宋_GB2312" w:eastAsia="仿宋_GB2312" w:hint="eastAsia"/>
          <w:sz w:val="30"/>
          <w:szCs w:val="30"/>
        </w:rPr>
        <w:t>接受提交的文件；</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（十）通报批评；</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（十一）</w:t>
      </w:r>
      <w:r w:rsidRPr="009A6C80">
        <w:rPr>
          <w:rFonts w:ascii="仿宋_GB2312" w:eastAsia="仿宋_GB2312" w:hint="eastAsia"/>
          <w:sz w:val="30"/>
          <w:szCs w:val="30"/>
        </w:rPr>
        <w:t>公开谴责</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（十二）</w:t>
      </w:r>
      <w:r w:rsidRPr="009A6C80">
        <w:rPr>
          <w:rFonts w:ascii="仿宋_GB2312" w:eastAsia="仿宋_GB2312" w:hint="eastAsia"/>
          <w:sz w:val="30"/>
          <w:szCs w:val="30"/>
        </w:rPr>
        <w:t>收取惩罚性违约金</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（十三）本所规定的其他</w:t>
      </w:r>
      <w:r w:rsidRPr="009A6C80">
        <w:rPr>
          <w:rFonts w:ascii="仿宋_GB2312" w:eastAsia="仿宋_GB2312" w:hint="eastAsia"/>
          <w:sz w:val="30"/>
          <w:szCs w:val="30"/>
        </w:rPr>
        <w:t>监管措施</w:t>
      </w:r>
      <w:r>
        <w:rPr>
          <w:rFonts w:ascii="仿宋_GB2312" w:eastAsia="仿宋_GB2312" w:hint="eastAsia"/>
          <w:sz w:val="30"/>
          <w:szCs w:val="30"/>
        </w:rPr>
        <w:t>或</w:t>
      </w:r>
      <w:r w:rsidRPr="009A6C80">
        <w:rPr>
          <w:rFonts w:ascii="仿宋_GB2312" w:eastAsia="仿宋_GB2312" w:hint="eastAsia"/>
          <w:sz w:val="30"/>
          <w:szCs w:val="30"/>
        </w:rPr>
        <w:t>纪律处分</w:t>
      </w:r>
      <w:r>
        <w:rPr>
          <w:rFonts w:ascii="仿宋_GB2312" w:eastAsia="仿宋_GB2312" w:hint="eastAsia"/>
          <w:sz w:val="30"/>
          <w:szCs w:val="30"/>
        </w:rPr>
        <w:t>。</w:t>
      </w:r>
    </w:p>
    <w:p w:rsidR="00CC3D6A" w:rsidRDefault="00CC3D6A" w:rsidP="00CC3D6A">
      <w:pPr>
        <w:spacing w:line="560" w:lineRule="exact"/>
        <w:ind w:firstLineChars="200" w:firstLine="600"/>
        <w:rPr>
          <w:rFonts w:ascii="仿宋_GB2312" w:eastAsia="仿宋_GB2312"/>
          <w:sz w:val="30"/>
          <w:szCs w:val="30"/>
        </w:rPr>
      </w:pPr>
      <w:r>
        <w:rPr>
          <w:rFonts w:ascii="仿宋_GB2312" w:eastAsia="仿宋_GB2312" w:hint="eastAsia"/>
          <w:sz w:val="30"/>
          <w:szCs w:val="30"/>
        </w:rPr>
        <w:t>本所</w:t>
      </w:r>
      <w:r w:rsidRPr="009A6C80">
        <w:rPr>
          <w:rFonts w:ascii="仿宋_GB2312" w:eastAsia="仿宋_GB2312" w:hint="eastAsia"/>
          <w:sz w:val="30"/>
          <w:szCs w:val="30"/>
        </w:rPr>
        <w:t>可依照相关规定将具有违规行为的信息披露义务人</w:t>
      </w:r>
      <w:r>
        <w:rPr>
          <w:rFonts w:ascii="仿宋_GB2312" w:eastAsia="仿宋_GB2312" w:hint="eastAsia"/>
          <w:sz w:val="30"/>
          <w:szCs w:val="30"/>
        </w:rPr>
        <w:t>及其人员、</w:t>
      </w:r>
      <w:r w:rsidRPr="009A6C80">
        <w:rPr>
          <w:rFonts w:ascii="仿宋_GB2312" w:eastAsia="仿宋_GB2312" w:hint="eastAsia"/>
          <w:kern w:val="0"/>
          <w:sz w:val="30"/>
          <w:szCs w:val="30"/>
        </w:rPr>
        <w:t>资产证券化业务其他参与机构</w:t>
      </w:r>
      <w:r>
        <w:rPr>
          <w:rFonts w:ascii="仿宋_GB2312" w:eastAsia="仿宋_GB2312" w:hint="eastAsia"/>
          <w:sz w:val="30"/>
          <w:szCs w:val="30"/>
        </w:rPr>
        <w:t>及其人员</w:t>
      </w:r>
      <w:r w:rsidRPr="009A6C80">
        <w:rPr>
          <w:rFonts w:ascii="仿宋_GB2312" w:eastAsia="仿宋_GB2312" w:hint="eastAsia"/>
          <w:sz w:val="30"/>
          <w:szCs w:val="30"/>
        </w:rPr>
        <w:t>记入诚信档案。情节严重的，本所可以</w:t>
      </w:r>
      <w:r w:rsidRPr="00716522">
        <w:rPr>
          <w:rFonts w:ascii="仿宋_GB2312" w:eastAsia="仿宋_GB2312" w:hint="eastAsia"/>
          <w:sz w:val="30"/>
          <w:szCs w:val="30"/>
        </w:rPr>
        <w:t>上报相关主管机关查处</w:t>
      </w:r>
      <w:r w:rsidRPr="00B65637">
        <w:rPr>
          <w:rFonts w:ascii="仿宋_GB2312" w:eastAsia="仿宋_GB2312" w:hint="eastAsia"/>
          <w:sz w:val="30"/>
          <w:szCs w:val="30"/>
        </w:rPr>
        <w:t>。</w:t>
      </w:r>
    </w:p>
    <w:p w:rsidR="00CC3D6A" w:rsidRDefault="00CC3D6A" w:rsidP="00CC3D6A">
      <w:pPr>
        <w:spacing w:line="560" w:lineRule="exact"/>
        <w:jc w:val="center"/>
        <w:rPr>
          <w:rFonts w:ascii="黑体" w:eastAsia="黑体" w:hAnsi="黑体"/>
          <w:b/>
          <w:kern w:val="0"/>
          <w:sz w:val="30"/>
          <w:szCs w:val="30"/>
        </w:rPr>
      </w:pPr>
      <w:r w:rsidRPr="009A6C80">
        <w:rPr>
          <w:rFonts w:ascii="黑体" w:eastAsia="黑体" w:hAnsi="黑体" w:hint="eastAsia"/>
          <w:b/>
          <w:kern w:val="0"/>
          <w:sz w:val="30"/>
          <w:szCs w:val="30"/>
        </w:rPr>
        <w:t>第七章  附则</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第二十</w:t>
      </w:r>
      <w:r>
        <w:rPr>
          <w:rFonts w:ascii="仿宋_GB2312" w:eastAsia="仿宋_GB2312" w:hint="eastAsia"/>
          <w:b/>
          <w:kern w:val="0"/>
          <w:sz w:val="30"/>
          <w:szCs w:val="30"/>
        </w:rPr>
        <w:t>九</w:t>
      </w:r>
      <w:r w:rsidRPr="009A6C80">
        <w:rPr>
          <w:rFonts w:ascii="仿宋_GB2312" w:eastAsia="仿宋_GB2312" w:hint="eastAsia"/>
          <w:b/>
          <w:kern w:val="0"/>
          <w:sz w:val="30"/>
          <w:szCs w:val="30"/>
        </w:rPr>
        <w:t xml:space="preserve">条 </w:t>
      </w:r>
      <w:r w:rsidRPr="009A6C80">
        <w:rPr>
          <w:rFonts w:ascii="仿宋_GB2312" w:eastAsia="仿宋_GB2312" w:hint="eastAsia"/>
          <w:kern w:val="0"/>
          <w:sz w:val="30"/>
          <w:szCs w:val="30"/>
        </w:rPr>
        <w:t>本指引所涉及的财务数据，如已经审计，信息披露义务人应当使用经审计的财务数据；未经审计的，信息披露义务人披露的内容应当真实、准确、完整，且注明该财务数据未经审计。</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w:t>
      </w:r>
      <w:r>
        <w:rPr>
          <w:rFonts w:ascii="仿宋_GB2312" w:eastAsia="仿宋_GB2312" w:hint="eastAsia"/>
          <w:b/>
          <w:kern w:val="0"/>
          <w:sz w:val="30"/>
          <w:szCs w:val="30"/>
        </w:rPr>
        <w:t>三十</w:t>
      </w:r>
      <w:r w:rsidRPr="009A6C80">
        <w:rPr>
          <w:rFonts w:ascii="仿宋_GB2312" w:eastAsia="仿宋_GB2312" w:hint="eastAsia"/>
          <w:b/>
          <w:kern w:val="0"/>
          <w:sz w:val="30"/>
          <w:szCs w:val="30"/>
        </w:rPr>
        <w:t xml:space="preserve">条 </w:t>
      </w:r>
      <w:r w:rsidRPr="009A6C80">
        <w:rPr>
          <w:rFonts w:ascii="仿宋_GB2312" w:eastAsia="仿宋_GB2312" w:hint="eastAsia"/>
          <w:kern w:val="0"/>
          <w:sz w:val="30"/>
          <w:szCs w:val="30"/>
        </w:rPr>
        <w:t>信息披露义务人应根据本指引及相关业务规则对不同基础资产类型的资产支持证券进行针对性信息披露。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w:t>
      </w:r>
      <w:r>
        <w:rPr>
          <w:rFonts w:ascii="仿宋_GB2312" w:eastAsia="仿宋_GB2312" w:hint="eastAsia"/>
          <w:b/>
          <w:kern w:val="0"/>
          <w:sz w:val="30"/>
          <w:szCs w:val="30"/>
        </w:rPr>
        <w:t>三十一</w:t>
      </w:r>
      <w:r w:rsidRPr="009A6C80">
        <w:rPr>
          <w:rFonts w:ascii="仿宋_GB2312" w:eastAsia="仿宋_GB2312" w:hint="eastAsia"/>
          <w:b/>
          <w:kern w:val="0"/>
          <w:sz w:val="30"/>
          <w:szCs w:val="30"/>
        </w:rPr>
        <w:t>条</w:t>
      </w:r>
      <w:r w:rsidRPr="009A6C80">
        <w:rPr>
          <w:rFonts w:ascii="仿宋_GB2312" w:eastAsia="仿宋_GB2312" w:hint="eastAsia"/>
          <w:kern w:val="0"/>
          <w:sz w:val="30"/>
          <w:szCs w:val="30"/>
        </w:rPr>
        <w:t xml:space="preserve"> 需同时披露多个临时报告的，信息披露义务人可参照本指引的规定，综合编制一份临时报告对相关事项进行披露。</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第三十</w:t>
      </w:r>
      <w:r>
        <w:rPr>
          <w:rFonts w:ascii="仿宋_GB2312" w:eastAsia="仿宋_GB2312" w:hint="eastAsia"/>
          <w:b/>
          <w:kern w:val="0"/>
          <w:sz w:val="30"/>
          <w:szCs w:val="30"/>
        </w:rPr>
        <w:t>二</w:t>
      </w:r>
      <w:r w:rsidRPr="009A6C80">
        <w:rPr>
          <w:rFonts w:ascii="仿宋_GB2312" w:eastAsia="仿宋_GB2312" w:hint="eastAsia"/>
          <w:b/>
          <w:kern w:val="0"/>
          <w:sz w:val="30"/>
          <w:szCs w:val="30"/>
        </w:rPr>
        <w:t>条</w:t>
      </w:r>
      <w:r w:rsidRPr="009A6C80">
        <w:rPr>
          <w:rFonts w:ascii="仿宋_GB2312" w:eastAsia="仿宋_GB2312" w:hint="eastAsia"/>
          <w:kern w:val="0"/>
          <w:sz w:val="30"/>
          <w:szCs w:val="30"/>
        </w:rPr>
        <w:t xml:space="preserve"> 本指引相关术语的含义：</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（一）本指引所称基础资产，是指符合法律法规规定，权属</w:t>
      </w:r>
      <w:r w:rsidRPr="009A6C80">
        <w:rPr>
          <w:rFonts w:ascii="仿宋_GB2312" w:eastAsia="仿宋_GB2312" w:hint="eastAsia"/>
          <w:kern w:val="0"/>
          <w:sz w:val="30"/>
          <w:szCs w:val="30"/>
        </w:rPr>
        <w:lastRenderedPageBreak/>
        <w:t>明确，可以产生独立、可预测的现金流且可特定化的财产权利或者财产，包含底层基础资产。</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（二）若无特殊说明，本指引所称原始权益人包含特定原始权益人。</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（三）本指引所称基础资产现金</w:t>
      </w:r>
      <w:proofErr w:type="gramStart"/>
      <w:r w:rsidRPr="009A6C80">
        <w:rPr>
          <w:rFonts w:ascii="仿宋_GB2312" w:eastAsia="仿宋_GB2312" w:hint="eastAsia"/>
          <w:kern w:val="0"/>
          <w:sz w:val="30"/>
          <w:szCs w:val="30"/>
        </w:rPr>
        <w:t>流重要</w:t>
      </w:r>
      <w:proofErr w:type="gramEnd"/>
      <w:r w:rsidRPr="009A6C80">
        <w:rPr>
          <w:rFonts w:ascii="仿宋_GB2312" w:eastAsia="仿宋_GB2312" w:hint="eastAsia"/>
          <w:kern w:val="0"/>
          <w:sz w:val="30"/>
          <w:szCs w:val="30"/>
        </w:rPr>
        <w:t>提供方，指基础资产现金流单一提供方按照约定未支付现金</w:t>
      </w:r>
      <w:proofErr w:type="gramStart"/>
      <w:r w:rsidRPr="009A6C80">
        <w:rPr>
          <w:rFonts w:ascii="仿宋_GB2312" w:eastAsia="仿宋_GB2312" w:hint="eastAsia"/>
          <w:kern w:val="0"/>
          <w:sz w:val="30"/>
          <w:szCs w:val="30"/>
        </w:rPr>
        <w:t>流金额占基础</w:t>
      </w:r>
      <w:proofErr w:type="gramEnd"/>
      <w:r w:rsidRPr="009A6C80">
        <w:rPr>
          <w:rFonts w:ascii="仿宋_GB2312" w:eastAsia="仿宋_GB2312" w:hint="eastAsia"/>
          <w:kern w:val="0"/>
          <w:sz w:val="30"/>
          <w:szCs w:val="30"/>
        </w:rPr>
        <w:t>资产未来现金流总额比例超过15%，或该单一提供方及其关联方的未支付现金</w:t>
      </w:r>
      <w:proofErr w:type="gramStart"/>
      <w:r w:rsidRPr="009A6C80">
        <w:rPr>
          <w:rFonts w:ascii="仿宋_GB2312" w:eastAsia="仿宋_GB2312" w:hint="eastAsia"/>
          <w:kern w:val="0"/>
          <w:sz w:val="30"/>
          <w:szCs w:val="30"/>
        </w:rPr>
        <w:t>流金额合计占基础</w:t>
      </w:r>
      <w:proofErr w:type="gramEnd"/>
      <w:r w:rsidRPr="009A6C80">
        <w:rPr>
          <w:rFonts w:ascii="仿宋_GB2312" w:eastAsia="仿宋_GB2312" w:hint="eastAsia"/>
          <w:kern w:val="0"/>
          <w:sz w:val="30"/>
          <w:szCs w:val="30"/>
        </w:rPr>
        <w:t>资产未来现金流总额比例超过20%。</w:t>
      </w:r>
    </w:p>
    <w:p w:rsidR="00CC3D6A" w:rsidRDefault="00CC3D6A" w:rsidP="00CC3D6A">
      <w:pPr>
        <w:spacing w:line="560" w:lineRule="exact"/>
        <w:ind w:firstLineChars="200" w:firstLine="600"/>
        <w:rPr>
          <w:rFonts w:ascii="仿宋_GB2312" w:eastAsia="仿宋_GB2312"/>
          <w:kern w:val="0"/>
          <w:sz w:val="30"/>
          <w:szCs w:val="30"/>
        </w:rPr>
      </w:pPr>
      <w:r w:rsidRPr="009A6C80">
        <w:rPr>
          <w:rFonts w:ascii="仿宋_GB2312" w:eastAsia="仿宋_GB2312" w:hint="eastAsia"/>
          <w:kern w:val="0"/>
          <w:sz w:val="30"/>
          <w:szCs w:val="30"/>
        </w:rPr>
        <w:t>（四）本指引所称的“以上”含本数，“超过”不含本数。</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第三十</w:t>
      </w:r>
      <w:r>
        <w:rPr>
          <w:rFonts w:ascii="仿宋_GB2312" w:eastAsia="仿宋_GB2312" w:hint="eastAsia"/>
          <w:b/>
          <w:kern w:val="0"/>
          <w:sz w:val="30"/>
          <w:szCs w:val="30"/>
        </w:rPr>
        <w:t>三</w:t>
      </w:r>
      <w:r w:rsidRPr="009A6C80">
        <w:rPr>
          <w:rFonts w:ascii="仿宋_GB2312" w:eastAsia="仿宋_GB2312" w:hint="eastAsia"/>
          <w:b/>
          <w:kern w:val="0"/>
          <w:sz w:val="30"/>
          <w:szCs w:val="30"/>
        </w:rPr>
        <w:t xml:space="preserve">条 </w:t>
      </w:r>
      <w:r w:rsidRPr="009A6C80">
        <w:rPr>
          <w:rFonts w:ascii="仿宋_GB2312" w:eastAsia="仿宋_GB2312" w:hint="eastAsia"/>
          <w:kern w:val="0"/>
          <w:sz w:val="30"/>
          <w:szCs w:val="30"/>
        </w:rPr>
        <w:t>本指引由本所负责解释。</w:t>
      </w:r>
    </w:p>
    <w:p w:rsidR="00CC3D6A" w:rsidRDefault="00CC3D6A" w:rsidP="00CC3D6A">
      <w:pPr>
        <w:spacing w:line="560" w:lineRule="exact"/>
        <w:ind w:firstLineChars="200" w:firstLine="602"/>
        <w:rPr>
          <w:rFonts w:ascii="仿宋_GB2312" w:eastAsia="仿宋_GB2312"/>
          <w:kern w:val="0"/>
          <w:sz w:val="30"/>
          <w:szCs w:val="30"/>
        </w:rPr>
      </w:pPr>
      <w:r w:rsidRPr="009A6C80">
        <w:rPr>
          <w:rFonts w:ascii="仿宋_GB2312" w:eastAsia="仿宋_GB2312" w:hint="eastAsia"/>
          <w:b/>
          <w:kern w:val="0"/>
          <w:sz w:val="30"/>
          <w:szCs w:val="30"/>
        </w:rPr>
        <w:t>第三十</w:t>
      </w:r>
      <w:r>
        <w:rPr>
          <w:rFonts w:ascii="仿宋_GB2312" w:eastAsia="仿宋_GB2312" w:hint="eastAsia"/>
          <w:b/>
          <w:kern w:val="0"/>
          <w:sz w:val="30"/>
          <w:szCs w:val="30"/>
        </w:rPr>
        <w:t>四</w:t>
      </w:r>
      <w:r w:rsidRPr="009A6C80">
        <w:rPr>
          <w:rFonts w:ascii="仿宋_GB2312" w:eastAsia="仿宋_GB2312" w:hint="eastAsia"/>
          <w:b/>
          <w:kern w:val="0"/>
          <w:sz w:val="30"/>
          <w:szCs w:val="30"/>
        </w:rPr>
        <w:t xml:space="preserve">条 </w:t>
      </w:r>
      <w:r w:rsidRPr="009A6C80">
        <w:rPr>
          <w:rFonts w:ascii="仿宋_GB2312" w:eastAsia="仿宋_GB2312" w:hint="eastAsia"/>
          <w:kern w:val="0"/>
          <w:sz w:val="30"/>
          <w:szCs w:val="30"/>
        </w:rPr>
        <w:t>本指引自发布之日起施行。</w:t>
      </w:r>
    </w:p>
    <w:p w:rsidR="00CC3D6A" w:rsidRDefault="00CC3D6A" w:rsidP="00CC3D6A">
      <w:pPr>
        <w:spacing w:line="560" w:lineRule="exact"/>
        <w:ind w:firstLineChars="200" w:firstLine="600"/>
        <w:rPr>
          <w:rFonts w:ascii="仿宋_GB2312" w:eastAsia="仿宋_GB2312"/>
          <w:kern w:val="0"/>
          <w:sz w:val="30"/>
          <w:szCs w:val="30"/>
        </w:rPr>
      </w:pPr>
    </w:p>
    <w:p w:rsidR="00CC3D6A" w:rsidRDefault="00CC3D6A" w:rsidP="00CC3D6A">
      <w:pPr>
        <w:spacing w:line="560" w:lineRule="exact"/>
        <w:ind w:firstLineChars="200" w:firstLine="600"/>
        <w:rPr>
          <w:rFonts w:ascii="仿宋_GB2312" w:eastAsia="仿宋_GB2312"/>
          <w:kern w:val="0"/>
          <w:sz w:val="30"/>
          <w:szCs w:val="30"/>
        </w:rPr>
      </w:pPr>
      <w:r w:rsidRPr="00EB03DD">
        <w:rPr>
          <w:rFonts w:ascii="仿宋_GB2312" w:eastAsia="仿宋_GB2312" w:hint="eastAsia"/>
          <w:kern w:val="0"/>
          <w:sz w:val="30"/>
          <w:szCs w:val="30"/>
        </w:rPr>
        <w:t>附件：资产支持证券临时报告格式指引</w:t>
      </w:r>
    </w:p>
    <w:p w:rsidR="0041372A" w:rsidRDefault="0041372A" w:rsidP="00CC3D6A">
      <w:pPr>
        <w:widowControl/>
        <w:jc w:val="center"/>
        <w:rPr>
          <w:rFonts w:ascii="仿宋_GB2312" w:eastAsia="仿宋_GB2312" w:hAnsi="Calibri" w:hint="eastAsia"/>
          <w:sz w:val="30"/>
          <w:szCs w:val="30"/>
        </w:rPr>
      </w:pPr>
    </w:p>
    <w:p w:rsidR="00C03337" w:rsidRDefault="00C03337" w:rsidP="00CC3D6A">
      <w:pPr>
        <w:widowControl/>
        <w:jc w:val="center"/>
        <w:rPr>
          <w:rFonts w:ascii="仿宋_GB2312" w:eastAsia="仿宋_GB2312" w:hAnsi="Calibri" w:hint="eastAsia"/>
          <w:sz w:val="30"/>
          <w:szCs w:val="30"/>
        </w:rPr>
      </w:pPr>
    </w:p>
    <w:p w:rsidR="00C03337" w:rsidRDefault="00C03337" w:rsidP="00CC3D6A">
      <w:pPr>
        <w:widowControl/>
        <w:jc w:val="center"/>
        <w:rPr>
          <w:rFonts w:ascii="仿宋_GB2312" w:eastAsia="仿宋_GB2312" w:hAnsi="Calibri" w:hint="eastAsia"/>
          <w:sz w:val="30"/>
          <w:szCs w:val="30"/>
        </w:rPr>
      </w:pPr>
    </w:p>
    <w:p w:rsidR="00C03337" w:rsidRDefault="00C03337" w:rsidP="00CC3D6A">
      <w:pPr>
        <w:widowControl/>
        <w:jc w:val="center"/>
        <w:rPr>
          <w:rFonts w:ascii="仿宋_GB2312" w:eastAsia="仿宋_GB2312" w:hAnsi="Calibri" w:hint="eastAsia"/>
          <w:sz w:val="30"/>
          <w:szCs w:val="30"/>
        </w:rPr>
      </w:pPr>
    </w:p>
    <w:p w:rsidR="00C03337" w:rsidRPr="00CC3D6A" w:rsidRDefault="00C03337" w:rsidP="00CC3D6A">
      <w:pPr>
        <w:widowControl/>
        <w:jc w:val="center"/>
        <w:rPr>
          <w:rFonts w:ascii="仿宋_GB2312" w:eastAsia="仿宋_GB2312" w:hAnsi="Calibri"/>
          <w:sz w:val="30"/>
          <w:szCs w:val="30"/>
        </w:rPr>
      </w:pPr>
    </w:p>
    <w:sectPr w:rsidR="00C03337" w:rsidRPr="00CC3D6A"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981" w:rsidRDefault="00582981">
      <w:r>
        <w:separator/>
      </w:r>
    </w:p>
  </w:endnote>
  <w:endnote w:type="continuationSeparator" w:id="1">
    <w:p w:rsidR="00582981" w:rsidRDefault="00582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267B87">
      <w:rPr>
        <w:noProof/>
        <w:sz w:val="28"/>
      </w:rPr>
      <w:t>10</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267B87">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981" w:rsidRDefault="00582981">
      <w:r>
        <w:separator/>
      </w:r>
    </w:p>
  </w:footnote>
  <w:footnote w:type="continuationSeparator" w:id="1">
    <w:p w:rsidR="00582981" w:rsidRDefault="0058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2">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3">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4">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5">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6">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1">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3">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4">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7">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8">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039B55"/>
    <w:multiLevelType w:val="singleLevel"/>
    <w:tmpl w:val="57039B55"/>
    <w:lvl w:ilvl="0">
      <w:start w:val="3"/>
      <w:numFmt w:val="chineseCounting"/>
      <w:suff w:val="nothing"/>
      <w:lvlText w:val="（%1）"/>
      <w:lvlJc w:val="left"/>
      <w:rPr>
        <w:rFonts w:cs="Times New Roman"/>
      </w:rPr>
    </w:lvl>
  </w:abstractNum>
  <w:abstractNum w:abstractNumId="4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2">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6"/>
  </w:num>
  <w:num w:numId="2">
    <w:abstractNumId w:val="8"/>
  </w:num>
  <w:num w:numId="3">
    <w:abstractNumId w:val="33"/>
  </w:num>
  <w:num w:numId="4">
    <w:abstractNumId w:val="35"/>
  </w:num>
  <w:num w:numId="5">
    <w:abstractNumId w:val="22"/>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3"/>
  </w:num>
  <w:num w:numId="9">
    <w:abstractNumId w:val="24"/>
  </w:num>
  <w:num w:numId="10">
    <w:abstractNumId w:val="17"/>
  </w:num>
  <w:num w:numId="11">
    <w:abstractNumId w:val="42"/>
  </w:num>
  <w:num w:numId="12">
    <w:abstractNumId w:val="13"/>
  </w:num>
  <w:num w:numId="13">
    <w:abstractNumId w:val="34"/>
  </w:num>
  <w:num w:numId="14">
    <w:abstractNumId w:val="27"/>
  </w:num>
  <w:num w:numId="15">
    <w:abstractNumId w:val="26"/>
  </w:num>
  <w:num w:numId="16">
    <w:abstractNumId w:val="39"/>
  </w:num>
  <w:num w:numId="17">
    <w:abstractNumId w:val="41"/>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0"/>
  </w:num>
  <w:num w:numId="37">
    <w:abstractNumId w:val="16"/>
  </w:num>
  <w:num w:numId="38">
    <w:abstractNumId w:val="37"/>
  </w:num>
  <w:num w:numId="39">
    <w:abstractNumId w:val="38"/>
  </w:num>
  <w:num w:numId="40">
    <w:abstractNumId w:val="15"/>
  </w:num>
  <w:num w:numId="41">
    <w:abstractNumId w:val="28"/>
  </w:num>
  <w:num w:numId="42">
    <w:abstractNumId w:val="29"/>
  </w:num>
  <w:num w:numId="43">
    <w:abstractNumId w:val="32"/>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C6B"/>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2324"/>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45A4"/>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F16"/>
    <w:rsid w:val="00233149"/>
    <w:rsid w:val="002344BE"/>
    <w:rsid w:val="00234A4F"/>
    <w:rsid w:val="00234E30"/>
    <w:rsid w:val="00235263"/>
    <w:rsid w:val="00240656"/>
    <w:rsid w:val="002436E6"/>
    <w:rsid w:val="00243E11"/>
    <w:rsid w:val="002441E9"/>
    <w:rsid w:val="00244718"/>
    <w:rsid w:val="00245FED"/>
    <w:rsid w:val="002467EF"/>
    <w:rsid w:val="00247A8F"/>
    <w:rsid w:val="002535BA"/>
    <w:rsid w:val="002549B0"/>
    <w:rsid w:val="00256A60"/>
    <w:rsid w:val="00260879"/>
    <w:rsid w:val="00260FCD"/>
    <w:rsid w:val="002618E8"/>
    <w:rsid w:val="0026217A"/>
    <w:rsid w:val="002635C2"/>
    <w:rsid w:val="00263787"/>
    <w:rsid w:val="002649A0"/>
    <w:rsid w:val="00266DD8"/>
    <w:rsid w:val="002679E4"/>
    <w:rsid w:val="00267B6F"/>
    <w:rsid w:val="00267B87"/>
    <w:rsid w:val="00267D17"/>
    <w:rsid w:val="0027033D"/>
    <w:rsid w:val="00270D15"/>
    <w:rsid w:val="00271DEA"/>
    <w:rsid w:val="0027267F"/>
    <w:rsid w:val="00272B98"/>
    <w:rsid w:val="00275429"/>
    <w:rsid w:val="0027565F"/>
    <w:rsid w:val="00275CBD"/>
    <w:rsid w:val="00275FED"/>
    <w:rsid w:val="00277FFE"/>
    <w:rsid w:val="00280575"/>
    <w:rsid w:val="002839B7"/>
    <w:rsid w:val="0028470E"/>
    <w:rsid w:val="002850BA"/>
    <w:rsid w:val="002939FC"/>
    <w:rsid w:val="002948E6"/>
    <w:rsid w:val="00294A2C"/>
    <w:rsid w:val="00296697"/>
    <w:rsid w:val="002A028B"/>
    <w:rsid w:val="002A0A0B"/>
    <w:rsid w:val="002A0FC5"/>
    <w:rsid w:val="002A239C"/>
    <w:rsid w:val="002A3524"/>
    <w:rsid w:val="002A38C3"/>
    <w:rsid w:val="002A5B12"/>
    <w:rsid w:val="002A7D56"/>
    <w:rsid w:val="002B0D2D"/>
    <w:rsid w:val="002B34E9"/>
    <w:rsid w:val="002B3909"/>
    <w:rsid w:val="002B5C1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75F6"/>
    <w:rsid w:val="003F318F"/>
    <w:rsid w:val="0040193F"/>
    <w:rsid w:val="00401D7B"/>
    <w:rsid w:val="00401ED0"/>
    <w:rsid w:val="004050CB"/>
    <w:rsid w:val="0040559C"/>
    <w:rsid w:val="00412C9B"/>
    <w:rsid w:val="0041372A"/>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0AE"/>
    <w:rsid w:val="004C36A0"/>
    <w:rsid w:val="004C3E81"/>
    <w:rsid w:val="004C5C9E"/>
    <w:rsid w:val="004C7695"/>
    <w:rsid w:val="004C7A14"/>
    <w:rsid w:val="004D006C"/>
    <w:rsid w:val="004D192C"/>
    <w:rsid w:val="004D2769"/>
    <w:rsid w:val="004D3CA9"/>
    <w:rsid w:val="004D56FB"/>
    <w:rsid w:val="004D5968"/>
    <w:rsid w:val="004E3143"/>
    <w:rsid w:val="004E46A0"/>
    <w:rsid w:val="004E60FA"/>
    <w:rsid w:val="004E70D1"/>
    <w:rsid w:val="004F0560"/>
    <w:rsid w:val="004F0E96"/>
    <w:rsid w:val="004F282C"/>
    <w:rsid w:val="00501E8E"/>
    <w:rsid w:val="00502B77"/>
    <w:rsid w:val="00506CFA"/>
    <w:rsid w:val="005114C0"/>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2AD1"/>
    <w:rsid w:val="00545E78"/>
    <w:rsid w:val="00546621"/>
    <w:rsid w:val="0055053A"/>
    <w:rsid w:val="00550946"/>
    <w:rsid w:val="00551C59"/>
    <w:rsid w:val="00556AC5"/>
    <w:rsid w:val="00556F5A"/>
    <w:rsid w:val="00557DDC"/>
    <w:rsid w:val="00557E04"/>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2981"/>
    <w:rsid w:val="005841B7"/>
    <w:rsid w:val="0058429F"/>
    <w:rsid w:val="00584DE5"/>
    <w:rsid w:val="005852F4"/>
    <w:rsid w:val="00586A5C"/>
    <w:rsid w:val="005871A7"/>
    <w:rsid w:val="00591567"/>
    <w:rsid w:val="0059289B"/>
    <w:rsid w:val="0059467A"/>
    <w:rsid w:val="00597C58"/>
    <w:rsid w:val="005B0A0A"/>
    <w:rsid w:val="005B1EF7"/>
    <w:rsid w:val="005B3346"/>
    <w:rsid w:val="005B4A0C"/>
    <w:rsid w:val="005B740A"/>
    <w:rsid w:val="005C0AA5"/>
    <w:rsid w:val="005C1D93"/>
    <w:rsid w:val="005C2403"/>
    <w:rsid w:val="005D1E77"/>
    <w:rsid w:val="005D34F3"/>
    <w:rsid w:val="005D655A"/>
    <w:rsid w:val="005E4BD1"/>
    <w:rsid w:val="005E6B96"/>
    <w:rsid w:val="005E6D26"/>
    <w:rsid w:val="005F0B5C"/>
    <w:rsid w:val="005F1000"/>
    <w:rsid w:val="005F5CEB"/>
    <w:rsid w:val="006012ED"/>
    <w:rsid w:val="00604249"/>
    <w:rsid w:val="006046F4"/>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0F2C"/>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0837"/>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E53B6"/>
    <w:rsid w:val="006F0FD0"/>
    <w:rsid w:val="006F1AC8"/>
    <w:rsid w:val="006F4BC0"/>
    <w:rsid w:val="006F7476"/>
    <w:rsid w:val="006F76EC"/>
    <w:rsid w:val="00700E2A"/>
    <w:rsid w:val="00702262"/>
    <w:rsid w:val="00702B5A"/>
    <w:rsid w:val="00702F9F"/>
    <w:rsid w:val="00706175"/>
    <w:rsid w:val="0071240E"/>
    <w:rsid w:val="0071283D"/>
    <w:rsid w:val="00713A56"/>
    <w:rsid w:val="00714813"/>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4B0F"/>
    <w:rsid w:val="00755115"/>
    <w:rsid w:val="00760416"/>
    <w:rsid w:val="007677C1"/>
    <w:rsid w:val="00772D4D"/>
    <w:rsid w:val="00772E38"/>
    <w:rsid w:val="00773E8A"/>
    <w:rsid w:val="0077613F"/>
    <w:rsid w:val="0077623D"/>
    <w:rsid w:val="007763AD"/>
    <w:rsid w:val="007808CE"/>
    <w:rsid w:val="007825D2"/>
    <w:rsid w:val="007830C3"/>
    <w:rsid w:val="00784B4B"/>
    <w:rsid w:val="00784FDA"/>
    <w:rsid w:val="00790B83"/>
    <w:rsid w:val="007A097C"/>
    <w:rsid w:val="007A0D40"/>
    <w:rsid w:val="007A2438"/>
    <w:rsid w:val="007A3627"/>
    <w:rsid w:val="007A6813"/>
    <w:rsid w:val="007B0FD7"/>
    <w:rsid w:val="007B1705"/>
    <w:rsid w:val="007B1D1F"/>
    <w:rsid w:val="007B20D3"/>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48"/>
    <w:rsid w:val="00810099"/>
    <w:rsid w:val="00812B58"/>
    <w:rsid w:val="008131EF"/>
    <w:rsid w:val="00813912"/>
    <w:rsid w:val="00817688"/>
    <w:rsid w:val="00817CA1"/>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4BD0"/>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007C"/>
    <w:rsid w:val="008A1745"/>
    <w:rsid w:val="008A5BEB"/>
    <w:rsid w:val="008A5E4F"/>
    <w:rsid w:val="008B2795"/>
    <w:rsid w:val="008B2F51"/>
    <w:rsid w:val="008B3745"/>
    <w:rsid w:val="008B577C"/>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305"/>
    <w:rsid w:val="008E38FD"/>
    <w:rsid w:val="008E4675"/>
    <w:rsid w:val="008E6141"/>
    <w:rsid w:val="008E64AA"/>
    <w:rsid w:val="008E67E1"/>
    <w:rsid w:val="008E70EF"/>
    <w:rsid w:val="008E779F"/>
    <w:rsid w:val="008F0EE3"/>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1EA3"/>
    <w:rsid w:val="00942841"/>
    <w:rsid w:val="00943054"/>
    <w:rsid w:val="0094344B"/>
    <w:rsid w:val="00944CA6"/>
    <w:rsid w:val="009469CA"/>
    <w:rsid w:val="00946AF3"/>
    <w:rsid w:val="00946E57"/>
    <w:rsid w:val="00947BF3"/>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544"/>
    <w:rsid w:val="009876E3"/>
    <w:rsid w:val="00990027"/>
    <w:rsid w:val="00992635"/>
    <w:rsid w:val="00995B90"/>
    <w:rsid w:val="00996D3E"/>
    <w:rsid w:val="009A45F5"/>
    <w:rsid w:val="009A52E1"/>
    <w:rsid w:val="009A54EE"/>
    <w:rsid w:val="009B04E7"/>
    <w:rsid w:val="009B2C2E"/>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1E61"/>
    <w:rsid w:val="00A12A4E"/>
    <w:rsid w:val="00A13044"/>
    <w:rsid w:val="00A138FF"/>
    <w:rsid w:val="00A151ED"/>
    <w:rsid w:val="00A165BD"/>
    <w:rsid w:val="00A213F5"/>
    <w:rsid w:val="00A2393F"/>
    <w:rsid w:val="00A271E5"/>
    <w:rsid w:val="00A27D95"/>
    <w:rsid w:val="00A33C9F"/>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AF5338"/>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5283F"/>
    <w:rsid w:val="00B57B90"/>
    <w:rsid w:val="00B62790"/>
    <w:rsid w:val="00B661EC"/>
    <w:rsid w:val="00B6696B"/>
    <w:rsid w:val="00B671AF"/>
    <w:rsid w:val="00B67E73"/>
    <w:rsid w:val="00B72D35"/>
    <w:rsid w:val="00B73134"/>
    <w:rsid w:val="00B73B59"/>
    <w:rsid w:val="00B777DC"/>
    <w:rsid w:val="00B81C86"/>
    <w:rsid w:val="00B84D0F"/>
    <w:rsid w:val="00B85CB9"/>
    <w:rsid w:val="00B86C6A"/>
    <w:rsid w:val="00B9008D"/>
    <w:rsid w:val="00B91F88"/>
    <w:rsid w:val="00B95AC1"/>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237C"/>
    <w:rsid w:val="00BF4692"/>
    <w:rsid w:val="00BF54AF"/>
    <w:rsid w:val="00BF69B9"/>
    <w:rsid w:val="00BF7CEC"/>
    <w:rsid w:val="00C010F2"/>
    <w:rsid w:val="00C03337"/>
    <w:rsid w:val="00C044E4"/>
    <w:rsid w:val="00C04696"/>
    <w:rsid w:val="00C074F2"/>
    <w:rsid w:val="00C13461"/>
    <w:rsid w:val="00C13FFE"/>
    <w:rsid w:val="00C141BA"/>
    <w:rsid w:val="00C167D3"/>
    <w:rsid w:val="00C177C8"/>
    <w:rsid w:val="00C2165D"/>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3D6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2BCF"/>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19BD"/>
    <w:rsid w:val="00D72578"/>
    <w:rsid w:val="00D728E3"/>
    <w:rsid w:val="00D731DD"/>
    <w:rsid w:val="00D7460C"/>
    <w:rsid w:val="00D768DD"/>
    <w:rsid w:val="00D76E4A"/>
    <w:rsid w:val="00D76F42"/>
    <w:rsid w:val="00D774F7"/>
    <w:rsid w:val="00D814C1"/>
    <w:rsid w:val="00D81A51"/>
    <w:rsid w:val="00D8304C"/>
    <w:rsid w:val="00D83DE2"/>
    <w:rsid w:val="00D867B7"/>
    <w:rsid w:val="00D91B5C"/>
    <w:rsid w:val="00D91C9F"/>
    <w:rsid w:val="00D92119"/>
    <w:rsid w:val="00D92B4B"/>
    <w:rsid w:val="00D93EB7"/>
    <w:rsid w:val="00D94438"/>
    <w:rsid w:val="00D9630E"/>
    <w:rsid w:val="00D96B8E"/>
    <w:rsid w:val="00D97317"/>
    <w:rsid w:val="00D9743F"/>
    <w:rsid w:val="00D97FA0"/>
    <w:rsid w:val="00DA4932"/>
    <w:rsid w:val="00DA4BD9"/>
    <w:rsid w:val="00DA72ED"/>
    <w:rsid w:val="00DB42D5"/>
    <w:rsid w:val="00DB5F8F"/>
    <w:rsid w:val="00DC0BD8"/>
    <w:rsid w:val="00DC17D9"/>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00B"/>
    <w:rsid w:val="00DF21E2"/>
    <w:rsid w:val="00DF527D"/>
    <w:rsid w:val="00DF59AD"/>
    <w:rsid w:val="00DF7696"/>
    <w:rsid w:val="00E02B93"/>
    <w:rsid w:val="00E05AE9"/>
    <w:rsid w:val="00E06E44"/>
    <w:rsid w:val="00E10910"/>
    <w:rsid w:val="00E1170D"/>
    <w:rsid w:val="00E11A6F"/>
    <w:rsid w:val="00E11B42"/>
    <w:rsid w:val="00E124E5"/>
    <w:rsid w:val="00E23056"/>
    <w:rsid w:val="00E2329A"/>
    <w:rsid w:val="00E24818"/>
    <w:rsid w:val="00E26798"/>
    <w:rsid w:val="00E26808"/>
    <w:rsid w:val="00E2681C"/>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4206"/>
    <w:rsid w:val="00E77C2F"/>
    <w:rsid w:val="00E80F43"/>
    <w:rsid w:val="00E818EC"/>
    <w:rsid w:val="00E81A7A"/>
    <w:rsid w:val="00E82B0D"/>
    <w:rsid w:val="00E833C4"/>
    <w:rsid w:val="00E837DF"/>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qForma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2A1A-01D8-4D85-A73A-FC417693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2019-10-10T02:36:00Z</cp:lastPrinted>
  <dcterms:created xsi:type="dcterms:W3CDTF">2019-11-01T06:10:00Z</dcterms:created>
  <dcterms:modified xsi:type="dcterms:W3CDTF">2019-11-01T06:10:00Z</dcterms:modified>
</cp:coreProperties>
</file>