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6C" w:rsidRDefault="00B3576C" w:rsidP="00B3576C">
      <w:pPr>
        <w:rPr>
          <w:rFonts w:ascii="Times New Roman" w:eastAsia="方正仿宋简体" w:hAnsi="Times New Roman" w:cs="Times New Roman"/>
          <w:sz w:val="28"/>
          <w:szCs w:val="30"/>
        </w:rPr>
      </w:pPr>
      <w:r w:rsidRPr="0097414D">
        <w:rPr>
          <w:rFonts w:ascii="Times New Roman" w:eastAsia="方正仿宋简体" w:hAnsi="Times New Roman" w:cs="Times New Roman"/>
          <w:sz w:val="28"/>
          <w:szCs w:val="30"/>
        </w:rPr>
        <w:t>附</w:t>
      </w:r>
      <w:r>
        <w:rPr>
          <w:rFonts w:ascii="Times New Roman" w:eastAsia="方正仿宋简体" w:hAnsi="Times New Roman" w:cs="Times New Roman" w:hint="eastAsia"/>
          <w:sz w:val="28"/>
          <w:szCs w:val="30"/>
        </w:rPr>
        <w:t>件</w:t>
      </w:r>
    </w:p>
    <w:p w:rsidR="00B3576C" w:rsidRPr="0097414D" w:rsidRDefault="00B3576C" w:rsidP="00B3576C">
      <w:pPr>
        <w:rPr>
          <w:rFonts w:ascii="Times New Roman" w:eastAsia="方正仿宋简体" w:hAnsi="Times New Roman" w:cs="Times New Roman"/>
          <w:sz w:val="28"/>
          <w:szCs w:val="30"/>
        </w:rPr>
      </w:pPr>
    </w:p>
    <w:p w:rsidR="00B3576C" w:rsidRPr="0097414D" w:rsidRDefault="00B3576C" w:rsidP="00B3576C">
      <w:pPr>
        <w:widowControl/>
        <w:jc w:val="center"/>
        <w:rPr>
          <w:rFonts w:ascii="方正大标宋简体" w:eastAsia="方正大标宋简体" w:hAnsi="黑体" w:cs="宋体"/>
          <w:bCs/>
          <w:color w:val="000000"/>
          <w:kern w:val="0"/>
          <w:sz w:val="42"/>
          <w:szCs w:val="42"/>
        </w:rPr>
      </w:pPr>
      <w:r w:rsidRPr="0097414D">
        <w:rPr>
          <w:rFonts w:ascii="方正大标宋简体" w:eastAsia="方正大标宋简体" w:hAnsi="黑体" w:cs="宋体" w:hint="eastAsia"/>
          <w:bCs/>
          <w:color w:val="000000"/>
          <w:kern w:val="0"/>
          <w:sz w:val="42"/>
          <w:szCs w:val="42"/>
        </w:rPr>
        <w:t>主办券商执业质量负面行为清单</w:t>
      </w:r>
    </w:p>
    <w:p w:rsidR="00B3576C" w:rsidRPr="00F6648F" w:rsidRDefault="00B3576C" w:rsidP="00B3576C">
      <w:pPr>
        <w:widowControl/>
        <w:spacing w:line="400" w:lineRule="exact"/>
        <w:jc w:val="center"/>
        <w:rPr>
          <w:rFonts w:ascii="方正仿宋简体" w:eastAsia="方正仿宋简体" w:hAnsi="黑体"/>
          <w:b/>
          <w:sz w:val="30"/>
          <w:szCs w:val="30"/>
        </w:rPr>
      </w:pPr>
    </w:p>
    <w:tbl>
      <w:tblPr>
        <w:tblW w:w="804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68"/>
        <w:gridCol w:w="1412"/>
        <w:gridCol w:w="4658"/>
      </w:tblGrid>
      <w:tr w:rsidR="00B3576C" w:rsidRPr="00836CBD" w:rsidTr="007D2F15">
        <w:trPr>
          <w:cantSplit/>
          <w:trHeight w:val="717"/>
        </w:trPr>
        <w:tc>
          <w:tcPr>
            <w:tcW w:w="709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60" w:left="-20" w:rightChars="-42" w:right="-88" w:hangingChars="44" w:hanging="106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123" w:left="-135" w:rightChars="-136" w:right="-286" w:hangingChars="51" w:hanging="123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行为类别</w:t>
            </w:r>
          </w:p>
        </w:tc>
        <w:tc>
          <w:tcPr>
            <w:tcW w:w="6070" w:type="dxa"/>
            <w:gridSpan w:val="2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行为描述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推荐挂牌负面行为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受理材料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BPM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报送申请挂牌材料被全国股转公司受理处驳回。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申请挂牌主体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ind w:rightChars="-46" w:right="-97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申报主体不符合挂牌条件，仍予以推荐申报。</w:t>
            </w:r>
          </w:p>
        </w:tc>
      </w:tr>
      <w:tr w:rsidR="00B3576C" w:rsidRPr="00836CBD" w:rsidTr="007D2F15">
        <w:trPr>
          <w:cantSplit/>
          <w:trHeight w:val="54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申请挂牌材料</w:t>
            </w:r>
          </w:p>
          <w:p w:rsidR="00B3576C" w:rsidRPr="00836CBD" w:rsidRDefault="00B3576C" w:rsidP="007D2F15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申报文件未按照《公开转让说明书内容与格式指引（试行）》列示内容履行最低信息披露要求。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7D2F15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未经过相应程序而修改信息披露文件，或未对修改信息披露内容予以说明。</w:t>
            </w:r>
          </w:p>
        </w:tc>
      </w:tr>
      <w:tr w:rsidR="00B3576C" w:rsidRPr="00836CBD" w:rsidTr="007D2F15">
        <w:trPr>
          <w:cantSplit/>
          <w:trHeight w:val="54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7D2F15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申报文件形式与内容存在包括且不限于以下问题：文件错传、漏传；披露文件存在财务数据、单位错误；披露文件存在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处以上的文字错误等。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7D2F15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申报文件对同一事项表述前后矛盾，中介机构对同一事项发表意见不一致。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7D2F15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BPM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系统填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报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信息不实。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针对同一问题反馈三次（含）以上。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核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内核要点</w:t>
            </w:r>
            <w:proofErr w:type="gramStart"/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核查表未明确</w:t>
            </w:r>
            <w:proofErr w:type="gramEnd"/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填写核查结论、表述模糊。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披露及挂牌事务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披露及挂牌事务办理不符合《股票挂牌业务操作指南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（试行）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》的要求。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其他负面行为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7D2F15">
            <w:pPr>
              <w:widowControl/>
              <w:spacing w:line="300" w:lineRule="exact"/>
              <w:ind w:rightChars="-114" w:right="-239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其他影响全国股转公司审核员履职的行为。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8" w:type="dxa"/>
            <w:vMerge w:val="restart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挂牌后督导负面行为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受理材料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报送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股票发行备案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申请材料被全国股转公司受理处驳回。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8" w:type="dxa"/>
            <w:vMerge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ind w:leftChars="-60" w:left="-20" w:rightChars="-42" w:right="-88" w:hangingChars="44" w:hanging="106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日常业务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提交的材料错误导致全国股</w:t>
            </w:r>
            <w:proofErr w:type="gramStart"/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转</w:t>
            </w:r>
            <w:r w:rsidR="0073163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系统</w:t>
            </w:r>
            <w:proofErr w:type="gramEnd"/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出具的限售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或解除限售登记函在发函后重新出函。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5971F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暂停/恢复转让、限售/解除限售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等日常业务未严格按照相关业务指南或通知的要求进行办理。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股票发行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股票发行备案申请收到全国股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转系统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F47C7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反馈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问题清单。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7D2F15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提交的材料错误导致全国股</w:t>
            </w:r>
            <w:proofErr w:type="gramStart"/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转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系统</w:t>
            </w:r>
            <w:proofErr w:type="gramEnd"/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出具的股票发行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股份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登记函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在发函后重新出函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信息披露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ind w:rightChars="-99" w:right="-208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挂牌公司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临时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公告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更正。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因信息披露流程出错进行线下更正。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ind w:rightChars="-99" w:right="-208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挂牌公司定期报告被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  <w:t>全国股</w:t>
            </w:r>
            <w:proofErr w:type="gramStart"/>
            <w:r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  <w:t>转</w:t>
            </w:r>
            <w:r w:rsidR="0073163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系统</w:t>
            </w:r>
            <w:proofErr w:type="gramEnd"/>
            <w:r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  <w:t>出具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问询函或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  <w:t>要求更正。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ind w:leftChars="-1" w:left="-1" w:rightChars="-37" w:right="-78" w:hanging="1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监管意见函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9156C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因持续督导履职不力被全国股</w:t>
            </w:r>
            <w:proofErr w:type="gramStart"/>
            <w:r w:rsidRPr="00836CBD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转</w:t>
            </w:r>
            <w:r w:rsidR="00731630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系统</w:t>
            </w:r>
            <w:proofErr w:type="gramEnd"/>
            <w:r w:rsidRPr="00836CBD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公司业务部出具监管意见函。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B3576C" w:rsidRDefault="00B3576C" w:rsidP="00B3576C">
            <w:pPr>
              <w:spacing w:line="300" w:lineRule="exact"/>
              <w:ind w:leftChars="-1" w:left="-1" w:rightChars="-37" w:right="-78" w:hanging="1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其他负面</w:t>
            </w:r>
          </w:p>
          <w:p w:rsidR="00B3576C" w:rsidRPr="00836CBD" w:rsidRDefault="00B3576C" w:rsidP="00B3576C">
            <w:pPr>
              <w:spacing w:line="300" w:lineRule="exact"/>
              <w:ind w:leftChars="-1" w:left="-1" w:rightChars="-37" w:right="-78" w:hanging="1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行为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ind w:leftChars="-1" w:left="-1" w:rightChars="-37" w:right="-78" w:hanging="1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其他发现的负面监管事项。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交易管理负面行为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58" w:left="-122" w:rightChars="-46" w:right="-9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做市商报价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转让日</w:t>
            </w:r>
            <w:proofErr w:type="gramEnd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9:30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未对做市股票发布买卖双向报价。</w:t>
            </w:r>
          </w:p>
        </w:tc>
      </w:tr>
      <w:tr w:rsidR="00B3576C" w:rsidRPr="00836CBD" w:rsidTr="007D2F15">
        <w:trPr>
          <w:cantSplit/>
          <w:trHeight w:val="54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前次做市申报撤销或其申报数量</w:t>
            </w:r>
            <w:proofErr w:type="gramStart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经成交</w:t>
            </w:r>
            <w:proofErr w:type="gramEnd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后不足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股的，未在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分钟内重新报价。</w:t>
            </w:r>
          </w:p>
        </w:tc>
      </w:tr>
      <w:tr w:rsidR="00B3576C" w:rsidRPr="00836CBD" w:rsidTr="007D2F15">
        <w:trPr>
          <w:cantSplit/>
          <w:trHeight w:val="639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转让日</w:t>
            </w:r>
            <w:proofErr w:type="gramEnd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提供的双向报价的时间少于做市转让撮合时间的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75%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未持续发布买卖双向报价。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进入做市报价豁免期后，在该情形发生后第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proofErr w:type="gramStart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转让日</w:t>
            </w:r>
            <w:proofErr w:type="gramEnd"/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未恢复正常双向报价。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频繁进入做市报价豁免期。</w:t>
            </w:r>
          </w:p>
        </w:tc>
      </w:tr>
      <w:tr w:rsidR="00B3576C" w:rsidRPr="00836CBD" w:rsidTr="007D2F15">
        <w:trPr>
          <w:cantSplit/>
          <w:trHeight w:val="54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配合监察工作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tabs>
                <w:tab w:val="left" w:pos="1383"/>
              </w:tabs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对要求调阅资料、递交情况说明、主动向全国股转公司报告及其他需配合全国股转公司监管的事项，未及时回复、报告或拒绝配合的。</w:t>
            </w:r>
          </w:p>
        </w:tc>
      </w:tr>
      <w:tr w:rsidR="00B3576C" w:rsidRPr="00836CBD" w:rsidTr="007D2F15">
        <w:trPr>
          <w:cantSplit/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rightChars="-46" w:right="-97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营业部信息更新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报告或报告信息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不完整。</w:t>
            </w:r>
          </w:p>
        </w:tc>
      </w:tr>
      <w:tr w:rsidR="00B3576C" w:rsidRPr="00836CBD" w:rsidTr="007D2F15">
        <w:trPr>
          <w:cantSplit/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综合管理负面行为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申请及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备案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rightChars="-114" w:right="-239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业务申请材料未按照《股票转让方式确定及变更指引（试行）》中的附件模板出具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576C" w:rsidRPr="00836CBD" w:rsidTr="007D2F15">
        <w:trPr>
          <w:cantSplit/>
          <w:trHeight w:val="302"/>
        </w:trPr>
        <w:tc>
          <w:tcPr>
            <w:tcW w:w="709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rightChars="-114" w:right="-239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未在规则要求的时限内提交业务申请材料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576C" w:rsidRPr="00836CBD" w:rsidTr="007D2F15">
        <w:trPr>
          <w:cantSplit/>
          <w:trHeight w:val="810"/>
        </w:trPr>
        <w:tc>
          <w:tcPr>
            <w:tcW w:w="709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8" w:type="dxa"/>
            <w:vMerge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业务申请材料或备案材料中的关键要素缺失或存在明显错误，挂牌公司名称、证券账户号、交易单元号、股份数量等。</w:t>
            </w:r>
          </w:p>
        </w:tc>
      </w:tr>
      <w:tr w:rsidR="00B3576C" w:rsidRPr="00836CBD" w:rsidTr="007D2F15">
        <w:trPr>
          <w:cantSplit/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8" w:type="dxa"/>
            <w:vMerge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月度业务数据报送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B3576C" w:rsidRPr="00836CBD" w:rsidRDefault="00B3576C" w:rsidP="00B3576C">
            <w:pPr>
              <w:widowControl/>
              <w:spacing w:line="300" w:lineRule="exact"/>
              <w:ind w:rightChars="-114" w:right="-239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未在要求时间内报送月度业务数据表信息。</w:t>
            </w:r>
          </w:p>
        </w:tc>
      </w:tr>
      <w:tr w:rsidR="00B3576C" w:rsidRPr="00836CBD" w:rsidTr="007D2F15">
        <w:trPr>
          <w:cantSplit/>
          <w:trHeight w:val="1129"/>
        </w:trPr>
        <w:tc>
          <w:tcPr>
            <w:tcW w:w="709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68" w:type="dxa"/>
            <w:vMerge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报送的</w:t>
            </w: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月度业务数据中存在明显错误或疏漏，如储备项目拟申报日期早于报告日期，储备项目进度未填写、本期减少储备项目原因未说明等。</w:t>
            </w:r>
          </w:p>
        </w:tc>
      </w:tr>
      <w:tr w:rsidR="00B3576C" w:rsidRPr="00836CBD" w:rsidTr="007D2F15">
        <w:trPr>
          <w:cantSplit/>
          <w:trHeight w:val="357"/>
        </w:trPr>
        <w:tc>
          <w:tcPr>
            <w:tcW w:w="709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68" w:type="dxa"/>
            <w:vMerge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ind w:leftChars="-7" w:left="2" w:rightChars="-49" w:right="-103" w:hangingChars="7" w:hanging="17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3576C" w:rsidRPr="00836CBD" w:rsidRDefault="00B3576C" w:rsidP="00B3576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36CB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其他非定期报送的数据未按要求报送的。</w:t>
            </w:r>
          </w:p>
        </w:tc>
      </w:tr>
    </w:tbl>
    <w:p w:rsidR="00B87BBD" w:rsidRDefault="00B87BBD" w:rsidP="00731630"/>
    <w:p w:rsidR="00701952" w:rsidRPr="00701952" w:rsidRDefault="00701952" w:rsidP="00731630">
      <w:pPr>
        <w:rPr>
          <w:rFonts w:ascii="方正仿宋简体" w:eastAsia="方正仿宋简体"/>
          <w:b/>
        </w:rPr>
      </w:pPr>
      <w:r w:rsidRPr="00701952">
        <w:rPr>
          <w:rFonts w:ascii="方正仿宋简体" w:eastAsia="方正仿宋简体" w:hint="eastAsia"/>
          <w:b/>
        </w:rPr>
        <w:t>调整说明:</w:t>
      </w:r>
    </w:p>
    <w:p w:rsidR="00701952" w:rsidRPr="00701952" w:rsidRDefault="00701952" w:rsidP="00701952">
      <w:pPr>
        <w:pStyle w:val="a3"/>
        <w:numPr>
          <w:ilvl w:val="0"/>
          <w:numId w:val="1"/>
        </w:numPr>
        <w:ind w:firstLineChars="0"/>
        <w:rPr>
          <w:rFonts w:ascii="Times New Roman" w:eastAsia="方正仿宋简体" w:hAnsi="Times New Roman" w:cs="Times New Roman"/>
        </w:rPr>
      </w:pPr>
      <w:r w:rsidRPr="00701952">
        <w:rPr>
          <w:rFonts w:ascii="Times New Roman" w:eastAsia="方正仿宋简体" w:hAnsi="Times New Roman" w:cs="Times New Roman"/>
        </w:rPr>
        <w:t>原第</w:t>
      </w:r>
      <w:r w:rsidRPr="00701952">
        <w:rPr>
          <w:rFonts w:ascii="Times New Roman" w:eastAsia="方正仿宋简体" w:hAnsi="Times New Roman" w:cs="Times New Roman"/>
        </w:rPr>
        <w:t>15</w:t>
      </w:r>
      <w:r w:rsidRPr="00701952">
        <w:rPr>
          <w:rFonts w:ascii="Times New Roman" w:eastAsia="方正仿宋简体" w:hAnsi="Times New Roman" w:cs="Times New Roman"/>
        </w:rPr>
        <w:t>条</w:t>
      </w:r>
      <w:r w:rsidRPr="00701952">
        <w:rPr>
          <w:rFonts w:ascii="Times New Roman" w:eastAsia="方正仿宋简体" w:hAnsi="Times New Roman" w:cs="Times New Roman"/>
        </w:rPr>
        <w:t>“</w:t>
      </w:r>
      <w:r w:rsidRPr="00701952">
        <w:rPr>
          <w:rFonts w:ascii="Times New Roman" w:eastAsia="方正仿宋简体" w:hAnsi="Times New Roman" w:cs="Times New Roman"/>
        </w:rPr>
        <w:t>股票发行备案申请材料审查中，反馈次数排名前十</w:t>
      </w:r>
      <w:r w:rsidRPr="00701952">
        <w:rPr>
          <w:rFonts w:ascii="Times New Roman" w:eastAsia="方正仿宋简体" w:hAnsi="Times New Roman" w:cs="Times New Roman"/>
        </w:rPr>
        <w:t>”</w:t>
      </w:r>
      <w:r w:rsidRPr="00701952">
        <w:rPr>
          <w:rFonts w:ascii="Times New Roman" w:eastAsia="方正仿宋简体" w:hAnsi="Times New Roman" w:cs="Times New Roman"/>
        </w:rPr>
        <w:t>调整为</w:t>
      </w:r>
      <w:r w:rsidRPr="00701952">
        <w:rPr>
          <w:rFonts w:ascii="Times New Roman" w:eastAsia="方正仿宋简体" w:hAnsi="Times New Roman" w:cs="Times New Roman"/>
        </w:rPr>
        <w:t>“</w:t>
      </w:r>
      <w:r w:rsidRPr="00701952">
        <w:rPr>
          <w:rFonts w:ascii="Times New Roman" w:eastAsia="方正仿宋简体" w:hAnsi="Times New Roman" w:cs="Times New Roman"/>
        </w:rPr>
        <w:t>股票发行备案申请收到全国股</w:t>
      </w:r>
      <w:bookmarkStart w:id="0" w:name="_GoBack"/>
      <w:bookmarkEnd w:id="0"/>
      <w:r w:rsidRPr="00701952">
        <w:rPr>
          <w:rFonts w:ascii="Times New Roman" w:eastAsia="方正仿宋简体" w:hAnsi="Times New Roman" w:cs="Times New Roman"/>
        </w:rPr>
        <w:t>转系统的</w:t>
      </w:r>
      <w:r w:rsidR="00F47C70">
        <w:rPr>
          <w:rFonts w:ascii="Times New Roman" w:eastAsia="方正仿宋简体" w:hAnsi="Times New Roman" w:cs="Times New Roman" w:hint="eastAsia"/>
        </w:rPr>
        <w:t>反馈</w:t>
      </w:r>
      <w:r w:rsidRPr="00701952">
        <w:rPr>
          <w:rFonts w:ascii="Times New Roman" w:eastAsia="方正仿宋简体" w:hAnsi="Times New Roman" w:cs="Times New Roman"/>
        </w:rPr>
        <w:t>问题清单</w:t>
      </w:r>
      <w:r w:rsidRPr="00701952">
        <w:rPr>
          <w:rFonts w:ascii="Times New Roman" w:eastAsia="方正仿宋简体" w:hAnsi="Times New Roman" w:cs="Times New Roman"/>
        </w:rPr>
        <w:t>”</w:t>
      </w:r>
      <w:r w:rsidRPr="00701952">
        <w:rPr>
          <w:rFonts w:ascii="Times New Roman" w:eastAsia="方正仿宋简体" w:hAnsi="Times New Roman" w:cs="Times New Roman"/>
        </w:rPr>
        <w:t>；</w:t>
      </w:r>
    </w:p>
    <w:p w:rsidR="00701952" w:rsidRPr="00701952" w:rsidRDefault="00701952" w:rsidP="00701952">
      <w:pPr>
        <w:pStyle w:val="a3"/>
        <w:numPr>
          <w:ilvl w:val="0"/>
          <w:numId w:val="1"/>
        </w:numPr>
        <w:ind w:firstLineChars="0"/>
        <w:rPr>
          <w:rFonts w:ascii="Times New Roman" w:eastAsia="方正仿宋简体" w:hAnsi="Times New Roman" w:cs="Times New Roman"/>
        </w:rPr>
      </w:pPr>
      <w:r w:rsidRPr="00701952">
        <w:rPr>
          <w:rFonts w:ascii="Times New Roman" w:eastAsia="方正仿宋简体" w:hAnsi="Times New Roman" w:cs="Times New Roman"/>
        </w:rPr>
        <w:t>原第</w:t>
      </w:r>
      <w:r w:rsidRPr="00701952">
        <w:rPr>
          <w:rFonts w:ascii="Times New Roman" w:eastAsia="方正仿宋简体" w:hAnsi="Times New Roman" w:cs="Times New Roman"/>
        </w:rPr>
        <w:t>17</w:t>
      </w:r>
      <w:r w:rsidRPr="00701952">
        <w:rPr>
          <w:rFonts w:ascii="Times New Roman" w:eastAsia="方正仿宋简体" w:hAnsi="Times New Roman" w:cs="Times New Roman"/>
        </w:rPr>
        <w:t>条</w:t>
      </w:r>
      <w:r w:rsidRPr="00701952">
        <w:rPr>
          <w:rFonts w:ascii="Times New Roman" w:eastAsia="方正仿宋简体" w:hAnsi="Times New Roman" w:cs="Times New Roman"/>
        </w:rPr>
        <w:t>“</w:t>
      </w:r>
      <w:r w:rsidRPr="00701952">
        <w:rPr>
          <w:rFonts w:ascii="Times New Roman" w:eastAsia="方正仿宋简体" w:hAnsi="Times New Roman" w:cs="Times New Roman"/>
        </w:rPr>
        <w:t>挂牌公司补发或更正次数排名前十</w:t>
      </w:r>
      <w:r w:rsidRPr="00701952">
        <w:rPr>
          <w:rFonts w:ascii="Times New Roman" w:eastAsia="方正仿宋简体" w:hAnsi="Times New Roman" w:cs="Times New Roman"/>
        </w:rPr>
        <w:t>”</w:t>
      </w:r>
      <w:r w:rsidRPr="00701952">
        <w:rPr>
          <w:rFonts w:ascii="Times New Roman" w:eastAsia="方正仿宋简体" w:hAnsi="Times New Roman" w:cs="Times New Roman"/>
        </w:rPr>
        <w:t>调整为</w:t>
      </w:r>
      <w:r w:rsidRPr="00701952">
        <w:rPr>
          <w:rFonts w:ascii="Times New Roman" w:eastAsia="方正仿宋简体" w:hAnsi="Times New Roman" w:cs="Times New Roman"/>
        </w:rPr>
        <w:t>“</w:t>
      </w:r>
      <w:r w:rsidRPr="00701952">
        <w:rPr>
          <w:rFonts w:ascii="Times New Roman" w:eastAsia="方正仿宋简体" w:hAnsi="Times New Roman" w:cs="Times New Roman"/>
        </w:rPr>
        <w:t>挂牌公司临时公告进行更正</w:t>
      </w:r>
      <w:r w:rsidRPr="00701952">
        <w:rPr>
          <w:rFonts w:ascii="Times New Roman" w:eastAsia="方正仿宋简体" w:hAnsi="Times New Roman" w:cs="Times New Roman"/>
        </w:rPr>
        <w:t>”</w:t>
      </w:r>
      <w:r w:rsidRPr="00701952">
        <w:rPr>
          <w:rFonts w:ascii="Times New Roman" w:eastAsia="方正仿宋简体" w:hAnsi="Times New Roman" w:cs="Times New Roman"/>
        </w:rPr>
        <w:t>；</w:t>
      </w:r>
    </w:p>
    <w:p w:rsidR="00701952" w:rsidRPr="00701952" w:rsidRDefault="00701952" w:rsidP="00701952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/>
        </w:rPr>
      </w:pPr>
      <w:r w:rsidRPr="00701952">
        <w:rPr>
          <w:rFonts w:ascii="Times New Roman" w:eastAsia="方正仿宋简体" w:hAnsi="Times New Roman" w:cs="Times New Roman"/>
        </w:rPr>
        <w:t>增加</w:t>
      </w:r>
      <w:r>
        <w:rPr>
          <w:rFonts w:ascii="Times New Roman" w:eastAsia="方正仿宋简体" w:hAnsi="Times New Roman" w:cs="Times New Roman" w:hint="eastAsia"/>
        </w:rPr>
        <w:t>第</w:t>
      </w:r>
      <w:r w:rsidRPr="005E77A1">
        <w:rPr>
          <w:rFonts w:ascii="Times New Roman" w:eastAsia="方正仿宋简体" w:hAnsi="Times New Roman" w:cs="Times New Roman"/>
        </w:rPr>
        <w:t>19</w:t>
      </w:r>
      <w:r w:rsidRPr="005E77A1">
        <w:rPr>
          <w:rFonts w:ascii="Times New Roman" w:eastAsia="方正仿宋简体" w:hAnsi="Times New Roman" w:cs="Times New Roman"/>
        </w:rPr>
        <w:t>条</w:t>
      </w:r>
      <w:r w:rsidRPr="00701952">
        <w:rPr>
          <w:rFonts w:ascii="Times New Roman" w:eastAsia="方正仿宋简体" w:hAnsi="Times New Roman" w:cs="Times New Roman"/>
        </w:rPr>
        <w:t>“</w:t>
      </w:r>
      <w:r w:rsidRPr="00701952">
        <w:rPr>
          <w:rFonts w:ascii="Times New Roman" w:eastAsia="方正仿宋简体" w:hAnsi="Times New Roman" w:cs="Times New Roman"/>
        </w:rPr>
        <w:t>挂牌公司定期报告被全国股转系统出具问询函或要求更正</w:t>
      </w:r>
      <w:r w:rsidRPr="00701952">
        <w:rPr>
          <w:rFonts w:ascii="Times New Roman" w:eastAsia="方正仿宋简体" w:hAnsi="Times New Roman" w:cs="Times New Roman"/>
        </w:rPr>
        <w:t>”</w:t>
      </w:r>
      <w:r>
        <w:rPr>
          <w:rFonts w:ascii="Times New Roman" w:eastAsia="方正仿宋简体" w:hAnsi="Times New Roman" w:cs="Times New Roman" w:hint="eastAsia"/>
        </w:rPr>
        <w:t>，后续序号递增。</w:t>
      </w:r>
      <w:r w:rsidRPr="00701952">
        <w:rPr>
          <w:rFonts w:ascii="Times New Roman" w:eastAsia="方正仿宋简体" w:hAnsi="Times New Roman" w:cs="Times New Roman"/>
        </w:rPr>
        <w:br/>
      </w:r>
      <w:r>
        <w:rPr>
          <w:rFonts w:ascii="方正仿宋简体" w:eastAsia="方正仿宋简体"/>
        </w:rPr>
        <w:br/>
      </w:r>
    </w:p>
    <w:sectPr w:rsidR="00701952" w:rsidRPr="007019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DE" w:rsidRDefault="000C32DE">
      <w:r>
        <w:separator/>
      </w:r>
    </w:p>
  </w:endnote>
  <w:endnote w:type="continuationSeparator" w:id="0">
    <w:p w:rsidR="000C32DE" w:rsidRDefault="000C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505533"/>
      <w:docPartObj>
        <w:docPartGallery w:val="Page Numbers (Bottom of Page)"/>
        <w:docPartUnique/>
      </w:docPartObj>
    </w:sdtPr>
    <w:sdtEndPr/>
    <w:sdtContent>
      <w:p w:rsidR="0098427D" w:rsidRDefault="00731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A1" w:rsidRPr="005E77A1">
          <w:rPr>
            <w:noProof/>
            <w:lang w:val="zh-CN"/>
          </w:rPr>
          <w:t>1</w:t>
        </w:r>
        <w:r>
          <w:fldChar w:fldCharType="end"/>
        </w:r>
      </w:p>
    </w:sdtContent>
  </w:sdt>
  <w:p w:rsidR="0098427D" w:rsidRDefault="000C32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DE" w:rsidRDefault="000C32DE">
      <w:r>
        <w:separator/>
      </w:r>
    </w:p>
  </w:footnote>
  <w:footnote w:type="continuationSeparator" w:id="0">
    <w:p w:rsidR="000C32DE" w:rsidRDefault="000C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C1327"/>
    <w:multiLevelType w:val="hybridMultilevel"/>
    <w:tmpl w:val="7714AE98"/>
    <w:lvl w:ilvl="0" w:tplc="7808321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6C"/>
    <w:rsid w:val="00071F52"/>
    <w:rsid w:val="000C32DE"/>
    <w:rsid w:val="003D28D5"/>
    <w:rsid w:val="00571E9F"/>
    <w:rsid w:val="005E77A1"/>
    <w:rsid w:val="00701952"/>
    <w:rsid w:val="00731630"/>
    <w:rsid w:val="009156C8"/>
    <w:rsid w:val="00AA6776"/>
    <w:rsid w:val="00B3576C"/>
    <w:rsid w:val="00B87BBD"/>
    <w:rsid w:val="00C52578"/>
    <w:rsid w:val="00F431FE"/>
    <w:rsid w:val="00F4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8E79E-DA82-44AA-9C7E-A1C28158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6C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B3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3576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56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156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5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陈莉cl</dc:creator>
  <cp:keywords/>
  <dc:description/>
  <cp:lastModifiedBy>陈莉cl</cp:lastModifiedBy>
  <cp:revision>6</cp:revision>
  <cp:lastPrinted>2016-03-30T01:30:00Z</cp:lastPrinted>
  <dcterms:created xsi:type="dcterms:W3CDTF">2016-03-30T01:09:00Z</dcterms:created>
  <dcterms:modified xsi:type="dcterms:W3CDTF">2016-03-30T06:27:00Z</dcterms:modified>
</cp:coreProperties>
</file>