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5C" w:rsidRPr="009B36D1" w:rsidRDefault="00F70E5C" w:rsidP="00F70E5C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宋体" w:hint="eastAsia"/>
          <w:sz w:val="42"/>
          <w:szCs w:val="42"/>
        </w:rPr>
      </w:pPr>
      <w:r w:rsidRPr="009B36D1">
        <w:rPr>
          <w:rFonts w:ascii="方正大标宋简体" w:eastAsia="方正大标宋简体" w:hAnsi="宋体" w:hint="eastAsia"/>
          <w:sz w:val="42"/>
          <w:szCs w:val="42"/>
        </w:rPr>
        <w:t>第九十六号 上市公司董事会审议</w:t>
      </w:r>
    </w:p>
    <w:p w:rsidR="00F70E5C" w:rsidRPr="009B36D1" w:rsidRDefault="00F70E5C" w:rsidP="00F70E5C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宋体" w:hint="eastAsia"/>
          <w:sz w:val="42"/>
          <w:szCs w:val="42"/>
        </w:rPr>
      </w:pPr>
      <w:r w:rsidRPr="009B36D1">
        <w:rPr>
          <w:rFonts w:ascii="方正大标宋简体" w:eastAsia="方正大标宋简体" w:hAnsi="宋体" w:hint="eastAsia"/>
          <w:sz w:val="42"/>
          <w:szCs w:val="42"/>
        </w:rPr>
        <w:t>变更证券简称公告</w:t>
      </w:r>
    </w:p>
    <w:p w:rsidR="00F70E5C" w:rsidRDefault="00F70E5C" w:rsidP="00F70E5C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int="eastAsia"/>
          <w:color w:val="000000"/>
          <w:sz w:val="30"/>
          <w:szCs w:val="30"/>
        </w:rPr>
      </w:pPr>
    </w:p>
    <w:p w:rsidR="00F70E5C" w:rsidRDefault="00F70E5C" w:rsidP="00F70E5C">
      <w:pPr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适用情形：</w:t>
      </w:r>
    </w:p>
    <w:p w:rsidR="00F70E5C" w:rsidRDefault="00F70E5C" w:rsidP="00F70E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上市公司拟变更证券简称的，应当适用本指引披露公告。</w:t>
      </w:r>
    </w:p>
    <w:p w:rsidR="00F70E5C" w:rsidRDefault="00F70E5C" w:rsidP="00F70E5C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:rsidR="00F70E5C" w:rsidRDefault="00F70E5C" w:rsidP="00F70E5C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             证券简称：            公告编号：</w:t>
      </w:r>
    </w:p>
    <w:p w:rsidR="00F70E5C" w:rsidRDefault="00F70E5C" w:rsidP="00F70E5C">
      <w:pPr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F70E5C" w:rsidRDefault="00F70E5C" w:rsidP="00F70E5C">
      <w:pPr>
        <w:adjustRightInd w:val="0"/>
        <w:snapToGrid w:val="0"/>
        <w:spacing w:line="560" w:lineRule="exact"/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XXXXXX股份有限公司董事会审议变更证券简称公告</w:t>
      </w:r>
    </w:p>
    <w:p w:rsidR="00F70E5C" w:rsidRDefault="00F70E5C" w:rsidP="00F7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F70E5C" w:rsidRDefault="00F70E5C" w:rsidP="00F7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:rsidR="00F70E5C" w:rsidRDefault="00F70E5C" w:rsidP="00F70E5C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30"/>
          <w:szCs w:val="30"/>
        </w:rPr>
      </w:pPr>
    </w:p>
    <w:p w:rsidR="00F70E5C" w:rsidRDefault="00F70E5C" w:rsidP="00F70E5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重要内容提示：</w:t>
      </w:r>
    </w:p>
    <w:p w:rsidR="00F70E5C" w:rsidRDefault="00F70E5C" w:rsidP="00F70E5C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变更后的证券简称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</w:p>
    <w:p w:rsidR="00F70E5C" w:rsidRDefault="00F70E5C" w:rsidP="00F70E5C">
      <w:pPr>
        <w:pStyle w:val="a3"/>
        <w:adjustRightInd w:val="0"/>
        <w:snapToGrid w:val="0"/>
        <w:spacing w:line="560" w:lineRule="exact"/>
        <w:ind w:firstLine="602"/>
        <w:rPr>
          <w:rFonts w:ascii="黑体" w:eastAsia="黑体" w:hAnsi="黑体" w:hint="eastAsia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一、公司董事会审议证券简称变更的情况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上市公司拟变更证券简称的，应当召开董事会进行审议，并披露审议表决结果。如有董事投票反对简称变更议案的，应当在公告中详细说明董事反对的具体理由。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ind w:firstLine="602"/>
        <w:rPr>
          <w:rFonts w:ascii="黑体" w:eastAsia="黑体" w:hAnsi="黑体" w:hint="eastAsia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二、公司董事会关于变更证券简称的理由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（一）上市公司董事会应当披露变更证券简称的理由，并详</w:t>
      </w:r>
      <w:r>
        <w:rPr>
          <w:rFonts w:hAnsi="宋体" w:hint="eastAsia"/>
          <w:szCs w:val="30"/>
        </w:rPr>
        <w:lastRenderedPageBreak/>
        <w:t>细说明其合理性和必要性。例如，主营业务是否发生重大变化，发展战略是否发生重大调整，公司实际控制人是否发生变更等。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（二）上市公司变更证券简称与公司拟发展的新业态、新技术、新模式有关的，应当详细披露相关具体情况及其对公司生产经营的影响。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ind w:firstLine="602"/>
        <w:rPr>
          <w:rFonts w:ascii="黑体" w:eastAsia="黑体" w:hAnsi="黑体" w:hint="eastAsia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三、公司董事会关于变更证券简称的风险提示</w:t>
      </w:r>
    </w:p>
    <w:p w:rsidR="00F70E5C" w:rsidRDefault="00F70E5C" w:rsidP="00F70E5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证券简称变更反映公司新业务，公司尚未实际开展的，应当披露拟开展新业务的筹备情况及发展前景，如是否已进行可行性论证、是否取得必需的行业准入资质或证照、是否配备相应人员、是否如期开展前期筹备工作等，并予以风险提示。</w:t>
      </w:r>
    </w:p>
    <w:p w:rsidR="00F70E5C" w:rsidRDefault="00F70E5C" w:rsidP="00F70E5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（二）证券简称变更反映公司新业务，公司已经开展但其营业收入或净利润占公司最近一期年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度报告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的比例未超过50%的，应当披露相关业务的开展情况或实施进展，如项目进度、经营业绩（新业务最近一年又一期的营业收入、净利润及其占比）、人员配置、资产投入、</w:t>
      </w:r>
      <w:r>
        <w:rPr>
          <w:rFonts w:ascii="仿宋_GB2312" w:eastAsia="仿宋_GB2312" w:hint="eastAsia"/>
          <w:sz w:val="30"/>
          <w:szCs w:val="30"/>
        </w:rPr>
        <w:t>行业准入证照和相关资质的取得情况等，并予以风险提示。</w:t>
      </w:r>
    </w:p>
    <w:p w:rsidR="00F70E5C" w:rsidRDefault="00F70E5C" w:rsidP="00F70E5C">
      <w:pPr>
        <w:adjustRightInd w:val="0"/>
        <w:snapToGrid w:val="0"/>
        <w:spacing w:line="560" w:lineRule="exact"/>
        <w:ind w:firstLineChars="200" w:firstLine="600"/>
        <w:rPr>
          <w:rFonts w:hint="eastAsia"/>
        </w:rPr>
      </w:pPr>
      <w:r>
        <w:rPr>
          <w:rFonts w:ascii="仿宋_GB2312" w:eastAsia="仿宋_GB2312" w:hAnsi="宋体" w:hint="eastAsia"/>
          <w:sz w:val="30"/>
          <w:szCs w:val="30"/>
        </w:rPr>
        <w:t>（三）本所要求披露的其他事项。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Ansi="宋体" w:hint="eastAsia"/>
          <w:szCs w:val="30"/>
        </w:rPr>
        <w:t>特此公告。</w:t>
      </w:r>
    </w:p>
    <w:p w:rsidR="00F70E5C" w:rsidRDefault="00F70E5C" w:rsidP="00F70E5C">
      <w:pPr>
        <w:adjustRightInd w:val="0"/>
        <w:snapToGrid w:val="0"/>
        <w:spacing w:line="560" w:lineRule="exact"/>
        <w:outlineLvl w:val="0"/>
        <w:rPr>
          <w:rFonts w:ascii="仿宋_GB2312" w:eastAsia="仿宋_GB2312" w:hAnsi="宋体" w:hint="eastAsia"/>
          <w:sz w:val="30"/>
          <w:szCs w:val="30"/>
        </w:rPr>
      </w:pPr>
    </w:p>
    <w:p w:rsidR="00F70E5C" w:rsidRDefault="00F70E5C" w:rsidP="00F70E5C">
      <w:pPr>
        <w:tabs>
          <w:tab w:val="left" w:pos="4860"/>
        </w:tabs>
        <w:adjustRightInd w:val="0"/>
        <w:snapToGrid w:val="0"/>
        <w:spacing w:line="560" w:lineRule="exact"/>
        <w:jc w:val="right"/>
        <w:rPr>
          <w:rFonts w:ascii="仿宋_GB2312" w:eastAsia="仿宋_GB2312" w:hAnsi="宋体" w:hint="eastAsia"/>
          <w:sz w:val="30"/>
          <w:szCs w:val="30"/>
        </w:rPr>
      </w:pPr>
      <w:bookmarkStart w:id="0" w:name="_Toc330498472"/>
      <w:bookmarkStart w:id="1" w:name="_Toc330497081"/>
      <w:r>
        <w:rPr>
          <w:rFonts w:ascii="仿宋_GB2312" w:eastAsia="仿宋_GB2312" w:hAnsi="宋体" w:hint="eastAsia"/>
          <w:sz w:val="30"/>
          <w:szCs w:val="30"/>
        </w:rPr>
        <w:t>XXXX股份有限公司</w:t>
      </w:r>
      <w:bookmarkEnd w:id="0"/>
      <w:bookmarkEnd w:id="1"/>
      <w:r>
        <w:rPr>
          <w:rFonts w:ascii="仿宋_GB2312" w:eastAsia="仿宋_GB2312" w:hAnsi="宋体" w:hint="eastAsia"/>
          <w:sz w:val="30"/>
          <w:szCs w:val="30"/>
        </w:rPr>
        <w:t>董事会</w:t>
      </w:r>
    </w:p>
    <w:p w:rsidR="00F70E5C" w:rsidRDefault="00F70E5C" w:rsidP="00F70E5C">
      <w:pPr>
        <w:tabs>
          <w:tab w:val="left" w:pos="4860"/>
        </w:tabs>
        <w:adjustRightInd w:val="0"/>
        <w:snapToGrid w:val="0"/>
        <w:spacing w:line="560" w:lineRule="exact"/>
        <w:ind w:right="480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  月  日</w:t>
      </w:r>
    </w:p>
    <w:p w:rsidR="00F70E5C" w:rsidRDefault="00F70E5C" w:rsidP="00F70E5C">
      <w:pPr>
        <w:tabs>
          <w:tab w:val="left" w:pos="4860"/>
        </w:tabs>
        <w:adjustRightInd w:val="0"/>
        <w:snapToGrid w:val="0"/>
        <w:spacing w:line="560" w:lineRule="exact"/>
        <w:ind w:right="48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F70E5C" w:rsidRDefault="00F70E5C" w:rsidP="00F70E5C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注意事项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1.证券简称应当从工商行政管理部门注册登记的企业全称</w:t>
      </w:r>
      <w:r>
        <w:rPr>
          <w:rFonts w:hAnsi="宋体" w:hint="eastAsia"/>
          <w:szCs w:val="30"/>
        </w:rPr>
        <w:lastRenderedPageBreak/>
        <w:t>中选取。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2.证券简称应当反映上市公司主营业务，突出行业特点，易于投资者理解。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3.上市公司变更企业全称，本所认为必要的，可以要求公司适用本指引披露公告。</w:t>
      </w:r>
    </w:p>
    <w:p w:rsidR="00F70E5C" w:rsidRDefault="00F70E5C" w:rsidP="00F70E5C">
      <w:pPr>
        <w:pStyle w:val="a3"/>
        <w:adjustRightInd w:val="0"/>
        <w:snapToGrid w:val="0"/>
        <w:spacing w:line="560" w:lineRule="exact"/>
        <w:rPr>
          <w:rFonts w:hAnsi="宋体" w:hint="eastAsia"/>
          <w:szCs w:val="30"/>
        </w:rPr>
      </w:pPr>
      <w:r>
        <w:rPr>
          <w:rFonts w:hAnsi="宋体" w:hint="eastAsia"/>
          <w:szCs w:val="30"/>
        </w:rPr>
        <w:t>4.上市公司申请办理变更证券简称实施业务的，应当适用《第十九号 上市公司变更证券简称公告》格式指引，履行信息披露义务。</w:t>
      </w:r>
    </w:p>
    <w:p w:rsidR="003E3835" w:rsidRPr="00F70E5C" w:rsidRDefault="003E3835"/>
    <w:sectPr w:rsidR="003E3835" w:rsidRPr="00F70E5C" w:rsidSect="003E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06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E5C"/>
    <w:rsid w:val="003E3835"/>
    <w:rsid w:val="00F7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70E5C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">
    <w:name w:val="正文文本缩进 Char"/>
    <w:basedOn w:val="a0"/>
    <w:link w:val="a3"/>
    <w:rsid w:val="00F70E5C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1</cp:revision>
  <dcterms:created xsi:type="dcterms:W3CDTF">2015-10-26T07:47:00Z</dcterms:created>
  <dcterms:modified xsi:type="dcterms:W3CDTF">2015-10-26T07:47:00Z</dcterms:modified>
</cp:coreProperties>
</file>