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0B" w:rsidRPr="00E37AE9" w:rsidRDefault="00F6170B" w:rsidP="00F6170B">
      <w:pPr>
        <w:adjustRightInd w:val="0"/>
        <w:snapToGrid w:val="0"/>
        <w:spacing w:line="600" w:lineRule="exact"/>
        <w:jc w:val="center"/>
        <w:rPr>
          <w:rFonts w:ascii="方正大标宋简体" w:eastAsia="方正大标宋简体" w:hAnsi="宋体" w:hint="eastAsia"/>
          <w:sz w:val="42"/>
          <w:szCs w:val="42"/>
        </w:rPr>
      </w:pPr>
      <w:r w:rsidRPr="00E37AE9">
        <w:rPr>
          <w:rFonts w:ascii="方正大标宋简体" w:eastAsia="方正大标宋简体" w:hAnsi="宋体" w:hint="eastAsia"/>
          <w:sz w:val="42"/>
          <w:szCs w:val="42"/>
        </w:rPr>
        <w:t>第十七号 上市公司股票交易异常波动公告</w:t>
      </w:r>
    </w:p>
    <w:p w:rsidR="00F6170B" w:rsidRDefault="00F6170B" w:rsidP="00F6170B">
      <w:pPr>
        <w:adjustRightInd w:val="0"/>
        <w:snapToGrid w:val="0"/>
        <w:spacing w:line="600" w:lineRule="exact"/>
        <w:rPr>
          <w:rFonts w:ascii="仿宋_GB2312" w:eastAsia="仿宋_GB2312" w:hint="eastAsia"/>
          <w:sz w:val="30"/>
          <w:szCs w:val="30"/>
        </w:rPr>
      </w:pPr>
    </w:p>
    <w:p w:rsidR="00F6170B" w:rsidRDefault="00F6170B" w:rsidP="00F6170B">
      <w:pPr>
        <w:adjustRightInd w:val="0"/>
        <w:snapToGrid w:val="0"/>
        <w:spacing w:line="600" w:lineRule="exact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适用情形：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上市公司股票交易出现异常波动情形的，应当适用本指引披露公告。前述股票交易异常波动，是指《上海证券交易所交易规则》、《上海证券交易所风险警示板股票交易管理办法》、《关于对未股改股票实施差异化交易监管的通知》（上证发〔2014〕3号）规定的股票交易波动情形。 </w:t>
      </w:r>
    </w:p>
    <w:p w:rsidR="00F6170B" w:rsidRDefault="00F6170B" w:rsidP="00F6170B">
      <w:pPr>
        <w:adjustRightInd w:val="0"/>
        <w:snapToGrid w:val="0"/>
        <w:spacing w:line="600" w:lineRule="exact"/>
        <w:rPr>
          <w:rFonts w:ascii="仿宋_GB2312" w:eastAsia="仿宋_GB2312" w:hAnsi="宋体" w:hint="eastAsia"/>
          <w:sz w:val="30"/>
          <w:szCs w:val="30"/>
        </w:rPr>
      </w:pPr>
      <w:bookmarkStart w:id="0" w:name="_GoBack"/>
      <w:bookmarkEnd w:id="0"/>
    </w:p>
    <w:p w:rsidR="00F6170B" w:rsidRDefault="00F6170B" w:rsidP="00F6170B">
      <w:pPr>
        <w:adjustRightInd w:val="0"/>
        <w:snapToGrid w:val="0"/>
        <w:spacing w:line="6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证券代码：            证券简称：             公告编号：</w:t>
      </w:r>
    </w:p>
    <w:p w:rsidR="00F6170B" w:rsidRDefault="00F6170B" w:rsidP="00F6170B">
      <w:pPr>
        <w:adjustRightInd w:val="0"/>
        <w:snapToGrid w:val="0"/>
        <w:spacing w:line="600" w:lineRule="exact"/>
        <w:rPr>
          <w:rFonts w:ascii="仿宋_GB2312" w:eastAsia="仿宋_GB2312" w:hint="eastAsia"/>
          <w:sz w:val="30"/>
          <w:szCs w:val="30"/>
        </w:rPr>
      </w:pPr>
    </w:p>
    <w:p w:rsidR="00F6170B" w:rsidRDefault="00F6170B" w:rsidP="00F6170B">
      <w:pPr>
        <w:adjustRightInd w:val="0"/>
        <w:snapToGrid w:val="0"/>
        <w:spacing w:line="600" w:lineRule="exact"/>
        <w:jc w:val="center"/>
        <w:rPr>
          <w:rFonts w:ascii="仿宋_GB2312" w:eastAsia="仿宋_GB2312" w:hAnsi="宋体" w:hint="eastAsia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XXXX股份有限公司股票交易异常波动公告</w:t>
      </w:r>
    </w:p>
    <w:p w:rsidR="00F6170B" w:rsidRDefault="00F6170B" w:rsidP="00F617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snapToGrid w:val="0"/>
        <w:spacing w:line="60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F6170B" w:rsidRDefault="00F6170B" w:rsidP="00F617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djustRightInd w:val="0"/>
        <w:snapToGrid w:val="0"/>
        <w:spacing w:line="60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如有董事对临时公告内容的真实性、准确性和完整性无法保证或存在异议的，公司应当在公告中作特别提示。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重要内容提示：</w:t>
      </w:r>
    </w:p>
    <w:p w:rsidR="00F6170B" w:rsidRDefault="00F6170B" w:rsidP="00F6170B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股票交易异常波动的情形</w:t>
      </w:r>
    </w:p>
    <w:p w:rsidR="00F6170B" w:rsidRDefault="00F6170B" w:rsidP="00F6170B">
      <w:pPr>
        <w:numPr>
          <w:ilvl w:val="0"/>
          <w:numId w:val="1"/>
        </w:numPr>
        <w:adjustRightInd w:val="0"/>
        <w:snapToGrid w:val="0"/>
        <w:spacing w:line="600" w:lineRule="exact"/>
        <w:ind w:left="0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公司核查发现的重大事项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2"/>
        <w:rPr>
          <w:rFonts w:ascii="黑体" w:eastAsia="黑体" w:hAnsi="黑体" w:cs="宋体" w:hint="eastAsia"/>
          <w:b/>
          <w:kern w:val="0"/>
          <w:sz w:val="30"/>
          <w:szCs w:val="30"/>
          <w:lang w:val="zh-CN"/>
        </w:rPr>
      </w:pPr>
      <w:r>
        <w:rPr>
          <w:rFonts w:ascii="黑体" w:eastAsia="黑体" w:hAnsi="黑体" w:cs="宋体" w:hint="eastAsia"/>
          <w:b/>
          <w:kern w:val="0"/>
          <w:sz w:val="30"/>
          <w:szCs w:val="30"/>
          <w:lang w:val="zh-CN"/>
        </w:rPr>
        <w:t>一、股票交易异常波动的具体情况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  <w:lang w:val="zh-CN"/>
        </w:rPr>
        <w:t>股票</w:t>
      </w:r>
      <w:r>
        <w:rPr>
          <w:rFonts w:ascii="仿宋_GB2312" w:eastAsia="仿宋_GB2312" w:hAnsi="宋体" w:hint="eastAsia"/>
          <w:sz w:val="30"/>
          <w:szCs w:val="30"/>
        </w:rPr>
        <w:t>交易异常波动的具体情形及发生时间等。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例如，触及《上海证券交易所交易规则》规定的异常波动标准的，应当表述为“公司股票交易连续3个交易日内日收盘价格涨（跌）幅偏离值累计达XX%”等。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2"/>
        <w:rPr>
          <w:rFonts w:ascii="黑体" w:eastAsia="黑体" w:cs="宋体" w:hint="eastAsia"/>
          <w:b/>
          <w:kern w:val="0"/>
          <w:sz w:val="30"/>
          <w:szCs w:val="30"/>
          <w:lang w:val="zh-CN"/>
        </w:rPr>
      </w:pPr>
      <w:r>
        <w:rPr>
          <w:rFonts w:ascii="黑体" w:eastAsia="黑体" w:cs="宋体" w:hint="eastAsia"/>
          <w:b/>
          <w:kern w:val="0"/>
          <w:sz w:val="30"/>
          <w:szCs w:val="30"/>
          <w:lang w:val="zh-CN"/>
        </w:rPr>
        <w:t>二、公司关注并核实的相关情况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上市公司股票交易出现异常波动的，公司应当核实并向其控股股东、实际控制人发函查证是否存在如下重大事项，并予以披露。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一）上市公司日常经营情况是否发生重大变化。例如，市场环境或行业政策是否发生重大调整、生产成本和销售等情况是否出现大幅波动、内部生产经营秩序是否正常、近期是否签订或正在磋商重大合同、是否在为产业转型升级投资新项目等。</w:t>
      </w:r>
    </w:p>
    <w:p w:rsidR="00F6170B" w:rsidRDefault="00F6170B" w:rsidP="00F6170B">
      <w:pPr>
        <w:spacing w:line="600" w:lineRule="exact"/>
        <w:ind w:firstLineChars="200" w:firstLine="600"/>
        <w:rPr>
          <w:rFonts w:ascii="仿宋_GB2312" w:eastAsia="仿宋_GB2312" w:cs="宋体" w:hint="eastAsia"/>
          <w:kern w:val="0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</w:rPr>
        <w:t>（二）</w:t>
      </w: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上市公司或其控股股东、实际控制人</w:t>
      </w:r>
      <w:r>
        <w:rPr>
          <w:rFonts w:ascii="仿宋_GB2312" w:eastAsia="仿宋_GB2312" w:hAnsi="宋体" w:hint="eastAsia"/>
          <w:sz w:val="30"/>
          <w:szCs w:val="30"/>
        </w:rPr>
        <w:t>是否</w:t>
      </w: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正在筹划并购重组、股份发行、债务重组、业务重组、资产剥离和资产注入等重大事项。确有筹划前述重大事项的，应当披露筹划进展情况，如是否已接触或确定交易对方、是否已正式委托相关中介服务机构、是否已选定交易标的、是否已初步达成交易框架或制定相关方案、近期是否拟召开董事会审议相关预案等。</w:t>
      </w:r>
    </w:p>
    <w:p w:rsidR="00F6170B" w:rsidRDefault="00F6170B" w:rsidP="00F6170B">
      <w:pPr>
        <w:spacing w:line="600" w:lineRule="exact"/>
        <w:ind w:firstLineChars="200" w:firstLine="600"/>
        <w:rPr>
          <w:rFonts w:ascii="仿宋_GB2312" w:eastAsia="仿宋_GB2312" w:cs="宋体" w:hint="eastAsia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上市公司及其控股股东、实际控制人未开始筹划前述重大事项的，不得在公告中表示预计、计划或不排除未来一定期间内启动筹划前述重大事项。</w:t>
      </w:r>
    </w:p>
    <w:p w:rsidR="00F6170B" w:rsidRDefault="00F6170B" w:rsidP="00F6170B">
      <w:pPr>
        <w:spacing w:line="600" w:lineRule="exact"/>
        <w:ind w:firstLineChars="200" w:firstLine="600"/>
        <w:rPr>
          <w:rFonts w:ascii="仿宋_GB2312" w:eastAsia="仿宋_GB2312" w:cs="宋体" w:hint="eastAsia"/>
          <w:kern w:val="0"/>
          <w:sz w:val="30"/>
          <w:szCs w:val="30"/>
          <w:lang w:val="zh-CN"/>
        </w:rPr>
      </w:pP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（三）是否出现其他可能对公司股价产生较大影响的重大事件。例如，公司需要澄清或回应的媒体报道或市场传闻、公司前期公告事项取得重大进展或变化、公司前期公告的并购重组或股</w:t>
      </w: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lastRenderedPageBreak/>
        <w:t>份发行等事项取得有权部门正式批复或拟进行重大调整、变更、终止等。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（四）本所明确要求上市公司核实并披露的其他事项。例如，公司董事、监事、高级管理人员、控股股东及其一致行动人买卖公司股票的情况、公司对市盈率进行同行业比较的情况、公司股价剔除大盘和板块整体因素后的实际波动情况等。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2"/>
        <w:rPr>
          <w:rFonts w:ascii="黑体" w:eastAsia="黑体" w:cs="宋体" w:hint="eastAsia"/>
          <w:b/>
          <w:kern w:val="0"/>
          <w:sz w:val="30"/>
          <w:szCs w:val="30"/>
          <w:lang w:val="zh-CN"/>
        </w:rPr>
      </w:pPr>
      <w:r>
        <w:rPr>
          <w:rFonts w:ascii="黑体" w:eastAsia="黑体" w:cs="宋体" w:hint="eastAsia"/>
          <w:b/>
          <w:kern w:val="0"/>
          <w:sz w:val="30"/>
          <w:szCs w:val="30"/>
          <w:lang w:val="zh-CN"/>
        </w:rPr>
        <w:t>三、董事会声明及相关方承诺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一）上市公司董事会根据本指引要求进行核查后，应当做出如下声明：“本公司董事会确认，（除前述第二部分涉及的披露事项外）本公司没有任何根据《股票上市规则》等有关规定应披露而未披露的事项或与该等事项有关的筹划和意向，董事会也未获悉根据《股票上市规则》等有关规定应披露而未披露的、对本公司股票及其衍生品种交易价格可能产生较大影响的信息。”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（二）上市公司及其控股股东、实际控制人在公告中披露目前未筹划</w:t>
      </w:r>
      <w:r>
        <w:rPr>
          <w:rFonts w:ascii="仿宋_GB2312" w:eastAsia="仿宋_GB2312" w:cs="宋体" w:hint="eastAsia"/>
          <w:kern w:val="0"/>
          <w:sz w:val="30"/>
          <w:szCs w:val="30"/>
          <w:lang w:val="zh-CN"/>
        </w:rPr>
        <w:t>并购重组、股份发行、债务重组、业务重组、资产剥离和资产注入等重大事项的，可以在公告中承诺3个月内不筹划前述事项，并同时在公告的“重要内容提示”中披露。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2"/>
        <w:rPr>
          <w:rFonts w:ascii="黑体" w:eastAsia="黑体" w:cs="宋体" w:hint="eastAsia"/>
          <w:b/>
          <w:kern w:val="0"/>
          <w:sz w:val="30"/>
          <w:szCs w:val="30"/>
          <w:lang w:val="zh-CN"/>
        </w:rPr>
      </w:pPr>
      <w:r>
        <w:rPr>
          <w:rFonts w:ascii="黑体" w:eastAsia="黑体" w:cs="宋体" w:hint="eastAsia"/>
          <w:b/>
          <w:kern w:val="0"/>
          <w:sz w:val="30"/>
          <w:szCs w:val="30"/>
          <w:lang w:val="zh-CN"/>
        </w:rPr>
        <w:t>四、相关风险提示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（一）上市公司核实发现重大事项的，除按照前述第二部分要求予以披露外，还应当充分揭示相关的不确定性等风险因素。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（二）上市公司核实无重大事项，或认为公司股价波动情况严重背离公司经营情况的，应当提示投资者注意投资风险。</w:t>
      </w:r>
    </w:p>
    <w:p w:rsidR="00F6170B" w:rsidRDefault="00F6170B" w:rsidP="00F6170B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特此公告。</w:t>
      </w:r>
    </w:p>
    <w:p w:rsidR="00F6170B" w:rsidRDefault="00F6170B" w:rsidP="00F6170B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6170B" w:rsidRDefault="00F6170B" w:rsidP="00F6170B">
      <w:pPr>
        <w:tabs>
          <w:tab w:val="left" w:pos="1080"/>
        </w:tabs>
        <w:adjustRightInd w:val="0"/>
        <w:snapToGrid w:val="0"/>
        <w:spacing w:line="560" w:lineRule="exact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××××股份有限公司董事会</w:t>
      </w:r>
    </w:p>
    <w:p w:rsidR="00F6170B" w:rsidRDefault="00F6170B" w:rsidP="00F6170B">
      <w:pPr>
        <w:adjustRightInd w:val="0"/>
        <w:snapToGrid w:val="0"/>
        <w:spacing w:line="560" w:lineRule="exact"/>
        <w:ind w:right="360"/>
        <w:jc w:val="righ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年  月  日</w:t>
      </w:r>
    </w:p>
    <w:p w:rsidR="00F6170B" w:rsidRDefault="00F6170B" w:rsidP="00F6170B">
      <w:pPr>
        <w:adjustRightInd w:val="0"/>
        <w:snapToGrid w:val="0"/>
        <w:spacing w:line="560" w:lineRule="exact"/>
        <w:ind w:right="360"/>
        <w:jc w:val="right"/>
        <w:rPr>
          <w:rFonts w:ascii="仿宋_GB2312" w:eastAsia="仿宋_GB2312" w:hAnsi="宋体" w:hint="eastAsia"/>
          <w:sz w:val="30"/>
          <w:szCs w:val="30"/>
        </w:rPr>
      </w:pPr>
    </w:p>
    <w:p w:rsidR="00F6170B" w:rsidRDefault="00F6170B" w:rsidP="00F6170B">
      <w:pPr>
        <w:adjustRightInd w:val="0"/>
        <w:snapToGrid w:val="0"/>
        <w:spacing w:line="560" w:lineRule="exact"/>
        <w:ind w:right="360"/>
        <w:jc w:val="right"/>
        <w:rPr>
          <w:rFonts w:ascii="仿宋_GB2312" w:eastAsia="仿宋_GB2312" w:hint="eastAsia"/>
          <w:sz w:val="30"/>
          <w:szCs w:val="30"/>
        </w:rPr>
      </w:pPr>
    </w:p>
    <w:p w:rsidR="00F6170B" w:rsidRDefault="00F6170B" w:rsidP="00F6170B">
      <w:pPr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ascii="仿宋_GB2312" w:eastAsia="仿宋_GB2312" w:hAnsi="黑体" w:hint="eastAsia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上网披露文件</w:t>
      </w:r>
    </w:p>
    <w:p w:rsidR="00F6170B" w:rsidRDefault="00F6170B" w:rsidP="00F6170B">
      <w:pPr>
        <w:adjustRightInd w:val="0"/>
        <w:snapToGrid w:val="0"/>
        <w:spacing w:line="560" w:lineRule="exact"/>
        <w:ind w:left="426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控股股东及实际控制人的书面回函。</w:t>
      </w:r>
    </w:p>
    <w:p w:rsidR="00F6170B" w:rsidRDefault="00F6170B" w:rsidP="00F6170B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 w:cs="宋体" w:hint="eastAsia"/>
          <w:kern w:val="0"/>
          <w:sz w:val="30"/>
          <w:szCs w:val="30"/>
          <w:lang w:val="zh-CN"/>
        </w:rPr>
      </w:pPr>
    </w:p>
    <w:p w:rsidR="003E3835" w:rsidRDefault="00F6170B" w:rsidP="00F6170B">
      <w:bookmarkStart w:id="1" w:name="_Toc340839634"/>
      <w:bookmarkStart w:id="2" w:name="_Toc330904149"/>
      <w:bookmarkStart w:id="3" w:name="_Toc329786096"/>
      <w:bookmarkStart w:id="4" w:name="_Toc329775046"/>
      <w:bookmarkEnd w:id="1"/>
      <w:bookmarkEnd w:id="2"/>
      <w:bookmarkEnd w:id="3"/>
      <w:bookmarkEnd w:id="4"/>
      <w:r>
        <w:rPr>
          <w:rFonts w:ascii="仿宋_GB2312" w:eastAsia="仿宋_GB2312"/>
          <w:bCs/>
          <w:color w:val="000000"/>
          <w:sz w:val="28"/>
          <w:szCs w:val="28"/>
        </w:rPr>
        <w:br w:type="page"/>
      </w:r>
    </w:p>
    <w:sectPr w:rsidR="003E3835" w:rsidSect="003E3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DCA"/>
    <w:multiLevelType w:val="multilevel"/>
    <w:tmpl w:val="01FB1DCA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170B"/>
    <w:rsid w:val="003E3835"/>
    <w:rsid w:val="00F6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</Words>
  <Characters>1335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JF</cp:lastModifiedBy>
  <cp:revision>1</cp:revision>
  <dcterms:created xsi:type="dcterms:W3CDTF">2015-10-26T07:46:00Z</dcterms:created>
  <dcterms:modified xsi:type="dcterms:W3CDTF">2015-10-26T07:46:00Z</dcterms:modified>
</cp:coreProperties>
</file>