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25" w:rsidRPr="00D30D01" w:rsidRDefault="00E65325" w:rsidP="00E65325">
      <w:pPr>
        <w:spacing w:line="700" w:lineRule="exact"/>
        <w:ind w:rightChars="111" w:right="233"/>
        <w:rPr>
          <w:rFonts w:asciiTheme="minorEastAsia" w:hAnsiTheme="minorEastAsia"/>
          <w:sz w:val="28"/>
          <w:szCs w:val="28"/>
        </w:rPr>
      </w:pPr>
    </w:p>
    <w:p w:rsidR="00E65325" w:rsidRDefault="00E65325" w:rsidP="00E65325">
      <w:pPr>
        <w:widowControl/>
        <w:spacing w:line="360" w:lineRule="auto"/>
        <w:jc w:val="center"/>
        <w:rPr>
          <w:rFonts w:ascii="仿宋_GB2312" w:eastAsia="仿宋_GB2312"/>
          <w:b/>
          <w:bCs/>
          <w:sz w:val="28"/>
          <w:szCs w:val="28"/>
        </w:rPr>
      </w:pPr>
      <w:r>
        <w:rPr>
          <w:rFonts w:ascii="仿宋_GB2312" w:eastAsia="仿宋_GB2312" w:hint="eastAsia"/>
          <w:b/>
          <w:bCs/>
          <w:sz w:val="28"/>
          <w:szCs w:val="28"/>
        </w:rPr>
        <w:t>信息披露内部业务流程第</w:t>
      </w:r>
      <w:r>
        <w:rPr>
          <w:rFonts w:ascii="仿宋_GB2312" w:eastAsia="仿宋_GB2312" w:hint="eastAsia"/>
          <w:b/>
          <w:bCs/>
          <w:sz w:val="28"/>
          <w:szCs w:val="28"/>
        </w:rPr>
        <w:t>1.18</w:t>
      </w:r>
      <w:r>
        <w:rPr>
          <w:rFonts w:ascii="仿宋_GB2312" w:eastAsia="仿宋_GB2312" w:hint="eastAsia"/>
          <w:b/>
          <w:bCs/>
          <w:sz w:val="28"/>
          <w:szCs w:val="28"/>
        </w:rPr>
        <w:t>号——信息直通披露</w:t>
      </w:r>
    </w:p>
    <w:p w:rsidR="00E65325" w:rsidRDefault="00E65325" w:rsidP="00E65325">
      <w:pPr>
        <w:widowControl/>
        <w:spacing w:line="360" w:lineRule="auto"/>
        <w:jc w:val="center"/>
        <w:rPr>
          <w:rFonts w:ascii="仿宋_GB2312" w:eastAsia="仿宋_GB2312"/>
          <w:b/>
          <w:bCs/>
          <w:sz w:val="28"/>
          <w:szCs w:val="28"/>
        </w:rPr>
      </w:pPr>
      <w:r>
        <w:rPr>
          <w:rFonts w:ascii="仿宋_GB2312" w:eastAsia="仿宋_GB2312" w:hint="eastAsia"/>
          <w:b/>
          <w:bCs/>
          <w:sz w:val="28"/>
          <w:szCs w:val="28"/>
        </w:rPr>
        <w:t>（2014年</w:t>
      </w:r>
      <w:r>
        <w:rPr>
          <w:rFonts w:ascii="仿宋_GB2312" w:eastAsia="仿宋_GB2312" w:hint="eastAsia"/>
          <w:b/>
          <w:bCs/>
          <w:sz w:val="28"/>
          <w:szCs w:val="28"/>
        </w:rPr>
        <w:t>2</w:t>
      </w:r>
      <w:r>
        <w:rPr>
          <w:rFonts w:ascii="仿宋_GB2312" w:eastAsia="仿宋_GB2312" w:hint="eastAsia"/>
          <w:b/>
          <w:bCs/>
          <w:sz w:val="28"/>
          <w:szCs w:val="28"/>
        </w:rPr>
        <w:t>月</w:t>
      </w:r>
      <w:r>
        <w:rPr>
          <w:rFonts w:ascii="仿宋_GB2312" w:eastAsia="仿宋_GB2312" w:hint="eastAsia"/>
          <w:b/>
          <w:bCs/>
          <w:sz w:val="28"/>
          <w:szCs w:val="28"/>
        </w:rPr>
        <w:t>2</w:t>
      </w:r>
      <w:r>
        <w:rPr>
          <w:rFonts w:ascii="仿宋_GB2312" w:eastAsia="仿宋_GB2312" w:hint="eastAsia"/>
          <w:b/>
          <w:bCs/>
          <w:sz w:val="28"/>
          <w:szCs w:val="28"/>
        </w:rPr>
        <w:t>6日）</w:t>
      </w:r>
    </w:p>
    <w:p w:rsidR="00E65325" w:rsidRDefault="00E65325" w:rsidP="00E65325">
      <w:pPr>
        <w:pStyle w:val="1"/>
        <w:keepLines/>
        <w:numPr>
          <w:ilvl w:val="0"/>
          <w:numId w:val="2"/>
        </w:numPr>
        <w:tabs>
          <w:tab w:val="left" w:pos="420"/>
        </w:tabs>
        <w:spacing w:before="340" w:after="330" w:line="240" w:lineRule="auto"/>
        <w:jc w:val="both"/>
        <w:rPr>
          <w:sz w:val="24"/>
          <w:szCs w:val="24"/>
        </w:rPr>
      </w:pPr>
      <w:r>
        <w:rPr>
          <w:rFonts w:hint="eastAsia"/>
          <w:sz w:val="24"/>
          <w:szCs w:val="24"/>
        </w:rPr>
        <w:t>适用规则</w:t>
      </w:r>
      <w:r>
        <w:rPr>
          <w:sz w:val="24"/>
          <w:szCs w:val="24"/>
        </w:rPr>
        <w:t xml:space="preserve"> </w:t>
      </w:r>
    </w:p>
    <w:p w:rsidR="00E65325" w:rsidRDefault="00E65325" w:rsidP="00E65325">
      <w:pPr>
        <w:spacing w:line="360" w:lineRule="auto"/>
        <w:ind w:firstLineChars="225" w:firstLine="540"/>
        <w:rPr>
          <w:sz w:val="24"/>
        </w:rPr>
      </w:pPr>
      <w:r>
        <w:rPr>
          <w:rFonts w:hint="eastAsia"/>
          <w:sz w:val="24"/>
        </w:rPr>
        <w:t>上市公司信息直通披露业务，即信息披露直通车，是指上市公司按照各种业务规则的规定，将应该对外披露的信息公告通过本所技术平台直接提交给指定披露媒体，本所进行事后审核的信息披露方式。</w:t>
      </w:r>
    </w:p>
    <w:p w:rsidR="00E65325" w:rsidRDefault="00E65325" w:rsidP="00E65325">
      <w:pPr>
        <w:spacing w:line="360" w:lineRule="auto"/>
        <w:ind w:firstLineChars="225" w:firstLine="540"/>
        <w:rPr>
          <w:sz w:val="24"/>
        </w:rPr>
      </w:pPr>
      <w:r>
        <w:rPr>
          <w:rFonts w:hint="eastAsia"/>
          <w:sz w:val="24"/>
        </w:rPr>
        <w:t>上市公司信息直通披露业务适用规则，包括：《上市公司信息披露管理办法》、《深圳证券交易所股票上市规则（</w:t>
      </w:r>
      <w:r>
        <w:rPr>
          <w:sz w:val="24"/>
        </w:rPr>
        <w:t>2012</w:t>
      </w:r>
      <w:r>
        <w:rPr>
          <w:rFonts w:hint="eastAsia"/>
          <w:sz w:val="24"/>
        </w:rPr>
        <w:t>年修订）》、、《上市公司信息披露直通车试点业务指引》、《信息披露业务备忘录——信息披露直通车业务公告类别》、《上市公司信息披露直通车试点业务操作指南》和本内部业务流程</w:t>
      </w:r>
      <w:bookmarkStart w:id="0" w:name="_GoBack"/>
      <w:bookmarkEnd w:id="0"/>
      <w:r>
        <w:rPr>
          <w:rFonts w:hint="eastAsia"/>
          <w:sz w:val="24"/>
        </w:rPr>
        <w:t>。</w:t>
      </w:r>
    </w:p>
    <w:p w:rsidR="00E65325" w:rsidRDefault="00E65325" w:rsidP="00E65325">
      <w:pPr>
        <w:spacing w:line="360" w:lineRule="auto"/>
        <w:ind w:firstLineChars="225" w:firstLine="540"/>
        <w:rPr>
          <w:sz w:val="24"/>
        </w:rPr>
      </w:pPr>
      <w:r>
        <w:rPr>
          <w:rFonts w:hint="eastAsia"/>
          <w:sz w:val="24"/>
        </w:rPr>
        <w:t>本内部业务流程用于指导交易所公司监管部门信息披露监管和后续业务处理的各个岗位和环节。</w:t>
      </w:r>
    </w:p>
    <w:p w:rsidR="00E65325" w:rsidRDefault="00E65325" w:rsidP="00E65325">
      <w:pPr>
        <w:pStyle w:val="1"/>
        <w:keepLines/>
        <w:numPr>
          <w:ilvl w:val="0"/>
          <w:numId w:val="2"/>
        </w:numPr>
        <w:tabs>
          <w:tab w:val="left" w:pos="420"/>
        </w:tabs>
        <w:spacing w:before="340" w:after="330" w:line="240" w:lineRule="auto"/>
        <w:jc w:val="both"/>
        <w:rPr>
          <w:sz w:val="24"/>
          <w:szCs w:val="24"/>
        </w:rPr>
      </w:pPr>
      <w:bookmarkStart w:id="1" w:name="_Toc209340581"/>
      <w:r>
        <w:rPr>
          <w:rFonts w:hint="eastAsia"/>
          <w:sz w:val="24"/>
          <w:szCs w:val="24"/>
        </w:rPr>
        <w:t>上市公司信息直通披露的范围和申请</w:t>
      </w:r>
      <w:bookmarkEnd w:id="1"/>
    </w:p>
    <w:p w:rsidR="00E65325" w:rsidRDefault="00E65325" w:rsidP="00E65325">
      <w:pPr>
        <w:spacing w:line="360" w:lineRule="auto"/>
        <w:ind w:firstLineChars="225" w:firstLine="540"/>
        <w:rPr>
          <w:sz w:val="24"/>
        </w:rPr>
      </w:pPr>
      <w:r>
        <w:rPr>
          <w:sz w:val="24"/>
        </w:rPr>
        <w:t>1</w:t>
      </w:r>
      <w:r>
        <w:rPr>
          <w:rFonts w:hint="eastAsia"/>
          <w:sz w:val="24"/>
        </w:rPr>
        <w:t>、直通公司的范围</w:t>
      </w:r>
    </w:p>
    <w:p w:rsidR="00E65325" w:rsidRDefault="00E65325" w:rsidP="00E65325">
      <w:pPr>
        <w:spacing w:line="360" w:lineRule="auto"/>
        <w:ind w:firstLineChars="225" w:firstLine="540"/>
        <w:rPr>
          <w:sz w:val="24"/>
        </w:rPr>
      </w:pPr>
      <w:r>
        <w:rPr>
          <w:rFonts w:hint="eastAsia"/>
          <w:sz w:val="24"/>
        </w:rPr>
        <w:t>采用直通披露的上市公司原则上除上一年度信息披露考核为</w:t>
      </w:r>
      <w:r>
        <w:rPr>
          <w:sz w:val="24"/>
        </w:rPr>
        <w:t>D</w:t>
      </w:r>
      <w:r>
        <w:rPr>
          <w:rFonts w:hint="eastAsia"/>
          <w:sz w:val="24"/>
        </w:rPr>
        <w:t>以外的全部公司，直通公司的名单将每年定期调整一次，并可以根据公司规范运作程度、违规处分等情形即时调整直通披露的公司。</w:t>
      </w:r>
    </w:p>
    <w:p w:rsidR="00E65325" w:rsidRDefault="00E65325" w:rsidP="00E65325">
      <w:pPr>
        <w:spacing w:line="360" w:lineRule="auto"/>
        <w:ind w:firstLineChars="225" w:firstLine="540"/>
        <w:rPr>
          <w:sz w:val="24"/>
        </w:rPr>
      </w:pPr>
      <w:r>
        <w:rPr>
          <w:sz w:val="24"/>
        </w:rPr>
        <w:t>2</w:t>
      </w:r>
      <w:r>
        <w:rPr>
          <w:rFonts w:hint="eastAsia"/>
          <w:sz w:val="24"/>
        </w:rPr>
        <w:t>、直通公告的范围</w:t>
      </w:r>
    </w:p>
    <w:p w:rsidR="00E65325" w:rsidRDefault="00E65325" w:rsidP="00E65325">
      <w:pPr>
        <w:spacing w:line="360" w:lineRule="auto"/>
        <w:ind w:firstLineChars="225" w:firstLine="540"/>
        <w:rPr>
          <w:sz w:val="24"/>
        </w:rPr>
      </w:pPr>
      <w:r>
        <w:rPr>
          <w:rFonts w:hint="eastAsia"/>
          <w:sz w:val="24"/>
        </w:rPr>
        <w:t>将根据业务发展需要可以定期或不定期调整直通公告的范围。</w:t>
      </w:r>
    </w:p>
    <w:p w:rsidR="00E65325" w:rsidRDefault="00E65325" w:rsidP="00E65325">
      <w:pPr>
        <w:spacing w:line="360" w:lineRule="auto"/>
        <w:ind w:firstLineChars="225" w:firstLine="540"/>
        <w:rPr>
          <w:sz w:val="24"/>
        </w:rPr>
      </w:pPr>
      <w:r>
        <w:rPr>
          <w:sz w:val="24"/>
        </w:rPr>
        <w:t>3</w:t>
      </w:r>
      <w:r>
        <w:rPr>
          <w:rFonts w:hint="eastAsia"/>
          <w:sz w:val="24"/>
        </w:rPr>
        <w:t>、直通披露如何申请</w:t>
      </w:r>
    </w:p>
    <w:p w:rsidR="00E65325" w:rsidRDefault="00E65325" w:rsidP="00E65325">
      <w:pPr>
        <w:spacing w:line="360" w:lineRule="auto"/>
        <w:ind w:firstLineChars="225" w:firstLine="540"/>
        <w:rPr>
          <w:sz w:val="24"/>
        </w:rPr>
      </w:pPr>
      <w:r>
        <w:rPr>
          <w:rFonts w:hint="eastAsia"/>
          <w:sz w:val="24"/>
        </w:rPr>
        <w:t>上市公司应当在交易日登录本所披露业务技术平台的“上市公司业务专区”提交直通披露申请。</w:t>
      </w:r>
    </w:p>
    <w:p w:rsidR="00E65325" w:rsidRDefault="00E65325" w:rsidP="00E65325">
      <w:pPr>
        <w:spacing w:line="360" w:lineRule="auto"/>
        <w:ind w:firstLineChars="225" w:firstLine="540"/>
        <w:rPr>
          <w:sz w:val="24"/>
        </w:rPr>
      </w:pPr>
      <w:r>
        <w:rPr>
          <w:sz w:val="24"/>
        </w:rPr>
        <w:t>4</w:t>
      </w:r>
      <w:r>
        <w:rPr>
          <w:rFonts w:hint="eastAsia"/>
          <w:sz w:val="24"/>
        </w:rPr>
        <w:t>、直通披露公告正式发布的时间</w:t>
      </w:r>
    </w:p>
    <w:p w:rsidR="00E65325" w:rsidRDefault="00E65325" w:rsidP="00E65325">
      <w:pPr>
        <w:spacing w:line="360" w:lineRule="auto"/>
        <w:ind w:firstLineChars="225" w:firstLine="540"/>
        <w:rPr>
          <w:sz w:val="24"/>
        </w:rPr>
      </w:pPr>
      <w:r>
        <w:rPr>
          <w:rFonts w:hint="eastAsia"/>
          <w:sz w:val="24"/>
        </w:rPr>
        <w:t>本所技术平台在下列时间段将直通披露信息自动发送给指定披露媒体：</w:t>
      </w:r>
    </w:p>
    <w:p w:rsidR="00E65325" w:rsidRDefault="00E65325" w:rsidP="00E65325">
      <w:pPr>
        <w:spacing w:line="360" w:lineRule="auto"/>
        <w:ind w:firstLineChars="225" w:firstLine="540"/>
        <w:rPr>
          <w:sz w:val="24"/>
        </w:rPr>
      </w:pPr>
      <w:r>
        <w:rPr>
          <w:rFonts w:hint="eastAsia"/>
          <w:sz w:val="24"/>
        </w:rPr>
        <w:t>（</w:t>
      </w:r>
      <w:r>
        <w:rPr>
          <w:sz w:val="24"/>
        </w:rPr>
        <w:t>1</w:t>
      </w:r>
      <w:r>
        <w:rPr>
          <w:rFonts w:hint="eastAsia"/>
          <w:sz w:val="24"/>
        </w:rPr>
        <w:t>）上市公司在交易日</w:t>
      </w:r>
      <w:r>
        <w:rPr>
          <w:sz w:val="24"/>
        </w:rPr>
        <w:t>8</w:t>
      </w:r>
      <w:r>
        <w:rPr>
          <w:rFonts w:hint="eastAsia"/>
          <w:sz w:val="24"/>
        </w:rPr>
        <w:t>：</w:t>
      </w:r>
      <w:r>
        <w:rPr>
          <w:sz w:val="24"/>
        </w:rPr>
        <w:t>30AM~11</w:t>
      </w:r>
      <w:r>
        <w:rPr>
          <w:rFonts w:hint="eastAsia"/>
          <w:sz w:val="24"/>
        </w:rPr>
        <w:t>︰</w:t>
      </w:r>
      <w:r>
        <w:rPr>
          <w:sz w:val="24"/>
        </w:rPr>
        <w:t>30AM</w:t>
      </w:r>
      <w:r>
        <w:rPr>
          <w:rFonts w:hint="eastAsia"/>
          <w:sz w:val="24"/>
        </w:rPr>
        <w:t>前完成公告提交，且拟披露</w:t>
      </w:r>
      <w:r>
        <w:rPr>
          <w:rFonts w:hint="eastAsia"/>
          <w:sz w:val="24"/>
        </w:rPr>
        <w:lastRenderedPageBreak/>
        <w:t>日期为当日的，技术平台于当日</w:t>
      </w:r>
      <w:r>
        <w:rPr>
          <w:sz w:val="24"/>
        </w:rPr>
        <w:t>11</w:t>
      </w:r>
      <w:r>
        <w:rPr>
          <w:rFonts w:hint="eastAsia"/>
          <w:sz w:val="24"/>
        </w:rPr>
        <w:t>︰</w:t>
      </w:r>
      <w:r>
        <w:rPr>
          <w:sz w:val="24"/>
        </w:rPr>
        <w:t>30AM</w:t>
      </w:r>
      <w:r>
        <w:rPr>
          <w:rFonts w:hint="eastAsia"/>
          <w:sz w:val="24"/>
        </w:rPr>
        <w:t>后自动发送相关公告给指定网站披露；</w:t>
      </w:r>
    </w:p>
    <w:p w:rsidR="00E65325" w:rsidRDefault="00E65325" w:rsidP="00E65325">
      <w:pPr>
        <w:spacing w:line="360" w:lineRule="auto"/>
        <w:ind w:firstLineChars="225" w:firstLine="540"/>
        <w:rPr>
          <w:sz w:val="24"/>
        </w:rPr>
      </w:pPr>
      <w:r>
        <w:rPr>
          <w:rFonts w:hint="eastAsia"/>
          <w:sz w:val="24"/>
        </w:rPr>
        <w:t>（</w:t>
      </w:r>
      <w:r>
        <w:rPr>
          <w:sz w:val="24"/>
        </w:rPr>
        <w:t>2</w:t>
      </w:r>
      <w:r>
        <w:rPr>
          <w:rFonts w:hint="eastAsia"/>
          <w:sz w:val="24"/>
        </w:rPr>
        <w:t>）上市公司在交易日</w:t>
      </w:r>
      <w:r>
        <w:rPr>
          <w:sz w:val="24"/>
        </w:rPr>
        <w:t>11</w:t>
      </w:r>
      <w:r>
        <w:rPr>
          <w:rFonts w:hint="eastAsia"/>
          <w:sz w:val="24"/>
        </w:rPr>
        <w:t>︰</w:t>
      </w:r>
      <w:r>
        <w:rPr>
          <w:sz w:val="24"/>
        </w:rPr>
        <w:t>30AM~8</w:t>
      </w:r>
      <w:r>
        <w:rPr>
          <w:rFonts w:hint="eastAsia"/>
          <w:sz w:val="24"/>
        </w:rPr>
        <w:t>：</w:t>
      </w:r>
      <w:r>
        <w:rPr>
          <w:sz w:val="24"/>
        </w:rPr>
        <w:t>30PM</w:t>
      </w:r>
      <w:r>
        <w:rPr>
          <w:rFonts w:hint="eastAsia"/>
          <w:sz w:val="24"/>
        </w:rPr>
        <w:t>后完成公告提交的，技术平台于当日</w:t>
      </w:r>
      <w:r>
        <w:rPr>
          <w:sz w:val="24"/>
        </w:rPr>
        <w:t>15</w:t>
      </w:r>
      <w:r>
        <w:rPr>
          <w:rFonts w:hint="eastAsia"/>
          <w:sz w:val="24"/>
        </w:rPr>
        <w:t>︰</w:t>
      </w:r>
      <w:r>
        <w:rPr>
          <w:sz w:val="24"/>
        </w:rPr>
        <w:t>30</w:t>
      </w:r>
      <w:r>
        <w:rPr>
          <w:rFonts w:hint="eastAsia"/>
          <w:sz w:val="24"/>
        </w:rPr>
        <w:t>后自动发送相关公告在指定网站披露。</w:t>
      </w:r>
    </w:p>
    <w:p w:rsidR="00E65325" w:rsidRDefault="00E65325" w:rsidP="00E65325">
      <w:pPr>
        <w:spacing w:line="360" w:lineRule="auto"/>
        <w:ind w:firstLineChars="225" w:firstLine="540"/>
        <w:rPr>
          <w:sz w:val="24"/>
        </w:rPr>
      </w:pPr>
      <w:r>
        <w:rPr>
          <w:rFonts w:hint="eastAsia"/>
          <w:sz w:val="24"/>
        </w:rPr>
        <w:t>上述直通披露的相关公告均将同时发送给上市公司的其他指定媒体。</w:t>
      </w:r>
    </w:p>
    <w:p w:rsidR="00E65325" w:rsidRDefault="00E65325" w:rsidP="00E65325">
      <w:pPr>
        <w:pStyle w:val="1"/>
        <w:keepLines/>
        <w:numPr>
          <w:ilvl w:val="0"/>
          <w:numId w:val="2"/>
        </w:numPr>
        <w:tabs>
          <w:tab w:val="left" w:pos="420"/>
        </w:tabs>
        <w:spacing w:before="340" w:after="330" w:line="240" w:lineRule="auto"/>
        <w:jc w:val="both"/>
        <w:rPr>
          <w:sz w:val="24"/>
          <w:szCs w:val="24"/>
        </w:rPr>
      </w:pPr>
      <w:r>
        <w:rPr>
          <w:rFonts w:hint="eastAsia"/>
          <w:sz w:val="24"/>
        </w:rPr>
        <w:t>直通披露</w:t>
      </w:r>
      <w:r>
        <w:rPr>
          <w:rFonts w:hint="eastAsia"/>
          <w:sz w:val="24"/>
          <w:szCs w:val="24"/>
        </w:rPr>
        <w:t>公告的事后审核流程</w:t>
      </w:r>
    </w:p>
    <w:p w:rsidR="00E65325" w:rsidRDefault="00E65325" w:rsidP="00E65325">
      <w:pPr>
        <w:spacing w:line="360" w:lineRule="auto"/>
        <w:ind w:firstLineChars="225" w:firstLine="540"/>
        <w:rPr>
          <w:sz w:val="24"/>
        </w:rPr>
      </w:pPr>
      <w:r>
        <w:rPr>
          <w:rFonts w:hint="eastAsia"/>
          <w:sz w:val="24"/>
        </w:rPr>
        <w:t>上市公司的直通披露公告在对外披露完成后，监管人员有义务对其进行必要的事后审核，审核时间点具体的要求如下：</w:t>
      </w:r>
    </w:p>
    <w:p w:rsidR="00E65325" w:rsidRDefault="00E65325" w:rsidP="00E65325">
      <w:pPr>
        <w:spacing w:line="360" w:lineRule="auto"/>
        <w:ind w:firstLineChars="225" w:firstLine="540"/>
        <w:rPr>
          <w:sz w:val="24"/>
        </w:rPr>
      </w:pPr>
      <w:r>
        <w:rPr>
          <w:rFonts w:hint="eastAsia"/>
          <w:sz w:val="24"/>
        </w:rPr>
        <w:t>（</w:t>
      </w:r>
      <w:r>
        <w:rPr>
          <w:sz w:val="24"/>
        </w:rPr>
        <w:t>1</w:t>
      </w:r>
      <w:r>
        <w:rPr>
          <w:rFonts w:hint="eastAsia"/>
          <w:sz w:val="24"/>
        </w:rPr>
        <w:t>）原则当天下班前已经发布的直通披露公告，监管人员当天需完成对其的审核，其余直通披露公告审核最晚在次一交易日上午完成；</w:t>
      </w:r>
    </w:p>
    <w:p w:rsidR="00E65325" w:rsidRDefault="00E65325" w:rsidP="00E65325">
      <w:pPr>
        <w:spacing w:line="360" w:lineRule="auto"/>
        <w:ind w:firstLineChars="225" w:firstLine="540"/>
        <w:rPr>
          <w:sz w:val="24"/>
        </w:rPr>
      </w:pPr>
      <w:r>
        <w:rPr>
          <w:rFonts w:hint="eastAsia"/>
          <w:sz w:val="24"/>
        </w:rPr>
        <w:t>（</w:t>
      </w:r>
      <w:r>
        <w:rPr>
          <w:sz w:val="24"/>
        </w:rPr>
        <w:t>2</w:t>
      </w:r>
      <w:r>
        <w:rPr>
          <w:rFonts w:hint="eastAsia"/>
          <w:sz w:val="24"/>
        </w:rPr>
        <w:t>）对于当天已经及时完成审核的公告，监管人员还需关注舆情监控、审阅公告摘要，并</w:t>
      </w:r>
      <w:r>
        <w:rPr>
          <w:rFonts w:hint="eastAsia"/>
          <w:b/>
          <w:sz w:val="24"/>
        </w:rPr>
        <w:t>于次一交易日九点前进行初步审核并判断是否需运用“紧急停牌”手段控制风险</w:t>
      </w:r>
      <w:r>
        <w:rPr>
          <w:rFonts w:hint="eastAsia"/>
          <w:sz w:val="24"/>
        </w:rPr>
        <w:t>；</w:t>
      </w:r>
    </w:p>
    <w:p w:rsidR="00E65325" w:rsidRDefault="00E65325" w:rsidP="00E65325">
      <w:pPr>
        <w:spacing w:line="360" w:lineRule="auto"/>
        <w:ind w:firstLineChars="225" w:firstLine="540"/>
        <w:rPr>
          <w:sz w:val="24"/>
        </w:rPr>
      </w:pPr>
      <w:r>
        <w:rPr>
          <w:rFonts w:hint="eastAsia"/>
          <w:sz w:val="24"/>
        </w:rPr>
        <w:t>（</w:t>
      </w:r>
      <w:r>
        <w:rPr>
          <w:sz w:val="24"/>
        </w:rPr>
        <w:t>3</w:t>
      </w:r>
      <w:r>
        <w:rPr>
          <w:rFonts w:hint="eastAsia"/>
          <w:sz w:val="24"/>
        </w:rPr>
        <w:t>）及时将未完成审核事项（即前一日直通披露的公告，次日上午未能完成审核的）发给分管副总监，以便部门督促及时审核；</w:t>
      </w:r>
    </w:p>
    <w:p w:rsidR="00E65325" w:rsidRDefault="00E65325" w:rsidP="00E65325">
      <w:pPr>
        <w:spacing w:line="360" w:lineRule="auto"/>
        <w:ind w:firstLineChars="225" w:firstLine="540"/>
        <w:rPr>
          <w:sz w:val="24"/>
        </w:rPr>
      </w:pPr>
      <w:r>
        <w:rPr>
          <w:rFonts w:hint="eastAsia"/>
          <w:sz w:val="24"/>
        </w:rPr>
        <w:t>（</w:t>
      </w:r>
      <w:r>
        <w:rPr>
          <w:sz w:val="24"/>
        </w:rPr>
        <w:t>4</w:t>
      </w:r>
      <w:r>
        <w:rPr>
          <w:rFonts w:hint="eastAsia"/>
          <w:sz w:val="24"/>
        </w:rPr>
        <w:t>）在审核中如发现公司信息披露存在应补充或更正的情形，原则上公司应在接受通知当日完成补充、更正；</w:t>
      </w:r>
    </w:p>
    <w:p w:rsidR="00E65325" w:rsidRDefault="00E65325" w:rsidP="00E65325">
      <w:pPr>
        <w:spacing w:line="360" w:lineRule="auto"/>
        <w:ind w:firstLineChars="225" w:firstLine="542"/>
        <w:rPr>
          <w:b/>
          <w:sz w:val="24"/>
        </w:rPr>
      </w:pPr>
      <w:r>
        <w:rPr>
          <w:rFonts w:hint="eastAsia"/>
          <w:b/>
          <w:sz w:val="24"/>
        </w:rPr>
        <w:t>若需要补充或更正的情形对公司股票交易有重大影响，且公司无法当日完成补充、更正的，公司应及时发布停牌公告，必要时做盘中停牌。</w:t>
      </w:r>
    </w:p>
    <w:p w:rsidR="00E65325" w:rsidRDefault="00E65325" w:rsidP="00E65325">
      <w:pPr>
        <w:pStyle w:val="1"/>
        <w:keepLines/>
        <w:numPr>
          <w:ilvl w:val="0"/>
          <w:numId w:val="2"/>
        </w:numPr>
        <w:tabs>
          <w:tab w:val="left" w:pos="420"/>
        </w:tabs>
        <w:spacing w:before="340" w:after="330" w:line="240" w:lineRule="auto"/>
        <w:jc w:val="both"/>
        <w:rPr>
          <w:sz w:val="24"/>
        </w:rPr>
      </w:pPr>
      <w:r>
        <w:rPr>
          <w:rFonts w:hint="eastAsia"/>
          <w:sz w:val="24"/>
        </w:rPr>
        <w:t>事后审查时应重点关注的几类直通披露公告和审核重点</w:t>
      </w:r>
    </w:p>
    <w:p w:rsidR="00E65325" w:rsidRDefault="00E65325" w:rsidP="00E65325">
      <w:pPr>
        <w:pStyle w:val="a3"/>
        <w:numPr>
          <w:ilvl w:val="0"/>
          <w:numId w:val="3"/>
        </w:numPr>
        <w:spacing w:line="360" w:lineRule="auto"/>
        <w:ind w:firstLineChars="0"/>
        <w:rPr>
          <w:sz w:val="24"/>
        </w:rPr>
      </w:pPr>
      <w:r>
        <w:rPr>
          <w:rFonts w:hint="eastAsia"/>
          <w:sz w:val="24"/>
        </w:rPr>
        <w:t>董事会决议召开股东大会通知的公告</w:t>
      </w:r>
    </w:p>
    <w:p w:rsidR="00E65325" w:rsidRDefault="00E65325" w:rsidP="00E65325">
      <w:pPr>
        <w:spacing w:line="360" w:lineRule="auto"/>
        <w:ind w:firstLineChars="225" w:firstLine="540"/>
        <w:rPr>
          <w:sz w:val="24"/>
        </w:rPr>
      </w:pPr>
      <w:r>
        <w:rPr>
          <w:rFonts w:hint="eastAsia"/>
          <w:sz w:val="24"/>
        </w:rPr>
        <w:t>公告直通后，可能发生股东大会通知已经发出，但是公司提交股东大会审议的事项披露不完整、提交备查文件不全等问题，甚至公司可能将违规事项提交股东大会审议的情况。</w:t>
      </w:r>
    </w:p>
    <w:p w:rsidR="00E65325" w:rsidRDefault="00E65325" w:rsidP="00E65325">
      <w:pPr>
        <w:spacing w:line="360" w:lineRule="auto"/>
        <w:ind w:firstLineChars="225" w:firstLine="540"/>
        <w:rPr>
          <w:sz w:val="24"/>
        </w:rPr>
      </w:pPr>
      <w:r>
        <w:rPr>
          <w:rFonts w:hint="eastAsia"/>
          <w:sz w:val="24"/>
        </w:rPr>
        <w:t>监管人员需要进一步加强事后审核，如上市公司披露存在重大问题，应要求公司改正、补充披露，必要时进行停牌、采取且公开相应监管措施。</w:t>
      </w:r>
    </w:p>
    <w:p w:rsidR="00E65325" w:rsidRDefault="00E65325" w:rsidP="00E65325">
      <w:pPr>
        <w:spacing w:line="360" w:lineRule="auto"/>
        <w:ind w:firstLineChars="225" w:firstLine="540"/>
        <w:rPr>
          <w:sz w:val="24"/>
        </w:rPr>
      </w:pPr>
      <w:r>
        <w:rPr>
          <w:rFonts w:hint="eastAsia"/>
          <w:sz w:val="24"/>
        </w:rPr>
        <w:t>信息披露操作员早上读报时需要关注是否有刊登了股东大会通知的公告以及公告对应的股东大会通知类别是否正确选择，如没有，告诉监管人员。信息披</w:t>
      </w:r>
      <w:r>
        <w:rPr>
          <w:rFonts w:hint="eastAsia"/>
          <w:sz w:val="24"/>
        </w:rPr>
        <w:lastRenderedPageBreak/>
        <w:t>露操作员需要录入股东大会业务业务参数（供系统自动核对）。</w:t>
      </w:r>
    </w:p>
    <w:p w:rsidR="00E65325" w:rsidRDefault="00E65325" w:rsidP="00E65325">
      <w:pPr>
        <w:pStyle w:val="a3"/>
        <w:numPr>
          <w:ilvl w:val="0"/>
          <w:numId w:val="3"/>
        </w:numPr>
        <w:spacing w:line="360" w:lineRule="auto"/>
        <w:ind w:firstLineChars="0"/>
        <w:rPr>
          <w:sz w:val="24"/>
        </w:rPr>
      </w:pPr>
      <w:r>
        <w:rPr>
          <w:rFonts w:hint="eastAsia"/>
          <w:sz w:val="24"/>
        </w:rPr>
        <w:t>年度报告</w:t>
      </w:r>
    </w:p>
    <w:p w:rsidR="00E65325" w:rsidRDefault="00E65325" w:rsidP="00E65325">
      <w:pPr>
        <w:spacing w:line="360" w:lineRule="auto"/>
        <w:ind w:firstLineChars="225" w:firstLine="540"/>
        <w:rPr>
          <w:sz w:val="24"/>
        </w:rPr>
      </w:pPr>
      <w:r>
        <w:rPr>
          <w:rFonts w:hint="eastAsia"/>
          <w:sz w:val="24"/>
        </w:rPr>
        <w:t>公司刊登的年度报告由于财务指标等因素触及风险警示，公司股票及其衍生品种应实施停牌的；或者由于年度报告中存在明显违反会计准则、制度及相关信息披露规范规定的事项而被出具非标审计意见的公司，本所应对公司股票及其衍生品种采取停牌措施或限期责令改正的情形。</w:t>
      </w:r>
    </w:p>
    <w:p w:rsidR="00E65325" w:rsidRDefault="00E65325" w:rsidP="00E65325">
      <w:pPr>
        <w:spacing w:line="360" w:lineRule="auto"/>
        <w:ind w:firstLineChars="225" w:firstLine="540"/>
        <w:rPr>
          <w:sz w:val="24"/>
        </w:rPr>
      </w:pPr>
      <w:r>
        <w:rPr>
          <w:rFonts w:hint="eastAsia"/>
          <w:sz w:val="24"/>
        </w:rPr>
        <w:t>系统会对应重点关注的几类直通披露公告用红五角星标注出来（如下图），提醒监管人员和部门总监重点留意上述两类情形，事前有效预判，事后及时采取正确的监管措施。</w:t>
      </w:r>
    </w:p>
    <w:p w:rsidR="00E65325" w:rsidRDefault="00E65325" w:rsidP="00E65325">
      <w:pPr>
        <w:spacing w:line="360" w:lineRule="auto"/>
        <w:ind w:firstLineChars="225" w:firstLine="540"/>
        <w:rPr>
          <w:sz w:val="24"/>
        </w:rPr>
      </w:pPr>
      <w:r>
        <w:rPr>
          <w:noProof/>
          <w:sz w:val="24"/>
        </w:rPr>
        <w:drawing>
          <wp:inline distT="0" distB="0" distL="0" distR="0" wp14:anchorId="0DB14194" wp14:editId="642D9518">
            <wp:extent cx="5219700" cy="34004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0" cy="3400425"/>
                    </a:xfrm>
                    <a:prstGeom prst="rect">
                      <a:avLst/>
                    </a:prstGeom>
                    <a:noFill/>
                    <a:ln>
                      <a:noFill/>
                    </a:ln>
                  </pic:spPr>
                </pic:pic>
              </a:graphicData>
            </a:graphic>
          </wp:inline>
        </w:drawing>
      </w:r>
    </w:p>
    <w:p w:rsidR="00E65325" w:rsidRDefault="00E65325" w:rsidP="00E65325">
      <w:pPr>
        <w:spacing w:line="360" w:lineRule="auto"/>
        <w:ind w:firstLineChars="225" w:firstLine="542"/>
        <w:rPr>
          <w:b/>
          <w:sz w:val="24"/>
        </w:rPr>
      </w:pPr>
      <w:r>
        <w:rPr>
          <w:rFonts w:hint="eastAsia"/>
          <w:b/>
          <w:sz w:val="24"/>
        </w:rPr>
        <w:t>事前有效预判：</w:t>
      </w:r>
    </w:p>
    <w:p w:rsidR="00E65325" w:rsidRDefault="00E65325" w:rsidP="00E65325">
      <w:pPr>
        <w:spacing w:line="360" w:lineRule="auto"/>
        <w:ind w:firstLineChars="225" w:firstLine="540"/>
        <w:rPr>
          <w:sz w:val="24"/>
        </w:rPr>
      </w:pPr>
      <w:r>
        <w:rPr>
          <w:rFonts w:hint="eastAsia"/>
          <w:sz w:val="24"/>
        </w:rPr>
        <w:t>（</w:t>
      </w:r>
      <w:r>
        <w:rPr>
          <w:sz w:val="24"/>
        </w:rPr>
        <w:t>1</w:t>
      </w:r>
      <w:r>
        <w:rPr>
          <w:rFonts w:hint="eastAsia"/>
          <w:sz w:val="24"/>
        </w:rPr>
        <w:t>）监管人员根据三季度报告数据、年度业绩预告、年度业绩快报，将可能触碰风险警示情形的公司调整为非直通公司；或者监管人员根据公司披露的相关数据进行预判，将可能触碰风险警示情形的公司暂时调整为非直通公司。</w:t>
      </w:r>
    </w:p>
    <w:p w:rsidR="00E65325" w:rsidRDefault="00E65325" w:rsidP="00E65325">
      <w:pPr>
        <w:spacing w:line="360" w:lineRule="auto"/>
        <w:ind w:firstLineChars="225" w:firstLine="540"/>
        <w:rPr>
          <w:sz w:val="24"/>
        </w:rPr>
      </w:pPr>
      <w:r>
        <w:rPr>
          <w:rFonts w:hint="eastAsia"/>
          <w:sz w:val="24"/>
        </w:rPr>
        <w:t>（</w:t>
      </w:r>
      <w:r>
        <w:rPr>
          <w:sz w:val="24"/>
        </w:rPr>
        <w:t>2</w:t>
      </w:r>
      <w:r>
        <w:rPr>
          <w:rFonts w:hint="eastAsia"/>
          <w:sz w:val="24"/>
        </w:rPr>
        <w:t>）在年度报告报送端，要求公司填报与风险警示相关的指标（包含年度报告审计意见），并由业务系统自行判断是否触及需事前登记的情形。如触及，该信息披露事件审核状态变更为事前审核。</w:t>
      </w:r>
    </w:p>
    <w:p w:rsidR="00E65325" w:rsidRDefault="00E65325" w:rsidP="00E65325">
      <w:pPr>
        <w:spacing w:line="360" w:lineRule="auto"/>
        <w:ind w:firstLineChars="225" w:firstLine="540"/>
        <w:rPr>
          <w:sz w:val="24"/>
        </w:rPr>
      </w:pPr>
      <w:r>
        <w:rPr>
          <w:rFonts w:hint="eastAsia"/>
          <w:sz w:val="24"/>
        </w:rPr>
        <w:t>因审计意见为带强调事项段的无保留意见，公司年报披露申请系统自动变</w:t>
      </w:r>
      <w:r>
        <w:rPr>
          <w:rFonts w:hint="eastAsia"/>
          <w:sz w:val="24"/>
        </w:rPr>
        <w:lastRenderedPageBreak/>
        <w:t>更为事前审核，公司及监管人员不了解具体原因。</w:t>
      </w:r>
    </w:p>
    <w:p w:rsidR="00E65325" w:rsidRDefault="00E65325" w:rsidP="00E65325">
      <w:pPr>
        <w:spacing w:line="360" w:lineRule="auto"/>
        <w:ind w:firstLineChars="225" w:firstLine="540"/>
        <w:rPr>
          <w:sz w:val="24"/>
        </w:rPr>
      </w:pPr>
      <w:r>
        <w:rPr>
          <w:sz w:val="24"/>
        </w:rPr>
        <w:t> </w:t>
      </w:r>
    </w:p>
    <w:p w:rsidR="00E65325" w:rsidRDefault="00E65325" w:rsidP="00E65325">
      <w:pPr>
        <w:spacing w:line="360" w:lineRule="auto"/>
        <w:ind w:firstLineChars="225" w:firstLine="540"/>
        <w:rPr>
          <w:sz w:val="24"/>
        </w:rPr>
      </w:pPr>
      <w:r>
        <w:rPr>
          <w:rFonts w:hint="eastAsia"/>
          <w:sz w:val="24"/>
        </w:rPr>
        <w:t>鉴于此，建议在业务流程中增加提示监管人员，如果净资产、财务报告审计意见等指标出现以下异常情形的，公司年报披露申请强制变更为事前审查：</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3"/>
        <w:gridCol w:w="2856"/>
        <w:gridCol w:w="2833"/>
      </w:tblGrid>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center"/>
              <w:rPr>
                <w:rFonts w:ascii="宋体" w:hAnsi="宋体" w:cs="宋体"/>
                <w:b/>
                <w:kern w:val="0"/>
                <w:sz w:val="24"/>
                <w:szCs w:val="21"/>
              </w:rPr>
            </w:pPr>
            <w:r>
              <w:rPr>
                <w:rFonts w:ascii="宋体" w:hAnsi="宋体" w:cs="宋体" w:hint="eastAsia"/>
                <w:b/>
                <w:kern w:val="0"/>
                <w:sz w:val="24"/>
                <w:szCs w:val="21"/>
              </w:rPr>
              <w:t>指标</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center"/>
              <w:rPr>
                <w:rFonts w:ascii="宋体" w:hAnsi="宋体" w:cs="宋体"/>
                <w:kern w:val="0"/>
                <w:sz w:val="24"/>
              </w:rPr>
            </w:pPr>
            <w:r>
              <w:rPr>
                <w:rFonts w:ascii="宋体" w:hAnsi="宋体" w:cs="宋体" w:hint="eastAsia"/>
                <w:b/>
                <w:kern w:val="0"/>
                <w:sz w:val="24"/>
                <w:szCs w:val="21"/>
              </w:rPr>
              <w:t>主板</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kern w:val="0"/>
                <w:sz w:val="20"/>
              </w:rPr>
            </w:pPr>
          </w:p>
        </w:tc>
      </w:tr>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净利润</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rPr>
            </w:pPr>
            <w:r>
              <w:rPr>
                <w:rFonts w:ascii="宋体" w:hAnsi="宋体" w:cs="宋体" w:hint="eastAsia"/>
                <w:kern w:val="0"/>
                <w:sz w:val="24"/>
                <w:szCs w:val="21"/>
              </w:rPr>
              <w:t>连续两年为负数</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kern w:val="0"/>
                <w:sz w:val="20"/>
              </w:rPr>
            </w:pPr>
          </w:p>
        </w:tc>
      </w:tr>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净资产</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rPr>
            </w:pPr>
            <w:r>
              <w:rPr>
                <w:rFonts w:ascii="宋体" w:hAnsi="宋体" w:cs="宋体" w:hint="eastAsia"/>
                <w:kern w:val="0"/>
                <w:sz w:val="24"/>
                <w:szCs w:val="21"/>
              </w:rPr>
              <w:t>当年为负数</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rPr>
              <w:t> </w:t>
            </w:r>
          </w:p>
        </w:tc>
      </w:tr>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财务报告审计意见</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未经审计、保留意见、无法表示意见、否定意见、带强调事项的无保留意见、带其他事项的无保留意见</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rPr>
              <w:t> </w:t>
            </w:r>
          </w:p>
        </w:tc>
      </w:tr>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营业收入</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低于一千万元</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kern w:val="0"/>
                <w:sz w:val="20"/>
              </w:rPr>
            </w:pPr>
          </w:p>
        </w:tc>
      </w:tr>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是否存在关联方非经营性占用上市公司资金的情形</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是</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kern w:val="0"/>
                <w:sz w:val="20"/>
              </w:rPr>
            </w:pPr>
          </w:p>
        </w:tc>
      </w:tr>
      <w:tr w:rsidR="00E65325" w:rsidTr="00A663B2">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是否存在违规对外担保情形</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rFonts w:ascii="宋体" w:hAnsi="宋体" w:cs="宋体"/>
                <w:kern w:val="0"/>
                <w:sz w:val="24"/>
                <w:szCs w:val="21"/>
              </w:rPr>
            </w:pPr>
            <w:r>
              <w:rPr>
                <w:rFonts w:ascii="宋体" w:hAnsi="宋体" w:cs="宋体" w:hint="eastAsia"/>
                <w:kern w:val="0"/>
                <w:sz w:val="24"/>
                <w:szCs w:val="21"/>
              </w:rPr>
              <w:t>是</w:t>
            </w:r>
          </w:p>
        </w:tc>
        <w:tc>
          <w:tcPr>
            <w:tcW w:w="3081" w:type="dxa"/>
            <w:tcBorders>
              <w:top w:val="single" w:sz="4" w:space="0" w:color="auto"/>
              <w:left w:val="single" w:sz="4" w:space="0" w:color="auto"/>
              <w:bottom w:val="single" w:sz="4" w:space="0" w:color="auto"/>
              <w:right w:val="single" w:sz="4" w:space="0" w:color="auto"/>
            </w:tcBorders>
            <w:hideMark/>
          </w:tcPr>
          <w:p w:rsidR="00E65325" w:rsidRDefault="00E65325" w:rsidP="00A663B2">
            <w:pPr>
              <w:widowControl/>
              <w:jc w:val="left"/>
              <w:rPr>
                <w:kern w:val="0"/>
                <w:sz w:val="20"/>
              </w:rPr>
            </w:pPr>
          </w:p>
        </w:tc>
      </w:tr>
    </w:tbl>
    <w:p w:rsidR="00E65325" w:rsidRDefault="00E65325" w:rsidP="00E65325">
      <w:pPr>
        <w:widowControl/>
        <w:jc w:val="left"/>
        <w:rPr>
          <w:rFonts w:ascii="宋体" w:hAnsi="宋体" w:cs="宋体"/>
          <w:kern w:val="0"/>
          <w:sz w:val="24"/>
        </w:rPr>
      </w:pPr>
      <w:r>
        <w:rPr>
          <w:rFonts w:ascii="宋体" w:hAnsi="宋体" w:cs="宋体" w:hint="eastAsia"/>
          <w:kern w:val="0"/>
          <w:sz w:val="24"/>
        </w:rPr>
        <w:t> </w:t>
      </w:r>
    </w:p>
    <w:p w:rsidR="00E65325" w:rsidRDefault="00E65325" w:rsidP="00E65325">
      <w:pPr>
        <w:spacing w:line="360" w:lineRule="auto"/>
        <w:ind w:firstLineChars="225" w:firstLine="542"/>
        <w:rPr>
          <w:b/>
          <w:sz w:val="24"/>
        </w:rPr>
      </w:pPr>
      <w:r>
        <w:rPr>
          <w:rFonts w:hint="eastAsia"/>
          <w:b/>
          <w:sz w:val="24"/>
        </w:rPr>
        <w:t>年度报告补充、更正的情形</w:t>
      </w:r>
    </w:p>
    <w:p w:rsidR="00E65325" w:rsidRDefault="00E65325" w:rsidP="00E65325">
      <w:pPr>
        <w:spacing w:line="360" w:lineRule="auto"/>
        <w:ind w:firstLineChars="225" w:firstLine="540"/>
        <w:rPr>
          <w:sz w:val="24"/>
        </w:rPr>
      </w:pPr>
      <w:r>
        <w:rPr>
          <w:rFonts w:hint="eastAsia"/>
          <w:sz w:val="24"/>
        </w:rPr>
        <w:t>年度报告直通披露后，</w:t>
      </w:r>
      <w:r>
        <w:rPr>
          <w:sz w:val="24"/>
        </w:rPr>
        <w:t>RD</w:t>
      </w:r>
      <w:r>
        <w:rPr>
          <w:rFonts w:hint="eastAsia"/>
          <w:sz w:val="24"/>
        </w:rPr>
        <w:t>数据审核变为事后审核定期报告报送系统具备自动校验功能，提示年度报告存在的问题及校验不通过的风险。</w:t>
      </w:r>
    </w:p>
    <w:p w:rsidR="00E65325" w:rsidRDefault="00E65325" w:rsidP="00E65325">
      <w:pPr>
        <w:spacing w:line="360" w:lineRule="auto"/>
        <w:ind w:firstLineChars="225" w:firstLine="540"/>
        <w:rPr>
          <w:sz w:val="24"/>
        </w:rPr>
      </w:pPr>
      <w:r>
        <w:rPr>
          <w:rFonts w:hint="eastAsia"/>
          <w:sz w:val="24"/>
        </w:rPr>
        <w:t>报送支持人员（致远速联）在年报报送当日完成</w:t>
      </w:r>
      <w:r>
        <w:rPr>
          <w:sz w:val="24"/>
        </w:rPr>
        <w:t>RD</w:t>
      </w:r>
      <w:r>
        <w:rPr>
          <w:rFonts w:hint="eastAsia"/>
          <w:sz w:val="24"/>
        </w:rPr>
        <w:t>数据的事后审核，并将审核结果发给相应监管人员。监管人员在事后审核中重点关注年度报告存在重大遗漏的，并督促公司及时补充、更正，必要时对公司股票及其衍生品种采取停牌措施。</w:t>
      </w:r>
    </w:p>
    <w:p w:rsidR="00E65325" w:rsidRDefault="00E65325" w:rsidP="00E65325">
      <w:pPr>
        <w:spacing w:line="360" w:lineRule="auto"/>
        <w:ind w:firstLineChars="225" w:firstLine="542"/>
        <w:rPr>
          <w:b/>
          <w:sz w:val="24"/>
        </w:rPr>
      </w:pPr>
      <w:r>
        <w:rPr>
          <w:rFonts w:hint="eastAsia"/>
          <w:b/>
          <w:sz w:val="24"/>
        </w:rPr>
        <w:t>每股收益数据的传送时间</w:t>
      </w:r>
    </w:p>
    <w:p w:rsidR="00E65325" w:rsidRDefault="00E65325" w:rsidP="00E65325">
      <w:pPr>
        <w:spacing w:line="360" w:lineRule="auto"/>
        <w:ind w:firstLineChars="225" w:firstLine="540"/>
        <w:rPr>
          <w:sz w:val="24"/>
        </w:rPr>
      </w:pPr>
      <w:r>
        <w:rPr>
          <w:rFonts w:hint="eastAsia"/>
          <w:sz w:val="24"/>
        </w:rPr>
        <w:t>年度报告中新产生的每股收益数据必须日结完成前传送给系统运行部，故年度报告披露期间日结只能待直通披露截止或当天年报披露完成。</w:t>
      </w:r>
    </w:p>
    <w:p w:rsidR="00E65325" w:rsidRDefault="00E65325" w:rsidP="00E65325">
      <w:pPr>
        <w:spacing w:line="360" w:lineRule="auto"/>
        <w:ind w:firstLineChars="225" w:firstLine="540"/>
        <w:rPr>
          <w:sz w:val="24"/>
        </w:rPr>
      </w:pPr>
      <w:r>
        <w:rPr>
          <w:rFonts w:hint="eastAsia"/>
          <w:sz w:val="24"/>
        </w:rPr>
        <w:t>如果上市公司年度报告晚于</w:t>
      </w:r>
      <w:r>
        <w:rPr>
          <w:sz w:val="24"/>
        </w:rPr>
        <w:t>8</w:t>
      </w:r>
      <w:r>
        <w:rPr>
          <w:rFonts w:hint="eastAsia"/>
          <w:sz w:val="24"/>
        </w:rPr>
        <w:t>：</w:t>
      </w:r>
      <w:r>
        <w:rPr>
          <w:sz w:val="24"/>
        </w:rPr>
        <w:t>30PM</w:t>
      </w:r>
      <w:r>
        <w:rPr>
          <w:rFonts w:hint="eastAsia"/>
          <w:sz w:val="24"/>
        </w:rPr>
        <w:t>上传到本所披露业务技术平台，导致该年度报告无法直通披露的，综合组应通知监管人员，由监管人员判断是否更改该年度报告的披露时间。</w:t>
      </w:r>
    </w:p>
    <w:p w:rsidR="00E65325" w:rsidRDefault="00E65325" w:rsidP="00E65325">
      <w:pPr>
        <w:spacing w:line="360" w:lineRule="auto"/>
        <w:ind w:firstLineChars="225" w:firstLine="540"/>
        <w:rPr>
          <w:sz w:val="24"/>
        </w:rPr>
      </w:pPr>
      <w:r>
        <w:rPr>
          <w:rFonts w:hint="eastAsia"/>
          <w:sz w:val="24"/>
        </w:rPr>
        <w:t>对于延迟披露年度报告的，监管人员应考虑次日对公司股票及其衍生品种采取停牌措施。</w:t>
      </w:r>
    </w:p>
    <w:p w:rsidR="00E65325" w:rsidRDefault="00E65325" w:rsidP="00E65325">
      <w:pPr>
        <w:spacing w:line="360" w:lineRule="auto"/>
        <w:ind w:firstLineChars="225" w:firstLine="542"/>
        <w:rPr>
          <w:b/>
          <w:sz w:val="24"/>
        </w:rPr>
      </w:pPr>
      <w:r>
        <w:rPr>
          <w:rFonts w:hint="eastAsia"/>
          <w:b/>
          <w:sz w:val="24"/>
        </w:rPr>
        <w:lastRenderedPageBreak/>
        <w:t>每股收益披露错误</w:t>
      </w:r>
    </w:p>
    <w:p w:rsidR="00E65325" w:rsidRDefault="00E65325" w:rsidP="00E65325">
      <w:pPr>
        <w:spacing w:line="360" w:lineRule="auto"/>
        <w:ind w:firstLineChars="225" w:firstLine="540"/>
        <w:rPr>
          <w:sz w:val="24"/>
        </w:rPr>
      </w:pPr>
      <w:r>
        <w:rPr>
          <w:rFonts w:hint="eastAsia"/>
          <w:sz w:val="24"/>
        </w:rPr>
        <w:t>年报编制系统与年报后续业务处理将以上市公司的年度净利润</w:t>
      </w:r>
      <w:r>
        <w:rPr>
          <w:sz w:val="24"/>
        </w:rPr>
        <w:t>/</w:t>
      </w:r>
      <w:r>
        <w:rPr>
          <w:rFonts w:hint="eastAsia"/>
          <w:sz w:val="24"/>
        </w:rPr>
        <w:t>上市公司最新总股本（预估数）计算摊薄每股收益与上市公司拟披露的每股收益做比对，如果差异超过一定的范围，系统将提醒公司确认是否按照相关规则计算，并生成待办事项提醒监管员及时核实。监管人员在事后审核过程如发现每股收益披露错误，应督促公司及时更正。</w:t>
      </w:r>
    </w:p>
    <w:p w:rsidR="00E65325" w:rsidRDefault="00E65325" w:rsidP="00E65325">
      <w:pPr>
        <w:spacing w:line="360" w:lineRule="auto"/>
        <w:ind w:firstLineChars="225" w:firstLine="542"/>
        <w:rPr>
          <w:b/>
          <w:sz w:val="24"/>
        </w:rPr>
      </w:pPr>
      <w:r>
        <w:rPr>
          <w:rFonts w:hint="eastAsia"/>
          <w:b/>
          <w:sz w:val="24"/>
        </w:rPr>
        <w:t>上市公司未按照预约时间披露年度报告</w:t>
      </w:r>
    </w:p>
    <w:p w:rsidR="00E65325" w:rsidRDefault="00E65325" w:rsidP="00E65325">
      <w:pPr>
        <w:spacing w:line="360" w:lineRule="auto"/>
        <w:ind w:firstLineChars="225" w:firstLine="540"/>
        <w:rPr>
          <w:sz w:val="24"/>
        </w:rPr>
      </w:pPr>
      <w:r>
        <w:rPr>
          <w:rFonts w:hint="eastAsia"/>
          <w:sz w:val="24"/>
        </w:rPr>
        <w:t>（</w:t>
      </w:r>
      <w:r>
        <w:rPr>
          <w:sz w:val="24"/>
        </w:rPr>
        <w:t>1</w:t>
      </w:r>
      <w:r>
        <w:rPr>
          <w:rFonts w:hint="eastAsia"/>
          <w:sz w:val="24"/>
        </w:rPr>
        <w:t>）上市公司在预约时间之前披露年度报告，要求公司与监管人员事前沟通，并通过业务系统修改预约时间。</w:t>
      </w:r>
    </w:p>
    <w:p w:rsidR="00E65325" w:rsidRDefault="00E65325" w:rsidP="00E65325">
      <w:pPr>
        <w:spacing w:line="360" w:lineRule="auto"/>
        <w:ind w:firstLineChars="225" w:firstLine="540"/>
        <w:rPr>
          <w:sz w:val="24"/>
        </w:rPr>
      </w:pPr>
      <w:r>
        <w:rPr>
          <w:rFonts w:hint="eastAsia"/>
          <w:sz w:val="24"/>
        </w:rPr>
        <w:t>（</w:t>
      </w:r>
      <w:r>
        <w:rPr>
          <w:sz w:val="24"/>
        </w:rPr>
        <w:t>2</w:t>
      </w:r>
      <w:r>
        <w:rPr>
          <w:rFonts w:hint="eastAsia"/>
          <w:sz w:val="24"/>
        </w:rPr>
        <w:t>）在年度报告披露期间，综合组需待当天预约披露的年度报告披露结束后方能进行日结。</w:t>
      </w:r>
      <w:r>
        <w:rPr>
          <w:rFonts w:hint="eastAsia"/>
          <w:b/>
          <w:sz w:val="24"/>
        </w:rPr>
        <w:t>系统日结后，上市公司将无法提交年度报告。</w:t>
      </w:r>
    </w:p>
    <w:p w:rsidR="00E65325" w:rsidRDefault="00E65325" w:rsidP="00E65325">
      <w:pPr>
        <w:spacing w:line="360" w:lineRule="auto"/>
        <w:ind w:firstLineChars="225" w:firstLine="540"/>
        <w:rPr>
          <w:sz w:val="24"/>
        </w:rPr>
      </w:pPr>
      <w:r>
        <w:rPr>
          <w:rFonts w:hint="eastAsia"/>
          <w:sz w:val="24"/>
        </w:rPr>
        <w:t>（</w:t>
      </w:r>
      <w:r>
        <w:rPr>
          <w:sz w:val="24"/>
        </w:rPr>
        <w:t>3</w:t>
      </w:r>
      <w:r>
        <w:rPr>
          <w:rFonts w:hint="eastAsia"/>
          <w:sz w:val="24"/>
        </w:rPr>
        <w:t>）对于上市公司截止预约时间仍未披露年度报告的，系统将自动生成待办，提醒监管人员及时采取临时停牌的措施。</w:t>
      </w:r>
    </w:p>
    <w:p w:rsidR="00E65325" w:rsidRDefault="00E65325" w:rsidP="00E65325">
      <w:pPr>
        <w:pStyle w:val="a3"/>
        <w:numPr>
          <w:ilvl w:val="0"/>
          <w:numId w:val="3"/>
        </w:numPr>
        <w:spacing w:line="360" w:lineRule="auto"/>
        <w:ind w:firstLineChars="0"/>
        <w:rPr>
          <w:sz w:val="24"/>
        </w:rPr>
      </w:pPr>
      <w:r>
        <w:rPr>
          <w:rFonts w:hint="eastAsia"/>
          <w:sz w:val="24"/>
        </w:rPr>
        <w:t>处于停牌期间的上市公司提交信息披露申请</w:t>
      </w:r>
    </w:p>
    <w:p w:rsidR="00E65325" w:rsidRDefault="00E65325" w:rsidP="00E65325">
      <w:pPr>
        <w:spacing w:line="360" w:lineRule="auto"/>
        <w:ind w:firstLineChars="225" w:firstLine="540"/>
        <w:rPr>
          <w:sz w:val="24"/>
        </w:rPr>
      </w:pPr>
      <w:r>
        <w:rPr>
          <w:rFonts w:hint="eastAsia"/>
          <w:sz w:val="24"/>
        </w:rPr>
        <w:t>若提出复牌申请或停牌申请，系统将自动将直通状态变更为事前审查。但是监管人员需要对停牌期间的上市公司的信息披露保持关注。</w:t>
      </w:r>
    </w:p>
    <w:p w:rsidR="00E65325" w:rsidRDefault="00E65325" w:rsidP="00E65325">
      <w:pPr>
        <w:spacing w:line="360" w:lineRule="auto"/>
        <w:ind w:firstLineChars="225" w:firstLine="540"/>
        <w:rPr>
          <w:sz w:val="24"/>
        </w:rPr>
      </w:pPr>
      <w:r>
        <w:rPr>
          <w:rFonts w:hint="eastAsia"/>
          <w:sz w:val="24"/>
        </w:rPr>
        <w:t>如果公告内容中有涉及停复牌状态变更的表述，如因公司原因导致股票应复牌而未能复牌，公司股票将继续停牌，待公司按照规定向本所提交申请，并披露相关公告后复牌。公司需要同时向投资者公开致歉。本所对于上述情形，将采取相应的监管措施。</w:t>
      </w:r>
    </w:p>
    <w:p w:rsidR="00E65325" w:rsidRDefault="00E65325" w:rsidP="00E65325">
      <w:pPr>
        <w:spacing w:line="360" w:lineRule="auto"/>
        <w:ind w:firstLineChars="225" w:firstLine="540"/>
        <w:rPr>
          <w:sz w:val="24"/>
        </w:rPr>
      </w:pPr>
      <w:r>
        <w:rPr>
          <w:rFonts w:hint="eastAsia"/>
          <w:sz w:val="24"/>
        </w:rPr>
        <w:t>如停牌期限届满时，公司未能复牌的，须向交易所申请且经交易所同意后，方能延期复牌。</w:t>
      </w:r>
    </w:p>
    <w:p w:rsidR="00E65325" w:rsidRDefault="00E65325" w:rsidP="00E65325">
      <w:pPr>
        <w:pStyle w:val="a3"/>
        <w:numPr>
          <w:ilvl w:val="0"/>
          <w:numId w:val="3"/>
        </w:numPr>
        <w:spacing w:line="360" w:lineRule="auto"/>
        <w:ind w:firstLineChars="0"/>
        <w:rPr>
          <w:sz w:val="24"/>
        </w:rPr>
      </w:pPr>
      <w:r>
        <w:rPr>
          <w:rFonts w:hint="eastAsia"/>
          <w:sz w:val="24"/>
        </w:rPr>
        <w:t>未能在股东大会召开日提交的股东大会决议公告</w:t>
      </w:r>
    </w:p>
    <w:p w:rsidR="00E65325" w:rsidRDefault="00E65325" w:rsidP="00E65325">
      <w:pPr>
        <w:spacing w:line="360" w:lineRule="auto"/>
        <w:ind w:firstLineChars="225" w:firstLine="540"/>
        <w:rPr>
          <w:sz w:val="24"/>
        </w:rPr>
      </w:pPr>
      <w:r>
        <w:rPr>
          <w:rFonts w:hint="eastAsia"/>
          <w:sz w:val="24"/>
        </w:rPr>
        <w:t>股东大会决议公告属于直通披露的范围，如果上市公司未能在股东大会召开日的直通披露截止时间之前提交股东大会决议公告，业务系统会发短信提醒综合组人员及分管监管人员。</w:t>
      </w:r>
    </w:p>
    <w:p w:rsidR="00E65325" w:rsidRDefault="00E65325" w:rsidP="00E65325">
      <w:pPr>
        <w:spacing w:line="360" w:lineRule="auto"/>
        <w:ind w:firstLineChars="225" w:firstLine="540"/>
        <w:rPr>
          <w:sz w:val="24"/>
        </w:rPr>
      </w:pPr>
      <w:r>
        <w:rPr>
          <w:rFonts w:hint="eastAsia"/>
          <w:sz w:val="24"/>
        </w:rPr>
        <w:t>监管人员次一工作日早开市之前（</w:t>
      </w:r>
      <w:r>
        <w:rPr>
          <w:sz w:val="24"/>
        </w:rPr>
        <w:t>9</w:t>
      </w:r>
      <w:r>
        <w:rPr>
          <w:rFonts w:hint="eastAsia"/>
          <w:sz w:val="24"/>
        </w:rPr>
        <w:t>：</w:t>
      </w:r>
      <w:r>
        <w:rPr>
          <w:sz w:val="24"/>
        </w:rPr>
        <w:t>30AM</w:t>
      </w:r>
      <w:r>
        <w:rPr>
          <w:rFonts w:hint="eastAsia"/>
          <w:sz w:val="24"/>
        </w:rPr>
        <w:t>之前）决定该上市公司是否作临时停牌。</w:t>
      </w:r>
    </w:p>
    <w:p w:rsidR="00E65325" w:rsidRDefault="00E65325" w:rsidP="00E65325">
      <w:pPr>
        <w:pStyle w:val="a3"/>
        <w:numPr>
          <w:ilvl w:val="0"/>
          <w:numId w:val="3"/>
        </w:numPr>
        <w:spacing w:line="360" w:lineRule="auto"/>
        <w:ind w:left="539" w:firstLineChars="0" w:firstLine="284"/>
        <w:rPr>
          <w:sz w:val="24"/>
        </w:rPr>
      </w:pPr>
      <w:r>
        <w:rPr>
          <w:rFonts w:hint="eastAsia"/>
          <w:sz w:val="24"/>
        </w:rPr>
        <w:t>关注上市公司直通披露的信息在报刊登载的内容与在网站披露的内</w:t>
      </w:r>
      <w:r>
        <w:rPr>
          <w:rFonts w:hint="eastAsia"/>
          <w:sz w:val="24"/>
        </w:rPr>
        <w:lastRenderedPageBreak/>
        <w:t>容不一致的情形。</w:t>
      </w:r>
    </w:p>
    <w:p w:rsidR="00E65325" w:rsidRDefault="00E65325" w:rsidP="00E65325">
      <w:pPr>
        <w:pStyle w:val="a3"/>
        <w:numPr>
          <w:ilvl w:val="0"/>
          <w:numId w:val="3"/>
        </w:numPr>
        <w:spacing w:line="360" w:lineRule="auto"/>
        <w:ind w:left="539" w:firstLineChars="0" w:firstLine="357"/>
        <w:rPr>
          <w:sz w:val="24"/>
        </w:rPr>
      </w:pPr>
      <w:r>
        <w:rPr>
          <w:rFonts w:hint="eastAsia"/>
          <w:sz w:val="24"/>
        </w:rPr>
        <w:t>关注上市公司完成的业务参数录入与在报刊登载的内容或者在网站披露的内容不一致的情形。</w:t>
      </w:r>
    </w:p>
    <w:p w:rsidR="00E65325" w:rsidRDefault="00E65325" w:rsidP="00E65325">
      <w:pPr>
        <w:pStyle w:val="a3"/>
        <w:numPr>
          <w:ilvl w:val="0"/>
          <w:numId w:val="3"/>
        </w:numPr>
        <w:spacing w:line="360" w:lineRule="auto"/>
        <w:ind w:left="539" w:firstLineChars="0" w:firstLine="357"/>
        <w:rPr>
          <w:rFonts w:ascii="宋体" w:hAnsi="宋体" w:cs="宋体"/>
          <w:kern w:val="0"/>
          <w:sz w:val="24"/>
        </w:rPr>
      </w:pPr>
      <w:r>
        <w:rPr>
          <w:rFonts w:hint="eastAsia"/>
          <w:sz w:val="24"/>
        </w:rPr>
        <w:t>因上市公司的原因出现该公司股票或衍生证券应复牌而未复牌的情形，上市公司应向投资者致歉，本所将采取相应的监管措施。</w:t>
      </w:r>
    </w:p>
    <w:p w:rsidR="00E65325" w:rsidRDefault="00E65325" w:rsidP="00E65325">
      <w:pPr>
        <w:spacing w:line="360" w:lineRule="auto"/>
        <w:ind w:firstLineChars="225" w:firstLine="540"/>
        <w:rPr>
          <w:sz w:val="24"/>
        </w:rPr>
      </w:pPr>
      <w:r>
        <w:rPr>
          <w:rFonts w:hint="eastAsia"/>
          <w:sz w:val="24"/>
        </w:rPr>
        <w:t>在业务系统的临时停牌类型中选择</w:t>
      </w:r>
      <w:r>
        <w:rPr>
          <w:sz w:val="24"/>
        </w:rPr>
        <w:t>“</w:t>
      </w:r>
      <w:r>
        <w:rPr>
          <w:rFonts w:hint="eastAsia"/>
          <w:sz w:val="24"/>
        </w:rPr>
        <w:t>（开市前停牌）公司股票应复牌未复牌</w:t>
      </w:r>
      <w:r>
        <w:rPr>
          <w:sz w:val="24"/>
        </w:rPr>
        <w:t>”</w:t>
      </w:r>
      <w:r>
        <w:rPr>
          <w:rFonts w:hint="eastAsia"/>
          <w:sz w:val="24"/>
        </w:rPr>
        <w:t>的情形</w:t>
      </w:r>
      <w:r>
        <w:rPr>
          <w:rFonts w:hint="eastAsia"/>
          <w:color w:val="808080" w:themeColor="background1" w:themeShade="80"/>
          <w:sz w:val="24"/>
        </w:rPr>
        <w:t>（系统实现中）</w:t>
      </w:r>
      <w:r>
        <w:rPr>
          <w:rFonts w:hint="eastAsia"/>
          <w:sz w:val="24"/>
        </w:rPr>
        <w:t>，以下是与此停牌操作对应的本所公告模版：</w:t>
      </w:r>
    </w:p>
    <w:p w:rsidR="00E65325" w:rsidRDefault="00E65325" w:rsidP="00E65325">
      <w:pPr>
        <w:spacing w:line="360" w:lineRule="auto"/>
        <w:ind w:firstLineChars="225" w:firstLine="540"/>
        <w:rPr>
          <w:color w:val="FF0000"/>
          <w:sz w:val="24"/>
        </w:rPr>
      </w:pPr>
      <w:r>
        <w:rPr>
          <w:color w:val="FF0000"/>
          <w:sz w:val="24"/>
        </w:rPr>
        <w:t> XXX</w:t>
      </w:r>
      <w:r>
        <w:rPr>
          <w:rFonts w:hint="eastAsia"/>
          <w:color w:val="FF0000"/>
          <w:sz w:val="24"/>
        </w:rPr>
        <w:t>公司因未及时向本所申请，导致公司股票未能按时复牌。根据本所《股票上市规则》等有关规定，经公司申请，公司股票（证券简称：</w:t>
      </w:r>
      <w:r>
        <w:rPr>
          <w:color w:val="FF0000"/>
          <w:sz w:val="24"/>
        </w:rPr>
        <w:t>XXXX</w:t>
      </w:r>
      <w:r>
        <w:rPr>
          <w:rFonts w:hint="eastAsia"/>
          <w:color w:val="FF0000"/>
          <w:sz w:val="24"/>
        </w:rPr>
        <w:t>，证券代码：</w:t>
      </w:r>
      <w:r>
        <w:rPr>
          <w:color w:val="FF0000"/>
          <w:sz w:val="24"/>
        </w:rPr>
        <w:t>XXXXXX</w:t>
      </w:r>
      <w:r>
        <w:rPr>
          <w:rFonts w:hint="eastAsia"/>
          <w:color w:val="FF0000"/>
          <w:sz w:val="24"/>
        </w:rPr>
        <w:t>）于</w:t>
      </w:r>
      <w:r>
        <w:rPr>
          <w:color w:val="FF0000"/>
          <w:sz w:val="24"/>
        </w:rPr>
        <w:t>XXXX</w:t>
      </w:r>
      <w:r>
        <w:rPr>
          <w:rFonts w:hint="eastAsia"/>
          <w:color w:val="FF0000"/>
          <w:sz w:val="24"/>
        </w:rPr>
        <w:t>年</w:t>
      </w:r>
      <w:r>
        <w:rPr>
          <w:color w:val="FF0000"/>
          <w:sz w:val="24"/>
        </w:rPr>
        <w:t>X</w:t>
      </w:r>
      <w:r>
        <w:rPr>
          <w:rFonts w:hint="eastAsia"/>
          <w:color w:val="FF0000"/>
          <w:sz w:val="24"/>
        </w:rPr>
        <w:t>月</w:t>
      </w:r>
      <w:r>
        <w:rPr>
          <w:color w:val="FF0000"/>
          <w:sz w:val="24"/>
        </w:rPr>
        <w:t>XX</w:t>
      </w:r>
      <w:r>
        <w:rPr>
          <w:rFonts w:hint="eastAsia"/>
          <w:color w:val="FF0000"/>
          <w:sz w:val="24"/>
        </w:rPr>
        <w:t>日开市起继续停牌，待公司按照规定向本所提交申请并披露相关公告后复牌，敬请投资者密切关注。</w:t>
      </w:r>
    </w:p>
    <w:p w:rsidR="00E65325" w:rsidRDefault="00E65325" w:rsidP="00E65325">
      <w:pPr>
        <w:spacing w:line="360" w:lineRule="auto"/>
        <w:ind w:firstLineChars="225" w:firstLine="540"/>
        <w:rPr>
          <w:sz w:val="24"/>
        </w:rPr>
      </w:pPr>
      <w:r>
        <w:rPr>
          <w:sz w:val="24"/>
        </w:rPr>
        <w:t> </w:t>
      </w:r>
    </w:p>
    <w:p w:rsidR="00E65325" w:rsidRDefault="00E65325" w:rsidP="00E65325">
      <w:pPr>
        <w:widowControl/>
        <w:jc w:val="left"/>
        <w:rPr>
          <w:sz w:val="24"/>
        </w:rPr>
      </w:pPr>
      <w:r>
        <w:rPr>
          <w:sz w:val="24"/>
        </w:rPr>
        <w:br w:type="page"/>
      </w:r>
    </w:p>
    <w:p w:rsidR="00E65325" w:rsidRDefault="00E65325" w:rsidP="00E65325">
      <w:pPr>
        <w:spacing w:line="520" w:lineRule="exact"/>
        <w:ind w:firstLineChars="150" w:firstLine="361"/>
        <w:jc w:val="left"/>
        <w:rPr>
          <w:rFonts w:asciiTheme="minorEastAsia" w:hAnsiTheme="minorEastAsia"/>
          <w:b/>
          <w:sz w:val="24"/>
        </w:rPr>
      </w:pPr>
      <w:r>
        <w:rPr>
          <w:rFonts w:asciiTheme="minorEastAsia" w:hAnsiTheme="minorEastAsia" w:hint="eastAsia"/>
          <w:b/>
          <w:sz w:val="24"/>
        </w:rPr>
        <w:lastRenderedPageBreak/>
        <w:t>附表一：</w:t>
      </w:r>
    </w:p>
    <w:p w:rsidR="00E65325" w:rsidRDefault="00E65325" w:rsidP="00E65325">
      <w:pPr>
        <w:spacing w:line="360" w:lineRule="auto"/>
        <w:jc w:val="center"/>
        <w:rPr>
          <w:rFonts w:asciiTheme="minorEastAsia" w:hAnsiTheme="minorEastAsia"/>
          <w:b/>
          <w:sz w:val="32"/>
          <w:szCs w:val="32"/>
        </w:rPr>
      </w:pPr>
      <w:r>
        <w:rPr>
          <w:rFonts w:asciiTheme="minorEastAsia" w:hAnsiTheme="minorEastAsia" w:hint="eastAsia"/>
          <w:b/>
          <w:sz w:val="32"/>
          <w:szCs w:val="32"/>
        </w:rPr>
        <w:t>年度报告、半年度报告直通状态调整通知表</w:t>
      </w:r>
    </w:p>
    <w:p w:rsidR="00E65325" w:rsidRDefault="00E65325" w:rsidP="00E65325">
      <w:pPr>
        <w:spacing w:line="360" w:lineRule="auto"/>
        <w:jc w:val="center"/>
        <w:rPr>
          <w:rFonts w:asciiTheme="minorEastAsia" w:hAnsiTheme="minorEastAsia"/>
          <w:sz w:val="28"/>
          <w:szCs w:val="28"/>
        </w:rPr>
      </w:pPr>
    </w:p>
    <w:tbl>
      <w:tblPr>
        <w:tblW w:w="86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2112"/>
        <w:gridCol w:w="2141"/>
        <w:gridCol w:w="2112"/>
      </w:tblGrid>
      <w:tr w:rsidR="00E65325" w:rsidTr="00A663B2">
        <w:trPr>
          <w:trHeight w:val="558"/>
        </w:trPr>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证券简称</w:t>
            </w:r>
          </w:p>
        </w:tc>
        <w:tc>
          <w:tcPr>
            <w:tcW w:w="2112"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c>
          <w:tcPr>
            <w:tcW w:w="2141"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证券代码</w:t>
            </w:r>
          </w:p>
        </w:tc>
        <w:tc>
          <w:tcPr>
            <w:tcW w:w="2112"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vAlign w:val="center"/>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调整类别</w:t>
            </w:r>
          </w:p>
        </w:tc>
        <w:tc>
          <w:tcPr>
            <w:tcW w:w="6365" w:type="dxa"/>
            <w:gridSpan w:val="3"/>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ind w:firstLineChars="350" w:firstLine="980"/>
              <w:rPr>
                <w:rFonts w:asciiTheme="minorEastAsia" w:hAnsiTheme="minorEastAsia"/>
                <w:sz w:val="28"/>
                <w:szCs w:val="28"/>
              </w:rPr>
            </w:pPr>
            <w:r>
              <w:rPr>
                <w:rFonts w:asciiTheme="minorEastAsia" w:hAnsiTheme="minorEastAsia" w:hint="eastAsia"/>
                <w:sz w:val="28"/>
                <w:szCs w:val="28"/>
              </w:rPr>
              <w:t>□年度报告非直通</w:t>
            </w:r>
          </w:p>
          <w:p w:rsidR="00E65325" w:rsidRDefault="00E65325" w:rsidP="00A663B2">
            <w:pPr>
              <w:spacing w:beforeLines="50" w:before="156" w:afterLines="50" w:after="156" w:line="360" w:lineRule="auto"/>
              <w:ind w:firstLineChars="350" w:firstLine="980"/>
              <w:rPr>
                <w:rFonts w:asciiTheme="minorEastAsia" w:hAnsiTheme="minorEastAsia"/>
                <w:noProof/>
                <w:sz w:val="28"/>
                <w:szCs w:val="28"/>
              </w:rPr>
            </w:pPr>
            <w:r>
              <w:rPr>
                <w:rFonts w:asciiTheme="minorEastAsia" w:hAnsiTheme="minorEastAsia" w:hint="eastAsia"/>
                <w:sz w:val="28"/>
                <w:szCs w:val="28"/>
              </w:rPr>
              <w:t>□半年度报告非直通</w:t>
            </w:r>
          </w:p>
        </w:tc>
      </w:tr>
      <w:tr w:rsidR="00E65325" w:rsidTr="00A663B2">
        <w:tc>
          <w:tcPr>
            <w:tcW w:w="2316" w:type="dxa"/>
            <w:tcBorders>
              <w:top w:val="single" w:sz="4" w:space="0" w:color="auto"/>
              <w:left w:val="single" w:sz="4" w:space="0" w:color="auto"/>
              <w:bottom w:val="single" w:sz="4" w:space="0" w:color="auto"/>
              <w:right w:val="single" w:sz="4" w:space="0" w:color="auto"/>
            </w:tcBorders>
            <w:vAlign w:val="center"/>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调整理由</w:t>
            </w:r>
          </w:p>
        </w:tc>
        <w:tc>
          <w:tcPr>
            <w:tcW w:w="6365" w:type="dxa"/>
            <w:gridSpan w:val="3"/>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调整启用时间</w:t>
            </w:r>
          </w:p>
        </w:tc>
        <w:tc>
          <w:tcPr>
            <w:tcW w:w="6365" w:type="dxa"/>
            <w:gridSpan w:val="3"/>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综合组意见</w:t>
            </w:r>
          </w:p>
        </w:tc>
        <w:tc>
          <w:tcPr>
            <w:tcW w:w="6365" w:type="dxa"/>
            <w:gridSpan w:val="3"/>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监管人员</w:t>
            </w:r>
          </w:p>
        </w:tc>
        <w:tc>
          <w:tcPr>
            <w:tcW w:w="6365" w:type="dxa"/>
            <w:gridSpan w:val="3"/>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部门副总监意见</w:t>
            </w:r>
          </w:p>
        </w:tc>
        <w:tc>
          <w:tcPr>
            <w:tcW w:w="6365" w:type="dxa"/>
            <w:gridSpan w:val="3"/>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部门总监意见</w:t>
            </w:r>
          </w:p>
        </w:tc>
        <w:tc>
          <w:tcPr>
            <w:tcW w:w="6365" w:type="dxa"/>
            <w:gridSpan w:val="3"/>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bl>
    <w:p w:rsidR="00E65325" w:rsidRDefault="00E65325" w:rsidP="00E65325">
      <w:pPr>
        <w:ind w:firstLine="570"/>
        <w:jc w:val="center"/>
        <w:rPr>
          <w:rFonts w:asciiTheme="minorEastAsia" w:hAnsiTheme="minorEastAsia"/>
          <w:b/>
          <w:sz w:val="32"/>
          <w:szCs w:val="32"/>
        </w:rPr>
      </w:pPr>
    </w:p>
    <w:p w:rsidR="00E65325" w:rsidRDefault="00E65325" w:rsidP="00E65325">
      <w:pPr>
        <w:widowControl/>
        <w:jc w:val="left"/>
        <w:rPr>
          <w:rFonts w:asciiTheme="minorEastAsia" w:hAnsiTheme="minorEastAsia"/>
          <w:b/>
          <w:sz w:val="32"/>
          <w:szCs w:val="32"/>
        </w:rPr>
      </w:pPr>
      <w:r>
        <w:rPr>
          <w:rFonts w:asciiTheme="minorEastAsia" w:hAnsiTheme="minorEastAsia" w:hint="eastAsia"/>
          <w:b/>
          <w:sz w:val="32"/>
          <w:szCs w:val="32"/>
        </w:rPr>
        <w:br w:type="page"/>
      </w:r>
    </w:p>
    <w:p w:rsidR="00E65325" w:rsidRDefault="00E65325" w:rsidP="00E65325">
      <w:pPr>
        <w:ind w:firstLine="570"/>
        <w:jc w:val="left"/>
        <w:rPr>
          <w:rFonts w:asciiTheme="minorEastAsia" w:hAnsiTheme="minorEastAsia"/>
          <w:b/>
          <w:sz w:val="24"/>
        </w:rPr>
      </w:pPr>
      <w:r>
        <w:rPr>
          <w:rFonts w:asciiTheme="minorEastAsia" w:hAnsiTheme="minorEastAsia" w:hint="eastAsia"/>
          <w:b/>
          <w:sz w:val="24"/>
        </w:rPr>
        <w:lastRenderedPageBreak/>
        <w:t>附表二：</w:t>
      </w:r>
    </w:p>
    <w:p w:rsidR="00E65325" w:rsidRDefault="00E65325" w:rsidP="00E65325">
      <w:pPr>
        <w:ind w:firstLine="570"/>
        <w:jc w:val="center"/>
        <w:rPr>
          <w:rFonts w:asciiTheme="minorEastAsia" w:hAnsiTheme="minorEastAsia"/>
          <w:b/>
          <w:sz w:val="32"/>
          <w:szCs w:val="32"/>
        </w:rPr>
      </w:pPr>
      <w:r>
        <w:rPr>
          <w:rFonts w:asciiTheme="minorEastAsia" w:hAnsiTheme="minorEastAsia" w:hint="eastAsia"/>
          <w:b/>
          <w:sz w:val="32"/>
          <w:szCs w:val="32"/>
        </w:rPr>
        <w:t>公告类别直通状态调整通知表</w:t>
      </w:r>
    </w:p>
    <w:p w:rsidR="00E65325" w:rsidRDefault="00E65325" w:rsidP="00E65325">
      <w:pPr>
        <w:ind w:firstLine="570"/>
        <w:jc w:val="center"/>
        <w:rPr>
          <w:sz w:val="32"/>
          <w:szCs w:val="32"/>
        </w:rPr>
      </w:pPr>
    </w:p>
    <w:tbl>
      <w:tblPr>
        <w:tblW w:w="86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6365"/>
      </w:tblGrid>
      <w:tr w:rsidR="00E65325" w:rsidTr="00A663B2">
        <w:trPr>
          <w:trHeight w:val="558"/>
        </w:trPr>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需调整公告类别</w:t>
            </w:r>
          </w:p>
        </w:tc>
        <w:tc>
          <w:tcPr>
            <w:tcW w:w="6365"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vAlign w:val="center"/>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调整类别</w:t>
            </w:r>
          </w:p>
        </w:tc>
        <w:tc>
          <w:tcPr>
            <w:tcW w:w="6365"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ind w:firstLineChars="350" w:firstLine="980"/>
              <w:rPr>
                <w:rFonts w:asciiTheme="minorEastAsia" w:hAnsiTheme="minorEastAsia"/>
                <w:sz w:val="28"/>
                <w:szCs w:val="28"/>
              </w:rPr>
            </w:pPr>
            <w:r>
              <w:rPr>
                <w:rFonts w:asciiTheme="minorEastAsia" w:hAnsiTheme="minorEastAsia" w:hint="eastAsia"/>
                <w:sz w:val="28"/>
                <w:szCs w:val="28"/>
              </w:rPr>
              <w:t>□直通公告变更为非直通公告</w:t>
            </w:r>
          </w:p>
          <w:p w:rsidR="00E65325" w:rsidRDefault="00E65325" w:rsidP="00A663B2">
            <w:pPr>
              <w:spacing w:beforeLines="50" w:before="156" w:afterLines="50" w:after="156" w:line="360" w:lineRule="auto"/>
              <w:ind w:firstLineChars="350" w:firstLine="980"/>
              <w:rPr>
                <w:rFonts w:asciiTheme="minorEastAsia" w:hAnsiTheme="minorEastAsia"/>
                <w:noProof/>
                <w:sz w:val="28"/>
                <w:szCs w:val="28"/>
              </w:rPr>
            </w:pPr>
            <w:r>
              <w:rPr>
                <w:rFonts w:asciiTheme="minorEastAsia" w:hAnsiTheme="minorEastAsia" w:hint="eastAsia"/>
                <w:sz w:val="28"/>
                <w:szCs w:val="28"/>
              </w:rPr>
              <w:t>□非直通公告变更为直通公告</w:t>
            </w:r>
          </w:p>
        </w:tc>
      </w:tr>
      <w:tr w:rsidR="00E65325" w:rsidTr="00A663B2">
        <w:tc>
          <w:tcPr>
            <w:tcW w:w="2316" w:type="dxa"/>
            <w:tcBorders>
              <w:top w:val="single" w:sz="4" w:space="0" w:color="auto"/>
              <w:left w:val="single" w:sz="4" w:space="0" w:color="auto"/>
              <w:bottom w:val="single" w:sz="4" w:space="0" w:color="auto"/>
              <w:right w:val="single" w:sz="4" w:space="0" w:color="auto"/>
            </w:tcBorders>
            <w:vAlign w:val="center"/>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调整理由</w:t>
            </w:r>
          </w:p>
        </w:tc>
        <w:tc>
          <w:tcPr>
            <w:tcW w:w="6365"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调整启用时间</w:t>
            </w:r>
          </w:p>
        </w:tc>
        <w:tc>
          <w:tcPr>
            <w:tcW w:w="6365"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监管人员</w:t>
            </w:r>
          </w:p>
        </w:tc>
        <w:tc>
          <w:tcPr>
            <w:tcW w:w="6365"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部门副总监意见</w:t>
            </w:r>
          </w:p>
        </w:tc>
        <w:tc>
          <w:tcPr>
            <w:tcW w:w="6365"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r w:rsidR="00E65325" w:rsidTr="00A663B2">
        <w:tc>
          <w:tcPr>
            <w:tcW w:w="2316" w:type="dxa"/>
            <w:tcBorders>
              <w:top w:val="single" w:sz="4" w:space="0" w:color="auto"/>
              <w:left w:val="single" w:sz="4" w:space="0" w:color="auto"/>
              <w:bottom w:val="single" w:sz="4" w:space="0" w:color="auto"/>
              <w:right w:val="single" w:sz="4" w:space="0" w:color="auto"/>
            </w:tcBorders>
            <w:hideMark/>
          </w:tcPr>
          <w:p w:rsidR="00E65325" w:rsidRDefault="00E65325" w:rsidP="00A663B2">
            <w:pPr>
              <w:spacing w:beforeLines="50" w:before="156" w:afterLines="50" w:after="156" w:line="360" w:lineRule="auto"/>
              <w:rPr>
                <w:rFonts w:asciiTheme="minorEastAsia" w:hAnsiTheme="minorEastAsia"/>
                <w:sz w:val="28"/>
                <w:szCs w:val="28"/>
              </w:rPr>
            </w:pPr>
            <w:r>
              <w:rPr>
                <w:rFonts w:asciiTheme="minorEastAsia" w:hAnsiTheme="minorEastAsia" w:hint="eastAsia"/>
                <w:sz w:val="28"/>
                <w:szCs w:val="28"/>
              </w:rPr>
              <w:t>部门总监意见</w:t>
            </w:r>
          </w:p>
        </w:tc>
        <w:tc>
          <w:tcPr>
            <w:tcW w:w="6365" w:type="dxa"/>
            <w:tcBorders>
              <w:top w:val="single" w:sz="4" w:space="0" w:color="auto"/>
              <w:left w:val="single" w:sz="4" w:space="0" w:color="auto"/>
              <w:bottom w:val="single" w:sz="4" w:space="0" w:color="auto"/>
              <w:right w:val="single" w:sz="4" w:space="0" w:color="auto"/>
            </w:tcBorders>
          </w:tcPr>
          <w:p w:rsidR="00E65325" w:rsidRDefault="00E65325" w:rsidP="00A663B2">
            <w:pPr>
              <w:spacing w:beforeLines="50" w:before="156" w:afterLines="50" w:after="156" w:line="360" w:lineRule="auto"/>
              <w:rPr>
                <w:rFonts w:asciiTheme="minorEastAsia" w:hAnsiTheme="minorEastAsia"/>
                <w:sz w:val="28"/>
                <w:szCs w:val="28"/>
              </w:rPr>
            </w:pPr>
          </w:p>
        </w:tc>
      </w:tr>
    </w:tbl>
    <w:p w:rsidR="00E65325" w:rsidRDefault="00E65325" w:rsidP="00E65325">
      <w:pPr>
        <w:ind w:firstLine="570"/>
        <w:jc w:val="left"/>
        <w:rPr>
          <w:sz w:val="28"/>
          <w:szCs w:val="28"/>
        </w:rPr>
      </w:pPr>
    </w:p>
    <w:p w:rsidR="00E65325" w:rsidRDefault="00E65325" w:rsidP="00E65325">
      <w:pPr>
        <w:spacing w:line="520" w:lineRule="exact"/>
        <w:ind w:firstLineChars="200" w:firstLine="560"/>
        <w:jc w:val="left"/>
        <w:rPr>
          <w:rFonts w:asciiTheme="minorEastAsia" w:hAnsiTheme="minorEastAsia"/>
          <w:sz w:val="28"/>
          <w:szCs w:val="28"/>
        </w:rPr>
      </w:pPr>
    </w:p>
    <w:p w:rsidR="00E65325" w:rsidRDefault="00E65325" w:rsidP="00E65325">
      <w:pPr>
        <w:spacing w:line="360" w:lineRule="auto"/>
        <w:ind w:firstLineChars="225" w:firstLine="540"/>
        <w:rPr>
          <w:sz w:val="24"/>
        </w:rPr>
      </w:pPr>
    </w:p>
    <w:p w:rsidR="00E65325" w:rsidRDefault="00E65325" w:rsidP="00E65325">
      <w:pPr>
        <w:widowControl/>
        <w:jc w:val="left"/>
        <w:rPr>
          <w:rFonts w:ascii="宋体" w:hAnsi="宋体" w:cs="宋体"/>
          <w:b/>
          <w:color w:val="333333"/>
          <w:kern w:val="0"/>
          <w:sz w:val="24"/>
        </w:rPr>
      </w:pPr>
      <w:r>
        <w:rPr>
          <w:rFonts w:ascii="宋体" w:hAnsi="宋体" w:cs="宋体" w:hint="eastAsia"/>
          <w:b/>
          <w:color w:val="333333"/>
          <w:kern w:val="0"/>
          <w:sz w:val="24"/>
        </w:rPr>
        <w:br w:type="page"/>
      </w:r>
    </w:p>
    <w:p w:rsidR="00E65325" w:rsidRDefault="00E65325" w:rsidP="00E65325">
      <w:pPr>
        <w:pStyle w:val="a3"/>
        <w:widowControl/>
        <w:spacing w:line="520" w:lineRule="exact"/>
        <w:ind w:leftChars="-2" w:left="-4" w:firstLineChars="48" w:firstLine="116"/>
        <w:rPr>
          <w:rFonts w:ascii="宋体" w:hAnsi="宋体" w:cs="宋体"/>
          <w:b/>
          <w:color w:val="333333"/>
          <w:kern w:val="0"/>
          <w:sz w:val="24"/>
        </w:rPr>
      </w:pPr>
      <w:r>
        <w:rPr>
          <w:rFonts w:ascii="宋体" w:hAnsi="宋体" w:cs="宋体" w:hint="eastAsia"/>
          <w:b/>
          <w:color w:val="333333"/>
          <w:kern w:val="0"/>
          <w:sz w:val="24"/>
        </w:rPr>
        <w:lastRenderedPageBreak/>
        <w:t>附三：直通披露公告的事后审核流程图</w:t>
      </w:r>
    </w:p>
    <w:p w:rsidR="00E65325" w:rsidRDefault="00E65325" w:rsidP="00E65325">
      <w:pPr>
        <w:pStyle w:val="a3"/>
        <w:widowControl/>
        <w:ind w:left="1445" w:firstLineChars="0" w:firstLine="0"/>
        <w:jc w:val="left"/>
      </w:pPr>
      <w:r>
        <w:object w:dxaOrig="8295" w:dyaOrig="1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24.25pt" o:ole="">
            <v:imagedata r:id="rId7" o:title=""/>
          </v:shape>
          <o:OLEObject Type="Embed" ProgID="Visio.Drawing.11" ShapeID="_x0000_i1025" DrawAspect="Content" ObjectID="_1455000256" r:id="rId8"/>
        </w:object>
      </w:r>
    </w:p>
    <w:p w:rsidR="00E65325" w:rsidRDefault="00E65325" w:rsidP="00E65325"/>
    <w:p w:rsidR="00E65325" w:rsidRDefault="00E65325" w:rsidP="00E65325">
      <w:pPr>
        <w:spacing w:line="440" w:lineRule="exact"/>
      </w:pPr>
    </w:p>
    <w:p w:rsidR="001837E7" w:rsidRDefault="001837E7"/>
    <w:sectPr w:rsidR="001837E7">
      <w:footerReference w:type="defaul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08" w:rsidRDefault="00E65325">
    <w:pPr>
      <w:pStyle w:val="a4"/>
      <w:jc w:val="center"/>
    </w:pPr>
    <w:r>
      <w:fldChar w:fldCharType="begin"/>
    </w:r>
    <w:r>
      <w:instrText>PAGE   \* MERGEFORMAT</w:instrText>
    </w:r>
    <w:r>
      <w:fldChar w:fldCharType="separate"/>
    </w:r>
    <w:r w:rsidRPr="00E65325">
      <w:rPr>
        <w:noProof/>
        <w:lang w:val="zh-CN"/>
      </w:rPr>
      <w:t>2</w:t>
    </w:r>
    <w:r>
      <w:fldChar w:fldCharType="end"/>
    </w:r>
  </w:p>
  <w:p w:rsidR="00456B08" w:rsidRDefault="00E65325">
    <w:pPr>
      <w:pStyle w:val="a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EB9"/>
    <w:multiLevelType w:val="hybridMultilevel"/>
    <w:tmpl w:val="539863CC"/>
    <w:lvl w:ilvl="0" w:tplc="A7305564">
      <w:start w:val="1"/>
      <w:numFmt w:val="japaneseCounting"/>
      <w:lvlText w:val="%1、"/>
      <w:lvlJc w:val="left"/>
      <w:pPr>
        <w:ind w:left="510" w:hanging="51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09D9738D"/>
    <w:multiLevelType w:val="multilevel"/>
    <w:tmpl w:val="9A5A1D4E"/>
    <w:lvl w:ilvl="0">
      <w:start w:val="1"/>
      <w:numFmt w:val="chineseCountingThousand"/>
      <w:pStyle w:val="1"/>
      <w:lvlText w:val="%1、"/>
      <w:lvlJc w:val="left"/>
      <w:pPr>
        <w:tabs>
          <w:tab w:val="num" w:pos="425"/>
        </w:tabs>
        <w:ind w:left="425" w:hanging="425"/>
      </w:pPr>
      <w:rPr>
        <w:rFonts w:hint="eastAsia"/>
      </w:rPr>
    </w:lvl>
    <w:lvl w:ilvl="1">
      <w:start w:val="1"/>
      <w:numFmt w:val="decimal"/>
      <w:pStyle w:val="2"/>
      <w:isLgl/>
      <w:lvlText w:val="%1.%2."/>
      <w:lvlJc w:val="left"/>
      <w:pPr>
        <w:tabs>
          <w:tab w:val="num" w:pos="567"/>
        </w:tabs>
        <w:ind w:left="567" w:hanging="567"/>
      </w:pPr>
      <w:rPr>
        <w:rFonts w:hint="eastAsia"/>
      </w:rPr>
    </w:lvl>
    <w:lvl w:ilvl="2">
      <w:start w:val="1"/>
      <w:numFmt w:val="decimal"/>
      <w:pStyle w:val="3"/>
      <w:isLgl/>
      <w:lvlText w:val="%1.%2.%3."/>
      <w:lvlJc w:val="left"/>
      <w:pPr>
        <w:tabs>
          <w:tab w:val="num" w:pos="709"/>
        </w:tabs>
        <w:ind w:left="709" w:hanging="709"/>
      </w:pPr>
      <w:rPr>
        <w:rFonts w:hint="eastAsia"/>
      </w:rPr>
    </w:lvl>
    <w:lvl w:ilvl="3">
      <w:start w:val="1"/>
      <w:numFmt w:val="decimal"/>
      <w:pStyle w:val="4"/>
      <w:isLgl/>
      <w:lvlText w:val="%1.%2.%3.%4."/>
      <w:lvlJc w:val="left"/>
      <w:pPr>
        <w:tabs>
          <w:tab w:val="num" w:pos="851"/>
        </w:tabs>
        <w:ind w:left="851" w:hanging="851"/>
      </w:pPr>
      <w:rPr>
        <w:rFonts w:hint="eastAsia"/>
      </w:rPr>
    </w:lvl>
    <w:lvl w:ilvl="4">
      <w:start w:val="1"/>
      <w:numFmt w:val="decimal"/>
      <w:pStyle w:val="5"/>
      <w:isLg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CA5B53"/>
    <w:multiLevelType w:val="hybridMultilevel"/>
    <w:tmpl w:val="FA44A886"/>
    <w:lvl w:ilvl="0" w:tplc="B180FA1E">
      <w:start w:val="1"/>
      <w:numFmt w:val="decimal"/>
      <w:lvlText w:val="%1、"/>
      <w:lvlJc w:val="left"/>
      <w:pPr>
        <w:ind w:left="1211" w:hanging="360"/>
      </w:pPr>
    </w:lvl>
    <w:lvl w:ilvl="1" w:tplc="04090019">
      <w:start w:val="1"/>
      <w:numFmt w:val="lowerLetter"/>
      <w:lvlText w:val="%2)"/>
      <w:lvlJc w:val="left"/>
      <w:pPr>
        <w:ind w:left="1380" w:hanging="420"/>
      </w:pPr>
    </w:lvl>
    <w:lvl w:ilvl="2" w:tplc="0409001B">
      <w:start w:val="1"/>
      <w:numFmt w:val="lowerRoman"/>
      <w:lvlText w:val="%3."/>
      <w:lvlJc w:val="right"/>
      <w:pPr>
        <w:ind w:left="1800" w:hanging="420"/>
      </w:pPr>
    </w:lvl>
    <w:lvl w:ilvl="3" w:tplc="0409000F">
      <w:start w:val="1"/>
      <w:numFmt w:val="decimal"/>
      <w:lvlText w:val="%4."/>
      <w:lvlJc w:val="left"/>
      <w:pPr>
        <w:ind w:left="2220" w:hanging="420"/>
      </w:pPr>
    </w:lvl>
    <w:lvl w:ilvl="4" w:tplc="04090019">
      <w:start w:val="1"/>
      <w:numFmt w:val="lowerLetter"/>
      <w:lvlText w:val="%5)"/>
      <w:lvlJc w:val="left"/>
      <w:pPr>
        <w:ind w:left="2640" w:hanging="420"/>
      </w:pPr>
    </w:lvl>
    <w:lvl w:ilvl="5" w:tplc="0409001B">
      <w:start w:val="1"/>
      <w:numFmt w:val="lowerRoman"/>
      <w:lvlText w:val="%6."/>
      <w:lvlJc w:val="right"/>
      <w:pPr>
        <w:ind w:left="3060" w:hanging="420"/>
      </w:pPr>
    </w:lvl>
    <w:lvl w:ilvl="6" w:tplc="0409000F">
      <w:start w:val="1"/>
      <w:numFmt w:val="decimal"/>
      <w:lvlText w:val="%7."/>
      <w:lvlJc w:val="left"/>
      <w:pPr>
        <w:ind w:left="3480" w:hanging="420"/>
      </w:pPr>
    </w:lvl>
    <w:lvl w:ilvl="7" w:tplc="04090019">
      <w:start w:val="1"/>
      <w:numFmt w:val="lowerLetter"/>
      <w:lvlText w:val="%8)"/>
      <w:lvlJc w:val="left"/>
      <w:pPr>
        <w:ind w:left="3900" w:hanging="420"/>
      </w:pPr>
    </w:lvl>
    <w:lvl w:ilvl="8" w:tplc="0409001B">
      <w:start w:val="1"/>
      <w:numFmt w:val="lowerRoman"/>
      <w:lvlText w:val="%9."/>
      <w:lvlJc w:val="right"/>
      <w:pPr>
        <w:ind w:left="43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25"/>
    <w:rsid w:val="001837E7"/>
    <w:rsid w:val="00A44BE6"/>
    <w:rsid w:val="00E65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25"/>
    <w:pPr>
      <w:widowControl w:val="0"/>
      <w:jc w:val="both"/>
    </w:pPr>
    <w:rPr>
      <w:rFonts w:ascii="Times New Roman" w:eastAsia="宋体" w:hAnsi="Times New Roman" w:cs="Times New Roman"/>
      <w:szCs w:val="20"/>
    </w:rPr>
  </w:style>
  <w:style w:type="paragraph" w:styleId="1">
    <w:name w:val="heading 1"/>
    <w:basedOn w:val="a"/>
    <w:next w:val="a"/>
    <w:link w:val="1Char"/>
    <w:qFormat/>
    <w:rsid w:val="00E65325"/>
    <w:pPr>
      <w:keepNext/>
      <w:numPr>
        <w:numId w:val="1"/>
      </w:numPr>
      <w:spacing w:line="400" w:lineRule="atLeast"/>
      <w:jc w:val="left"/>
      <w:outlineLvl w:val="0"/>
    </w:pPr>
    <w:rPr>
      <w:rFonts w:eastAsia="楷体_GB2312"/>
      <w:b/>
      <w:sz w:val="28"/>
      <w:szCs w:val="30"/>
    </w:rPr>
  </w:style>
  <w:style w:type="paragraph" w:styleId="2">
    <w:name w:val="heading 2"/>
    <w:aliases w:val="标题 22,Chapter X.X. Statement,h2,2,Header 2,l2,Level 2 Head,heading 2"/>
    <w:basedOn w:val="a"/>
    <w:next w:val="a"/>
    <w:link w:val="2Char"/>
    <w:qFormat/>
    <w:rsid w:val="00E65325"/>
    <w:pPr>
      <w:keepNext/>
      <w:keepLines/>
      <w:numPr>
        <w:ilvl w:val="1"/>
        <w:numId w:val="1"/>
      </w:numPr>
      <w:spacing w:line="400" w:lineRule="exact"/>
      <w:jc w:val="left"/>
      <w:outlineLvl w:val="1"/>
    </w:pPr>
    <w:rPr>
      <w:rFonts w:eastAsia="楷体_GB2312"/>
      <w:b/>
      <w:bCs/>
      <w:sz w:val="28"/>
      <w:szCs w:val="28"/>
      <w:lang w:val="x-none" w:eastAsia="x-none"/>
    </w:rPr>
  </w:style>
  <w:style w:type="paragraph" w:styleId="3">
    <w:name w:val="heading 3"/>
    <w:aliases w:val="Chapter X.X.X."/>
    <w:basedOn w:val="a"/>
    <w:next w:val="a"/>
    <w:link w:val="3Char"/>
    <w:qFormat/>
    <w:rsid w:val="00E65325"/>
    <w:pPr>
      <w:keepNext/>
      <w:keepLines/>
      <w:numPr>
        <w:ilvl w:val="2"/>
        <w:numId w:val="1"/>
      </w:numPr>
      <w:spacing w:line="400" w:lineRule="exact"/>
      <w:jc w:val="left"/>
      <w:outlineLvl w:val="2"/>
    </w:pPr>
    <w:rPr>
      <w:rFonts w:eastAsia="楷体_GB2312"/>
      <w:b/>
      <w:bCs/>
      <w:sz w:val="24"/>
      <w:szCs w:val="32"/>
    </w:rPr>
  </w:style>
  <w:style w:type="paragraph" w:styleId="4">
    <w:name w:val="heading 4"/>
    <w:basedOn w:val="a"/>
    <w:next w:val="a"/>
    <w:link w:val="4Char"/>
    <w:qFormat/>
    <w:rsid w:val="00E65325"/>
    <w:pPr>
      <w:keepNext/>
      <w:numPr>
        <w:ilvl w:val="3"/>
        <w:numId w:val="1"/>
      </w:numPr>
      <w:spacing w:line="400" w:lineRule="exact"/>
      <w:jc w:val="left"/>
      <w:outlineLvl w:val="3"/>
    </w:pPr>
    <w:rPr>
      <w:rFonts w:eastAsia="楷体_GB2312"/>
      <w:b/>
      <w:iCs/>
      <w:sz w:val="24"/>
      <w:szCs w:val="24"/>
    </w:rPr>
  </w:style>
  <w:style w:type="paragraph" w:styleId="5">
    <w:name w:val="heading 5"/>
    <w:basedOn w:val="a"/>
    <w:next w:val="a"/>
    <w:link w:val="5Char"/>
    <w:qFormat/>
    <w:rsid w:val="00E65325"/>
    <w:pPr>
      <w:keepNext/>
      <w:numPr>
        <w:ilvl w:val="4"/>
        <w:numId w:val="1"/>
      </w:numPr>
      <w:spacing w:line="400" w:lineRule="exact"/>
      <w:jc w:val="left"/>
      <w:outlineLvl w:val="4"/>
    </w:pPr>
    <w:rPr>
      <w:rFonts w:eastAsia="楷体_GB2312"/>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65325"/>
    <w:rPr>
      <w:rFonts w:ascii="Times New Roman" w:eastAsia="楷体_GB2312" w:hAnsi="Times New Roman" w:cs="Times New Roman"/>
      <w:b/>
      <w:sz w:val="28"/>
      <w:szCs w:val="30"/>
    </w:rPr>
  </w:style>
  <w:style w:type="character" w:customStyle="1" w:styleId="2Char">
    <w:name w:val="标题 2 Char"/>
    <w:basedOn w:val="a0"/>
    <w:link w:val="2"/>
    <w:rsid w:val="00E65325"/>
    <w:rPr>
      <w:rFonts w:ascii="Times New Roman" w:eastAsia="楷体_GB2312" w:hAnsi="Times New Roman" w:cs="Times New Roman"/>
      <w:b/>
      <w:bCs/>
      <w:sz w:val="28"/>
      <w:szCs w:val="28"/>
      <w:lang w:val="x-none" w:eastAsia="x-none"/>
    </w:rPr>
  </w:style>
  <w:style w:type="character" w:customStyle="1" w:styleId="3Char">
    <w:name w:val="标题 3 Char"/>
    <w:basedOn w:val="a0"/>
    <w:link w:val="3"/>
    <w:rsid w:val="00E65325"/>
    <w:rPr>
      <w:rFonts w:ascii="Times New Roman" w:eastAsia="楷体_GB2312" w:hAnsi="Times New Roman" w:cs="Times New Roman"/>
      <w:b/>
      <w:bCs/>
      <w:sz w:val="24"/>
      <w:szCs w:val="32"/>
    </w:rPr>
  </w:style>
  <w:style w:type="character" w:customStyle="1" w:styleId="4Char">
    <w:name w:val="标题 4 Char"/>
    <w:basedOn w:val="a0"/>
    <w:link w:val="4"/>
    <w:rsid w:val="00E65325"/>
    <w:rPr>
      <w:rFonts w:ascii="Times New Roman" w:eastAsia="楷体_GB2312" w:hAnsi="Times New Roman" w:cs="Times New Roman"/>
      <w:b/>
      <w:iCs/>
      <w:sz w:val="24"/>
      <w:szCs w:val="24"/>
    </w:rPr>
  </w:style>
  <w:style w:type="character" w:customStyle="1" w:styleId="5Char">
    <w:name w:val="标题 5 Char"/>
    <w:basedOn w:val="a0"/>
    <w:link w:val="5"/>
    <w:rsid w:val="00E65325"/>
    <w:rPr>
      <w:rFonts w:ascii="Times New Roman" w:eastAsia="楷体_GB2312" w:hAnsi="Times New Roman" w:cs="Times New Roman"/>
      <w:b/>
      <w:sz w:val="24"/>
      <w:szCs w:val="24"/>
    </w:rPr>
  </w:style>
  <w:style w:type="paragraph" w:styleId="a3">
    <w:name w:val="List Paragraph"/>
    <w:basedOn w:val="a"/>
    <w:uiPriority w:val="34"/>
    <w:qFormat/>
    <w:rsid w:val="00E65325"/>
    <w:pPr>
      <w:ind w:firstLineChars="200" w:firstLine="420"/>
    </w:pPr>
    <w:rPr>
      <w:rFonts w:ascii="Calibri" w:hAnsi="Calibri"/>
      <w:szCs w:val="22"/>
    </w:rPr>
  </w:style>
  <w:style w:type="paragraph" w:styleId="a4">
    <w:name w:val="footer"/>
    <w:basedOn w:val="a"/>
    <w:link w:val="Char"/>
    <w:uiPriority w:val="99"/>
    <w:unhideWhenUsed/>
    <w:rsid w:val="00E65325"/>
    <w:pPr>
      <w:tabs>
        <w:tab w:val="center" w:pos="4153"/>
        <w:tab w:val="right" w:pos="8306"/>
      </w:tabs>
      <w:snapToGrid w:val="0"/>
      <w:spacing w:line="240" w:lineRule="atLeast"/>
      <w:jc w:val="left"/>
    </w:pPr>
    <w:rPr>
      <w:rFonts w:eastAsia="楷体_GB2312"/>
      <w:sz w:val="18"/>
      <w:szCs w:val="18"/>
    </w:rPr>
  </w:style>
  <w:style w:type="character" w:customStyle="1" w:styleId="Char">
    <w:name w:val="页脚 Char"/>
    <w:basedOn w:val="a0"/>
    <w:link w:val="a4"/>
    <w:uiPriority w:val="99"/>
    <w:rsid w:val="00E65325"/>
    <w:rPr>
      <w:rFonts w:ascii="Times New Roman" w:eastAsia="楷体_GB2312" w:hAnsi="Times New Roman" w:cs="Times New Roman"/>
      <w:sz w:val="18"/>
      <w:szCs w:val="18"/>
    </w:rPr>
  </w:style>
  <w:style w:type="paragraph" w:styleId="a5">
    <w:name w:val="Balloon Text"/>
    <w:basedOn w:val="a"/>
    <w:link w:val="Char0"/>
    <w:uiPriority w:val="99"/>
    <w:semiHidden/>
    <w:unhideWhenUsed/>
    <w:rsid w:val="00E65325"/>
    <w:rPr>
      <w:sz w:val="18"/>
      <w:szCs w:val="18"/>
    </w:rPr>
  </w:style>
  <w:style w:type="character" w:customStyle="1" w:styleId="Char0">
    <w:name w:val="批注框文本 Char"/>
    <w:basedOn w:val="a0"/>
    <w:link w:val="a5"/>
    <w:uiPriority w:val="99"/>
    <w:semiHidden/>
    <w:rsid w:val="00E6532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25"/>
    <w:pPr>
      <w:widowControl w:val="0"/>
      <w:jc w:val="both"/>
    </w:pPr>
    <w:rPr>
      <w:rFonts w:ascii="Times New Roman" w:eastAsia="宋体" w:hAnsi="Times New Roman" w:cs="Times New Roman"/>
      <w:szCs w:val="20"/>
    </w:rPr>
  </w:style>
  <w:style w:type="paragraph" w:styleId="1">
    <w:name w:val="heading 1"/>
    <w:basedOn w:val="a"/>
    <w:next w:val="a"/>
    <w:link w:val="1Char"/>
    <w:qFormat/>
    <w:rsid w:val="00E65325"/>
    <w:pPr>
      <w:keepNext/>
      <w:numPr>
        <w:numId w:val="1"/>
      </w:numPr>
      <w:spacing w:line="400" w:lineRule="atLeast"/>
      <w:jc w:val="left"/>
      <w:outlineLvl w:val="0"/>
    </w:pPr>
    <w:rPr>
      <w:rFonts w:eastAsia="楷体_GB2312"/>
      <w:b/>
      <w:sz w:val="28"/>
      <w:szCs w:val="30"/>
    </w:rPr>
  </w:style>
  <w:style w:type="paragraph" w:styleId="2">
    <w:name w:val="heading 2"/>
    <w:aliases w:val="标题 22,Chapter X.X. Statement,h2,2,Header 2,l2,Level 2 Head,heading 2"/>
    <w:basedOn w:val="a"/>
    <w:next w:val="a"/>
    <w:link w:val="2Char"/>
    <w:qFormat/>
    <w:rsid w:val="00E65325"/>
    <w:pPr>
      <w:keepNext/>
      <w:keepLines/>
      <w:numPr>
        <w:ilvl w:val="1"/>
        <w:numId w:val="1"/>
      </w:numPr>
      <w:spacing w:line="400" w:lineRule="exact"/>
      <w:jc w:val="left"/>
      <w:outlineLvl w:val="1"/>
    </w:pPr>
    <w:rPr>
      <w:rFonts w:eastAsia="楷体_GB2312"/>
      <w:b/>
      <w:bCs/>
      <w:sz w:val="28"/>
      <w:szCs w:val="28"/>
      <w:lang w:val="x-none" w:eastAsia="x-none"/>
    </w:rPr>
  </w:style>
  <w:style w:type="paragraph" w:styleId="3">
    <w:name w:val="heading 3"/>
    <w:aliases w:val="Chapter X.X.X."/>
    <w:basedOn w:val="a"/>
    <w:next w:val="a"/>
    <w:link w:val="3Char"/>
    <w:qFormat/>
    <w:rsid w:val="00E65325"/>
    <w:pPr>
      <w:keepNext/>
      <w:keepLines/>
      <w:numPr>
        <w:ilvl w:val="2"/>
        <w:numId w:val="1"/>
      </w:numPr>
      <w:spacing w:line="400" w:lineRule="exact"/>
      <w:jc w:val="left"/>
      <w:outlineLvl w:val="2"/>
    </w:pPr>
    <w:rPr>
      <w:rFonts w:eastAsia="楷体_GB2312"/>
      <w:b/>
      <w:bCs/>
      <w:sz w:val="24"/>
      <w:szCs w:val="32"/>
    </w:rPr>
  </w:style>
  <w:style w:type="paragraph" w:styleId="4">
    <w:name w:val="heading 4"/>
    <w:basedOn w:val="a"/>
    <w:next w:val="a"/>
    <w:link w:val="4Char"/>
    <w:qFormat/>
    <w:rsid w:val="00E65325"/>
    <w:pPr>
      <w:keepNext/>
      <w:numPr>
        <w:ilvl w:val="3"/>
        <w:numId w:val="1"/>
      </w:numPr>
      <w:spacing w:line="400" w:lineRule="exact"/>
      <w:jc w:val="left"/>
      <w:outlineLvl w:val="3"/>
    </w:pPr>
    <w:rPr>
      <w:rFonts w:eastAsia="楷体_GB2312"/>
      <w:b/>
      <w:iCs/>
      <w:sz w:val="24"/>
      <w:szCs w:val="24"/>
    </w:rPr>
  </w:style>
  <w:style w:type="paragraph" w:styleId="5">
    <w:name w:val="heading 5"/>
    <w:basedOn w:val="a"/>
    <w:next w:val="a"/>
    <w:link w:val="5Char"/>
    <w:qFormat/>
    <w:rsid w:val="00E65325"/>
    <w:pPr>
      <w:keepNext/>
      <w:numPr>
        <w:ilvl w:val="4"/>
        <w:numId w:val="1"/>
      </w:numPr>
      <w:spacing w:line="400" w:lineRule="exact"/>
      <w:jc w:val="left"/>
      <w:outlineLvl w:val="4"/>
    </w:pPr>
    <w:rPr>
      <w:rFonts w:eastAsia="楷体_GB2312"/>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65325"/>
    <w:rPr>
      <w:rFonts w:ascii="Times New Roman" w:eastAsia="楷体_GB2312" w:hAnsi="Times New Roman" w:cs="Times New Roman"/>
      <w:b/>
      <w:sz w:val="28"/>
      <w:szCs w:val="30"/>
    </w:rPr>
  </w:style>
  <w:style w:type="character" w:customStyle="1" w:styleId="2Char">
    <w:name w:val="标题 2 Char"/>
    <w:basedOn w:val="a0"/>
    <w:link w:val="2"/>
    <w:rsid w:val="00E65325"/>
    <w:rPr>
      <w:rFonts w:ascii="Times New Roman" w:eastAsia="楷体_GB2312" w:hAnsi="Times New Roman" w:cs="Times New Roman"/>
      <w:b/>
      <w:bCs/>
      <w:sz w:val="28"/>
      <w:szCs w:val="28"/>
      <w:lang w:val="x-none" w:eastAsia="x-none"/>
    </w:rPr>
  </w:style>
  <w:style w:type="character" w:customStyle="1" w:styleId="3Char">
    <w:name w:val="标题 3 Char"/>
    <w:basedOn w:val="a0"/>
    <w:link w:val="3"/>
    <w:rsid w:val="00E65325"/>
    <w:rPr>
      <w:rFonts w:ascii="Times New Roman" w:eastAsia="楷体_GB2312" w:hAnsi="Times New Roman" w:cs="Times New Roman"/>
      <w:b/>
      <w:bCs/>
      <w:sz w:val="24"/>
      <w:szCs w:val="32"/>
    </w:rPr>
  </w:style>
  <w:style w:type="character" w:customStyle="1" w:styleId="4Char">
    <w:name w:val="标题 4 Char"/>
    <w:basedOn w:val="a0"/>
    <w:link w:val="4"/>
    <w:rsid w:val="00E65325"/>
    <w:rPr>
      <w:rFonts w:ascii="Times New Roman" w:eastAsia="楷体_GB2312" w:hAnsi="Times New Roman" w:cs="Times New Roman"/>
      <w:b/>
      <w:iCs/>
      <w:sz w:val="24"/>
      <w:szCs w:val="24"/>
    </w:rPr>
  </w:style>
  <w:style w:type="character" w:customStyle="1" w:styleId="5Char">
    <w:name w:val="标题 5 Char"/>
    <w:basedOn w:val="a0"/>
    <w:link w:val="5"/>
    <w:rsid w:val="00E65325"/>
    <w:rPr>
      <w:rFonts w:ascii="Times New Roman" w:eastAsia="楷体_GB2312" w:hAnsi="Times New Roman" w:cs="Times New Roman"/>
      <w:b/>
      <w:sz w:val="24"/>
      <w:szCs w:val="24"/>
    </w:rPr>
  </w:style>
  <w:style w:type="paragraph" w:styleId="a3">
    <w:name w:val="List Paragraph"/>
    <w:basedOn w:val="a"/>
    <w:uiPriority w:val="34"/>
    <w:qFormat/>
    <w:rsid w:val="00E65325"/>
    <w:pPr>
      <w:ind w:firstLineChars="200" w:firstLine="420"/>
    </w:pPr>
    <w:rPr>
      <w:rFonts w:ascii="Calibri" w:hAnsi="Calibri"/>
      <w:szCs w:val="22"/>
    </w:rPr>
  </w:style>
  <w:style w:type="paragraph" w:styleId="a4">
    <w:name w:val="footer"/>
    <w:basedOn w:val="a"/>
    <w:link w:val="Char"/>
    <w:uiPriority w:val="99"/>
    <w:unhideWhenUsed/>
    <w:rsid w:val="00E65325"/>
    <w:pPr>
      <w:tabs>
        <w:tab w:val="center" w:pos="4153"/>
        <w:tab w:val="right" w:pos="8306"/>
      </w:tabs>
      <w:snapToGrid w:val="0"/>
      <w:spacing w:line="240" w:lineRule="atLeast"/>
      <w:jc w:val="left"/>
    </w:pPr>
    <w:rPr>
      <w:rFonts w:eastAsia="楷体_GB2312"/>
      <w:sz w:val="18"/>
      <w:szCs w:val="18"/>
    </w:rPr>
  </w:style>
  <w:style w:type="character" w:customStyle="1" w:styleId="Char">
    <w:name w:val="页脚 Char"/>
    <w:basedOn w:val="a0"/>
    <w:link w:val="a4"/>
    <w:uiPriority w:val="99"/>
    <w:rsid w:val="00E65325"/>
    <w:rPr>
      <w:rFonts w:ascii="Times New Roman" w:eastAsia="楷体_GB2312" w:hAnsi="Times New Roman" w:cs="Times New Roman"/>
      <w:sz w:val="18"/>
      <w:szCs w:val="18"/>
    </w:rPr>
  </w:style>
  <w:style w:type="paragraph" w:styleId="a5">
    <w:name w:val="Balloon Text"/>
    <w:basedOn w:val="a"/>
    <w:link w:val="Char0"/>
    <w:uiPriority w:val="99"/>
    <w:semiHidden/>
    <w:unhideWhenUsed/>
    <w:rsid w:val="00E65325"/>
    <w:rPr>
      <w:sz w:val="18"/>
      <w:szCs w:val="18"/>
    </w:rPr>
  </w:style>
  <w:style w:type="character" w:customStyle="1" w:styleId="Char0">
    <w:name w:val="批注框文本 Char"/>
    <w:basedOn w:val="a0"/>
    <w:link w:val="a5"/>
    <w:uiPriority w:val="99"/>
    <w:semiHidden/>
    <w:rsid w:val="00E6532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2308F67F</Template>
  <TotalTime>1</TotalTime>
  <Pages>9</Pages>
  <Words>566</Words>
  <Characters>3227</Characters>
  <Application>Microsoft Office Word</Application>
  <DocSecurity>0</DocSecurity>
  <Lines>26</Lines>
  <Paragraphs>7</Paragraphs>
  <ScaleCrop>false</ScaleCrop>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寻晓青</dc:creator>
  <cp:lastModifiedBy>寻晓青</cp:lastModifiedBy>
  <cp:revision>1</cp:revision>
  <dcterms:created xsi:type="dcterms:W3CDTF">2014-02-27T01:57:00Z</dcterms:created>
  <dcterms:modified xsi:type="dcterms:W3CDTF">2014-02-27T01:58:00Z</dcterms:modified>
</cp:coreProperties>
</file>