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26" w:rsidRPr="00791A93" w:rsidRDefault="004A0B26" w:rsidP="00106822">
      <w:pPr>
        <w:widowControl/>
        <w:spacing w:line="360" w:lineRule="auto"/>
        <w:jc w:val="center"/>
        <w:rPr>
          <w:rFonts w:ascii="仿宋_GB2312" w:eastAsia="仿宋_GB2312"/>
          <w:b/>
          <w:bCs/>
          <w:sz w:val="28"/>
          <w:szCs w:val="28"/>
        </w:rPr>
      </w:pPr>
      <w:bookmarkStart w:id="0" w:name="_GoBack"/>
      <w:bookmarkEnd w:id="0"/>
      <w:r w:rsidRPr="00791A93">
        <w:rPr>
          <w:rFonts w:ascii="仿宋_GB2312" w:eastAsia="仿宋_GB2312" w:hint="eastAsia"/>
          <w:b/>
          <w:bCs/>
          <w:sz w:val="28"/>
          <w:szCs w:val="28"/>
        </w:rPr>
        <w:t>信息披露内部业务流程第</w:t>
      </w:r>
      <w:r>
        <w:rPr>
          <w:rFonts w:ascii="仿宋_GB2312" w:eastAsia="仿宋_GB2312" w:hint="eastAsia"/>
          <w:b/>
          <w:bCs/>
          <w:sz w:val="28"/>
          <w:szCs w:val="28"/>
        </w:rPr>
        <w:t>6</w:t>
      </w:r>
      <w:r w:rsidRPr="00791A93">
        <w:rPr>
          <w:rFonts w:ascii="仿宋_GB2312" w:eastAsia="仿宋_GB2312" w:hint="eastAsia"/>
          <w:b/>
          <w:bCs/>
          <w:sz w:val="28"/>
          <w:szCs w:val="28"/>
        </w:rPr>
        <w:t>.</w:t>
      </w:r>
      <w:r>
        <w:rPr>
          <w:rFonts w:ascii="仿宋_GB2312" w:eastAsia="仿宋_GB2312" w:hint="eastAsia"/>
          <w:b/>
          <w:bCs/>
          <w:sz w:val="28"/>
          <w:szCs w:val="28"/>
        </w:rPr>
        <w:t>1</w:t>
      </w:r>
      <w:r w:rsidRPr="00791A93">
        <w:rPr>
          <w:rFonts w:ascii="仿宋_GB2312" w:eastAsia="仿宋_GB2312" w:hint="eastAsia"/>
          <w:b/>
          <w:bCs/>
          <w:sz w:val="28"/>
          <w:szCs w:val="28"/>
        </w:rPr>
        <w:t>号----</w:t>
      </w:r>
      <w:r>
        <w:rPr>
          <w:rFonts w:ascii="仿宋_GB2312" w:eastAsia="仿宋_GB2312" w:hint="eastAsia"/>
          <w:b/>
          <w:bCs/>
          <w:sz w:val="28"/>
          <w:szCs w:val="28"/>
        </w:rPr>
        <w:t>实行（撤销）风险警示</w:t>
      </w:r>
    </w:p>
    <w:p w:rsidR="004A0B26" w:rsidRDefault="004A0B26" w:rsidP="004A0B26">
      <w:pPr>
        <w:widowControl/>
        <w:spacing w:line="360" w:lineRule="auto"/>
        <w:jc w:val="center"/>
        <w:rPr>
          <w:rFonts w:ascii="仿宋_GB2312" w:eastAsia="仿宋_GB2312"/>
          <w:b/>
          <w:bCs/>
          <w:sz w:val="28"/>
          <w:szCs w:val="28"/>
        </w:rPr>
      </w:pPr>
      <w:r>
        <w:rPr>
          <w:rFonts w:ascii="仿宋_GB2312" w:eastAsia="仿宋_GB2312" w:hint="eastAsia"/>
          <w:b/>
          <w:bCs/>
          <w:sz w:val="28"/>
          <w:szCs w:val="28"/>
        </w:rPr>
        <w:t>（</w:t>
      </w:r>
      <w:smartTag w:uri="urn:schemas-microsoft-com:office:smarttags" w:element="chsdate">
        <w:smartTagPr>
          <w:attr w:name="IsROCDate" w:val="False"/>
          <w:attr w:name="IsLunarDate" w:val="False"/>
          <w:attr w:name="Day" w:val="29"/>
          <w:attr w:name="Month" w:val="2"/>
          <w:attr w:name="Year" w:val="2008"/>
        </w:smartTagPr>
        <w:r>
          <w:rPr>
            <w:rFonts w:ascii="仿宋_GB2312" w:eastAsia="仿宋_GB2312" w:hint="eastAsia"/>
            <w:b/>
            <w:bCs/>
            <w:sz w:val="28"/>
            <w:szCs w:val="28"/>
          </w:rPr>
          <w:t>2008年2月29日</w:t>
        </w:r>
      </w:smartTag>
      <w:r>
        <w:rPr>
          <w:rFonts w:ascii="仿宋_GB2312" w:eastAsia="仿宋_GB2312" w:hint="eastAsia"/>
          <w:b/>
          <w:bCs/>
          <w:sz w:val="28"/>
          <w:szCs w:val="28"/>
        </w:rPr>
        <w:t>发布，</w:t>
      </w:r>
      <w:smartTag w:uri="urn:schemas-microsoft-com:office:smarttags" w:element="chsdate">
        <w:smartTagPr>
          <w:attr w:name="IsROCDate" w:val="False"/>
          <w:attr w:name="IsLunarDate" w:val="False"/>
          <w:attr w:name="Day" w:val="10"/>
          <w:attr w:name="Month" w:val="2"/>
          <w:attr w:name="Year" w:val="2010"/>
        </w:smartTagPr>
        <w:r>
          <w:rPr>
            <w:rFonts w:ascii="仿宋_GB2312" w:eastAsia="仿宋_GB2312" w:hint="eastAsia"/>
            <w:b/>
            <w:bCs/>
            <w:sz w:val="28"/>
            <w:szCs w:val="28"/>
          </w:rPr>
          <w:t>2010年2月10日</w:t>
        </w:r>
      </w:smartTag>
      <w:r>
        <w:rPr>
          <w:rFonts w:ascii="仿宋_GB2312" w:eastAsia="仿宋_GB2312" w:hint="eastAsia"/>
          <w:b/>
          <w:bCs/>
          <w:sz w:val="28"/>
          <w:szCs w:val="28"/>
        </w:rPr>
        <w:t>第一次修订，</w:t>
      </w:r>
      <w:smartTag w:uri="urn:schemas-microsoft-com:office:smarttags" w:element="chsdate">
        <w:smartTagPr>
          <w:attr w:name="IsROCDate" w:val="False"/>
          <w:attr w:name="IsLunarDate" w:val="False"/>
          <w:attr w:name="Day" w:val="10"/>
          <w:attr w:name="Month" w:val="7"/>
          <w:attr w:name="Year" w:val="2012"/>
        </w:smartTagPr>
        <w:r>
          <w:rPr>
            <w:rFonts w:ascii="仿宋_GB2312" w:eastAsia="仿宋_GB2312" w:hint="eastAsia"/>
            <w:b/>
            <w:bCs/>
            <w:sz w:val="28"/>
            <w:szCs w:val="28"/>
          </w:rPr>
          <w:t>2012年7月10日</w:t>
        </w:r>
      </w:smartTag>
      <w:r>
        <w:rPr>
          <w:rFonts w:ascii="仿宋_GB2312" w:eastAsia="仿宋_GB2312" w:hint="eastAsia"/>
          <w:b/>
          <w:bCs/>
          <w:sz w:val="28"/>
          <w:szCs w:val="28"/>
        </w:rPr>
        <w:t>第二次修订，2013年3月29日第三次修订）</w:t>
      </w:r>
    </w:p>
    <w:p w:rsidR="004A0B26" w:rsidRDefault="004A0B26" w:rsidP="004A0B26">
      <w:pPr>
        <w:widowControl/>
        <w:spacing w:line="360" w:lineRule="auto"/>
        <w:jc w:val="center"/>
        <w:rPr>
          <w:rFonts w:ascii="仿宋_GB2312" w:eastAsia="仿宋_GB2312"/>
          <w:b/>
          <w:bCs/>
          <w:sz w:val="28"/>
          <w:szCs w:val="28"/>
        </w:rPr>
      </w:pPr>
    </w:p>
    <w:p w:rsidR="004A0B26" w:rsidRPr="007665E6" w:rsidRDefault="004A0B26" w:rsidP="004A0B26">
      <w:pPr>
        <w:spacing w:line="360" w:lineRule="auto"/>
        <w:rPr>
          <w:sz w:val="24"/>
        </w:rPr>
      </w:pPr>
      <w:r w:rsidRPr="007665E6">
        <w:rPr>
          <w:rFonts w:hint="eastAsia"/>
          <w:sz w:val="24"/>
        </w:rPr>
        <w:t>一、</w:t>
      </w:r>
      <w:r w:rsidRPr="00BA557D">
        <w:rPr>
          <w:rFonts w:hint="eastAsia"/>
          <w:sz w:val="24"/>
        </w:rPr>
        <w:t>业务规则</w:t>
      </w:r>
    </w:p>
    <w:p w:rsidR="004A0B26" w:rsidRDefault="004A0B26" w:rsidP="004A0B26">
      <w:pPr>
        <w:spacing w:line="360" w:lineRule="auto"/>
        <w:rPr>
          <w:sz w:val="24"/>
        </w:rPr>
      </w:pPr>
      <w:r>
        <w:rPr>
          <w:rFonts w:hint="eastAsia"/>
          <w:sz w:val="24"/>
        </w:rPr>
        <w:t xml:space="preserve">    </w:t>
      </w:r>
      <w:r>
        <w:rPr>
          <w:rFonts w:hint="eastAsia"/>
          <w:sz w:val="24"/>
        </w:rPr>
        <w:t>风险警示分为存在终止上市风险的风险警示（简称“退市风险警示”，</w:t>
      </w:r>
      <w:r>
        <w:rPr>
          <w:rFonts w:hint="eastAsia"/>
          <w:sz w:val="24"/>
        </w:rPr>
        <w:t>*ST</w:t>
      </w:r>
      <w:r>
        <w:rPr>
          <w:rFonts w:hint="eastAsia"/>
          <w:sz w:val="24"/>
        </w:rPr>
        <w:t>）和其他风险警示（</w:t>
      </w:r>
      <w:r>
        <w:rPr>
          <w:rFonts w:hint="eastAsia"/>
          <w:sz w:val="24"/>
        </w:rPr>
        <w:t>ST</w:t>
      </w:r>
      <w:r>
        <w:rPr>
          <w:rFonts w:hint="eastAsia"/>
          <w:sz w:val="24"/>
        </w:rPr>
        <w:t>）。风险警示业务区分为实行退市风险警示和撤销风险警示两类。</w:t>
      </w:r>
    </w:p>
    <w:p w:rsidR="004A0B26" w:rsidRDefault="004A0B26" w:rsidP="004A0B26">
      <w:pPr>
        <w:spacing w:line="360" w:lineRule="auto"/>
        <w:rPr>
          <w:sz w:val="24"/>
        </w:rPr>
      </w:pPr>
      <w:r>
        <w:rPr>
          <w:rFonts w:hint="eastAsia"/>
          <w:vanish/>
          <w:sz w:val="24"/>
        </w:rPr>
        <w:t xml:space="preserve"> </w:t>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cr/>
      </w:r>
      <w:r>
        <w:rPr>
          <w:rFonts w:hint="eastAsia"/>
          <w:vanish/>
          <w:sz w:val="24"/>
        </w:rPr>
        <w:t>理处理分为警示存在终止上市风险的特别处理（以下</w:t>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sz w:val="24"/>
        </w:rPr>
        <w:t xml:space="preserve">    </w:t>
      </w:r>
      <w:r>
        <w:rPr>
          <w:rFonts w:hint="eastAsia"/>
          <w:sz w:val="24"/>
        </w:rPr>
        <w:t>有关风险警示业务规则见《深圳证券交易所股票上市规则》</w:t>
      </w:r>
      <w:r w:rsidRPr="00A1550B">
        <w:rPr>
          <w:rFonts w:hint="eastAsia"/>
          <w:sz w:val="24"/>
        </w:rPr>
        <w:t>第十三章。</w:t>
      </w:r>
    </w:p>
    <w:p w:rsidR="004A0B26" w:rsidRDefault="004A0B26" w:rsidP="004A0B26">
      <w:pPr>
        <w:snapToGrid w:val="0"/>
        <w:spacing w:line="460" w:lineRule="exact"/>
        <w:rPr>
          <w:sz w:val="24"/>
        </w:rPr>
      </w:pPr>
    </w:p>
    <w:p w:rsidR="004A0B26" w:rsidRDefault="004A0B26" w:rsidP="004A0B26">
      <w:pPr>
        <w:snapToGrid w:val="0"/>
        <w:spacing w:line="460" w:lineRule="exact"/>
        <w:rPr>
          <w:sz w:val="24"/>
        </w:rPr>
      </w:pPr>
      <w:r>
        <w:rPr>
          <w:rFonts w:hint="eastAsia"/>
          <w:sz w:val="24"/>
        </w:rPr>
        <w:t>二、实行（退市）风险警示和撤销（退市）风险警示的条件</w:t>
      </w:r>
    </w:p>
    <w:p w:rsidR="004A0B26" w:rsidRPr="00050503" w:rsidRDefault="004A0B26" w:rsidP="004A0B26">
      <w:pPr>
        <w:snapToGrid w:val="0"/>
        <w:spacing w:line="460" w:lineRule="exact"/>
        <w:rPr>
          <w:sz w:val="24"/>
        </w:rPr>
      </w:pPr>
      <w:r>
        <w:rPr>
          <w:rFonts w:hint="eastAsia"/>
          <w:sz w:val="24"/>
        </w:rPr>
        <w:t>（一）实行退市风险警示的条件</w:t>
      </w:r>
    </w:p>
    <w:p w:rsidR="004A0B26" w:rsidRPr="00050503" w:rsidRDefault="004A0B26" w:rsidP="004A0B26">
      <w:pPr>
        <w:spacing w:line="360" w:lineRule="auto"/>
        <w:ind w:firstLineChars="250" w:firstLine="600"/>
        <w:rPr>
          <w:sz w:val="24"/>
        </w:rPr>
      </w:pPr>
      <w:r>
        <w:rPr>
          <w:rFonts w:hint="eastAsia"/>
          <w:sz w:val="24"/>
        </w:rPr>
        <w:t>1</w:t>
      </w:r>
      <w:r>
        <w:rPr>
          <w:rFonts w:hint="eastAsia"/>
          <w:sz w:val="24"/>
        </w:rPr>
        <w:t>、</w:t>
      </w:r>
      <w:r w:rsidRPr="00050503">
        <w:rPr>
          <w:rFonts w:hint="eastAsia"/>
          <w:sz w:val="24"/>
        </w:rPr>
        <w:tab/>
      </w:r>
      <w:r w:rsidRPr="00050503">
        <w:rPr>
          <w:rFonts w:hint="eastAsia"/>
          <w:sz w:val="24"/>
        </w:rPr>
        <w:t>最近两个会计年度经审计的净利润连续为负值或者因追溯重述导致最近两个会计年度净利润连续为负值；</w:t>
      </w:r>
    </w:p>
    <w:p w:rsidR="004A0B26" w:rsidRPr="00050503" w:rsidRDefault="004A0B26" w:rsidP="004A0B26">
      <w:pPr>
        <w:spacing w:line="360" w:lineRule="auto"/>
        <w:ind w:firstLineChars="250" w:firstLine="600"/>
        <w:rPr>
          <w:sz w:val="24"/>
        </w:rPr>
      </w:pPr>
      <w:r>
        <w:rPr>
          <w:rFonts w:hint="eastAsia"/>
          <w:sz w:val="24"/>
        </w:rPr>
        <w:t>2</w:t>
      </w:r>
      <w:r>
        <w:rPr>
          <w:rFonts w:hint="eastAsia"/>
          <w:sz w:val="24"/>
        </w:rPr>
        <w:t>、</w:t>
      </w:r>
      <w:r w:rsidRPr="00050503">
        <w:rPr>
          <w:rFonts w:hint="eastAsia"/>
          <w:sz w:val="24"/>
        </w:rPr>
        <w:tab/>
      </w:r>
      <w:r w:rsidRPr="00050503">
        <w:rPr>
          <w:rFonts w:hint="eastAsia"/>
          <w:sz w:val="24"/>
        </w:rPr>
        <w:t>最近一个会计年度经审计的期末净资产为负值或者因追溯重述导致最近一个会计年度期末净资产为负值；</w:t>
      </w:r>
    </w:p>
    <w:p w:rsidR="004A0B26" w:rsidRPr="00050503" w:rsidRDefault="004A0B26" w:rsidP="004A0B26">
      <w:pPr>
        <w:spacing w:line="360" w:lineRule="auto"/>
        <w:ind w:firstLineChars="250" w:firstLine="600"/>
        <w:rPr>
          <w:sz w:val="24"/>
        </w:rPr>
      </w:pPr>
      <w:r>
        <w:rPr>
          <w:rFonts w:hint="eastAsia"/>
          <w:sz w:val="24"/>
        </w:rPr>
        <w:t>3</w:t>
      </w:r>
      <w:r>
        <w:rPr>
          <w:rFonts w:hint="eastAsia"/>
          <w:sz w:val="24"/>
        </w:rPr>
        <w:t>、</w:t>
      </w:r>
      <w:r w:rsidRPr="00050503">
        <w:rPr>
          <w:rFonts w:hint="eastAsia"/>
          <w:sz w:val="24"/>
        </w:rPr>
        <w:tab/>
      </w:r>
      <w:r w:rsidRPr="00050503">
        <w:rPr>
          <w:rFonts w:hint="eastAsia"/>
          <w:sz w:val="24"/>
        </w:rPr>
        <w:t>最近一个会计年度经审计的营业收入低于一千万元或者因追溯重述导致最近一个会计年度营业收入低于一千万元；</w:t>
      </w:r>
    </w:p>
    <w:p w:rsidR="004A0B26" w:rsidRPr="00050503" w:rsidRDefault="004A0B26" w:rsidP="004A0B26">
      <w:pPr>
        <w:spacing w:line="360" w:lineRule="auto"/>
        <w:ind w:firstLineChars="250" w:firstLine="600"/>
        <w:rPr>
          <w:sz w:val="24"/>
        </w:rPr>
      </w:pPr>
      <w:r>
        <w:rPr>
          <w:rFonts w:hint="eastAsia"/>
          <w:sz w:val="24"/>
        </w:rPr>
        <w:t>4</w:t>
      </w:r>
      <w:r>
        <w:rPr>
          <w:rFonts w:hint="eastAsia"/>
          <w:sz w:val="24"/>
        </w:rPr>
        <w:t>、</w:t>
      </w:r>
      <w:r w:rsidRPr="00050503">
        <w:rPr>
          <w:rFonts w:hint="eastAsia"/>
          <w:sz w:val="24"/>
        </w:rPr>
        <w:t>最近一个会计年度的财务会计报告被出具无法表示意见或者否定意见的审计报告；</w:t>
      </w:r>
    </w:p>
    <w:p w:rsidR="004A0B26" w:rsidRPr="00050503" w:rsidRDefault="004A0B26" w:rsidP="004A0B26">
      <w:pPr>
        <w:spacing w:line="360" w:lineRule="auto"/>
        <w:ind w:firstLineChars="250" w:firstLine="600"/>
        <w:rPr>
          <w:sz w:val="24"/>
        </w:rPr>
      </w:pPr>
      <w:r>
        <w:rPr>
          <w:rFonts w:hint="eastAsia"/>
          <w:sz w:val="24"/>
        </w:rPr>
        <w:t>5</w:t>
      </w:r>
      <w:r>
        <w:rPr>
          <w:rFonts w:hint="eastAsia"/>
          <w:sz w:val="24"/>
        </w:rPr>
        <w:t>、</w:t>
      </w:r>
      <w:r w:rsidRPr="00050503">
        <w:rPr>
          <w:rFonts w:hint="eastAsia"/>
          <w:sz w:val="24"/>
        </w:rPr>
        <w:t>因财务会计报告存在重大会计差错或者虚假记载，被中国证监会责令改正但未在规定期限内改正，且公司股票已停牌两个月；</w:t>
      </w:r>
    </w:p>
    <w:p w:rsidR="004A0B26" w:rsidRPr="00050503" w:rsidRDefault="004A0B26" w:rsidP="004A0B26">
      <w:pPr>
        <w:spacing w:line="360" w:lineRule="auto"/>
        <w:ind w:firstLineChars="250" w:firstLine="600"/>
        <w:rPr>
          <w:sz w:val="24"/>
        </w:rPr>
      </w:pPr>
      <w:r>
        <w:rPr>
          <w:rFonts w:hint="eastAsia"/>
          <w:sz w:val="24"/>
        </w:rPr>
        <w:t>6</w:t>
      </w:r>
      <w:r>
        <w:rPr>
          <w:rFonts w:hint="eastAsia"/>
          <w:sz w:val="24"/>
        </w:rPr>
        <w:t>、</w:t>
      </w:r>
      <w:r w:rsidRPr="00050503">
        <w:rPr>
          <w:rFonts w:hint="eastAsia"/>
          <w:sz w:val="24"/>
        </w:rPr>
        <w:t>未在法定期限内披露年度报告或者半年度报告，且公司股票已停牌两个月；</w:t>
      </w:r>
    </w:p>
    <w:p w:rsidR="004A0B26" w:rsidRPr="00050503" w:rsidRDefault="004A0B26" w:rsidP="004A0B26">
      <w:pPr>
        <w:snapToGrid w:val="0"/>
        <w:spacing w:line="460" w:lineRule="exact"/>
        <w:ind w:firstLineChars="250" w:firstLine="600"/>
        <w:rPr>
          <w:sz w:val="24"/>
        </w:rPr>
      </w:pPr>
      <w:r>
        <w:rPr>
          <w:rFonts w:hint="eastAsia"/>
          <w:sz w:val="24"/>
        </w:rPr>
        <w:t>7</w:t>
      </w:r>
      <w:r>
        <w:rPr>
          <w:rFonts w:hint="eastAsia"/>
          <w:sz w:val="24"/>
        </w:rPr>
        <w:t>、</w:t>
      </w:r>
      <w:r w:rsidRPr="00050503">
        <w:rPr>
          <w:rFonts w:hint="eastAsia"/>
          <w:sz w:val="24"/>
        </w:rPr>
        <w:t>出现</w:t>
      </w:r>
      <w:r>
        <w:rPr>
          <w:rFonts w:hint="eastAsia"/>
          <w:sz w:val="24"/>
        </w:rPr>
        <w:t>《上市</w:t>
      </w:r>
      <w:r w:rsidRPr="00050503">
        <w:rPr>
          <w:rFonts w:hint="eastAsia"/>
          <w:sz w:val="24"/>
        </w:rPr>
        <w:t>规则</w:t>
      </w:r>
      <w:r>
        <w:rPr>
          <w:rFonts w:hint="eastAsia"/>
          <w:sz w:val="24"/>
        </w:rPr>
        <w:t>》</w:t>
      </w:r>
      <w:r w:rsidRPr="00050503">
        <w:rPr>
          <w:rFonts w:hint="eastAsia"/>
          <w:sz w:val="24"/>
        </w:rPr>
        <w:t>12.12</w:t>
      </w:r>
      <w:r w:rsidRPr="00050503">
        <w:rPr>
          <w:rFonts w:hint="eastAsia"/>
          <w:sz w:val="24"/>
        </w:rPr>
        <w:t>条、</w:t>
      </w:r>
      <w:r w:rsidRPr="00050503">
        <w:rPr>
          <w:rFonts w:hint="eastAsia"/>
          <w:sz w:val="24"/>
        </w:rPr>
        <w:t>12.13</w:t>
      </w:r>
      <w:r w:rsidRPr="00050503">
        <w:rPr>
          <w:rFonts w:hint="eastAsia"/>
          <w:sz w:val="24"/>
        </w:rPr>
        <w:t>条规定的股权分布不再具备上市条件的情形，公司在规定期限内未披露解决方案，或者披露的解决方案存在重大不确定性的，或者在披露可行的解决方案后一个月内未实施完成；</w:t>
      </w:r>
    </w:p>
    <w:p w:rsidR="004A0B26" w:rsidRPr="00050503" w:rsidRDefault="004A0B26" w:rsidP="004A0B26">
      <w:pPr>
        <w:snapToGrid w:val="0"/>
        <w:spacing w:line="460" w:lineRule="exact"/>
        <w:ind w:firstLineChars="250" w:firstLine="600"/>
        <w:rPr>
          <w:sz w:val="24"/>
        </w:rPr>
      </w:pPr>
      <w:r>
        <w:rPr>
          <w:rFonts w:hint="eastAsia"/>
          <w:sz w:val="24"/>
        </w:rPr>
        <w:t>8</w:t>
      </w:r>
      <w:r>
        <w:rPr>
          <w:rFonts w:hint="eastAsia"/>
          <w:sz w:val="24"/>
        </w:rPr>
        <w:t>、</w:t>
      </w:r>
      <w:r w:rsidRPr="00050503">
        <w:rPr>
          <w:rFonts w:hint="eastAsia"/>
          <w:sz w:val="24"/>
        </w:rPr>
        <w:t>法院依法受理公司重整、和解或者破产清算申请；</w:t>
      </w:r>
    </w:p>
    <w:p w:rsidR="004A0B26" w:rsidRDefault="004A0B26" w:rsidP="004A0B26">
      <w:pPr>
        <w:snapToGrid w:val="0"/>
        <w:spacing w:line="460" w:lineRule="exact"/>
        <w:ind w:firstLineChars="250" w:firstLine="600"/>
        <w:rPr>
          <w:sz w:val="24"/>
        </w:rPr>
      </w:pPr>
      <w:r>
        <w:rPr>
          <w:rFonts w:hint="eastAsia"/>
          <w:sz w:val="24"/>
        </w:rPr>
        <w:lastRenderedPageBreak/>
        <w:t>9</w:t>
      </w:r>
      <w:r>
        <w:rPr>
          <w:rFonts w:hint="eastAsia"/>
          <w:sz w:val="24"/>
        </w:rPr>
        <w:t>、</w:t>
      </w:r>
      <w:r w:rsidRPr="00050503">
        <w:rPr>
          <w:rFonts w:hint="eastAsia"/>
          <w:sz w:val="24"/>
        </w:rPr>
        <w:t>出现可能导致公司解散的情形；</w:t>
      </w:r>
    </w:p>
    <w:p w:rsidR="004A0B26" w:rsidRDefault="004A0B26" w:rsidP="004A0B26">
      <w:pPr>
        <w:snapToGrid w:val="0"/>
        <w:spacing w:line="460" w:lineRule="exact"/>
        <w:ind w:firstLineChars="250" w:firstLine="600"/>
        <w:rPr>
          <w:rFonts w:ascii="宋体" w:hAnsi="宋体"/>
          <w:color w:val="000000"/>
          <w:sz w:val="24"/>
          <w:szCs w:val="24"/>
        </w:rPr>
      </w:pPr>
      <w:r>
        <w:rPr>
          <w:rFonts w:hint="eastAsia"/>
          <w:sz w:val="24"/>
        </w:rPr>
        <w:t>10</w:t>
      </w:r>
      <w:r>
        <w:rPr>
          <w:rFonts w:hint="eastAsia"/>
          <w:sz w:val="24"/>
        </w:rPr>
        <w:t>、</w:t>
      </w:r>
      <w:r>
        <w:rPr>
          <w:rFonts w:ascii="宋体" w:hAnsi="宋体" w:hint="eastAsia"/>
          <w:color w:val="000000"/>
          <w:sz w:val="24"/>
          <w:szCs w:val="24"/>
        </w:rPr>
        <w:t>本所认定的其他存在退市风险的情形。</w:t>
      </w:r>
    </w:p>
    <w:p w:rsidR="004A0B26" w:rsidRDefault="004A0B26" w:rsidP="004A0B26">
      <w:pPr>
        <w:snapToGrid w:val="0"/>
        <w:spacing w:line="460" w:lineRule="exact"/>
        <w:ind w:firstLineChars="200" w:firstLine="480"/>
        <w:rPr>
          <w:rFonts w:ascii="宋体" w:hAnsi="宋体"/>
          <w:color w:val="000000"/>
          <w:sz w:val="24"/>
          <w:szCs w:val="24"/>
        </w:rPr>
      </w:pPr>
    </w:p>
    <w:p w:rsidR="004A0B26" w:rsidRDefault="004A0B26" w:rsidP="004A0B26">
      <w:pPr>
        <w:snapToGrid w:val="0"/>
        <w:spacing w:line="460" w:lineRule="exact"/>
        <w:ind w:firstLineChars="200" w:firstLine="480"/>
        <w:rPr>
          <w:rFonts w:ascii="宋体" w:hAnsi="宋体"/>
          <w:b/>
          <w:bCs/>
          <w:color w:val="000000"/>
          <w:sz w:val="24"/>
          <w:szCs w:val="24"/>
        </w:rPr>
      </w:pPr>
      <w:r>
        <w:rPr>
          <w:rFonts w:ascii="宋体" w:hAnsi="宋体" w:hint="eastAsia"/>
          <w:color w:val="000000"/>
          <w:sz w:val="24"/>
          <w:szCs w:val="24"/>
        </w:rPr>
        <w:t>（二）实行其他风险警示的条件：</w:t>
      </w:r>
    </w:p>
    <w:p w:rsidR="004A0B26" w:rsidRDefault="004A0B26" w:rsidP="004A0B26">
      <w:pPr>
        <w:tabs>
          <w:tab w:val="left" w:pos="900"/>
        </w:tabs>
        <w:snapToGrid w:val="0"/>
        <w:spacing w:line="460" w:lineRule="exact"/>
        <w:ind w:firstLineChars="250" w:firstLine="600"/>
        <w:rPr>
          <w:rFonts w:ascii="宋体" w:hAnsi="宋体"/>
          <w:color w:val="000000"/>
          <w:sz w:val="24"/>
          <w:szCs w:val="24"/>
        </w:rPr>
      </w:pPr>
      <w:r>
        <w:rPr>
          <w:rFonts w:ascii="宋体" w:hAnsi="宋体" w:hint="eastAsia"/>
          <w:color w:val="000000"/>
          <w:sz w:val="24"/>
          <w:szCs w:val="24"/>
        </w:rPr>
        <w:t>1、公司生产经营活动受到严重影响且预计在三个月以内不能恢复正常；</w:t>
      </w:r>
    </w:p>
    <w:p w:rsidR="004A0B26" w:rsidRDefault="004A0B26" w:rsidP="004A0B26">
      <w:pPr>
        <w:tabs>
          <w:tab w:val="left" w:pos="900"/>
        </w:tabs>
        <w:snapToGrid w:val="0"/>
        <w:spacing w:line="460" w:lineRule="exact"/>
        <w:ind w:firstLineChars="250" w:firstLine="600"/>
        <w:rPr>
          <w:rFonts w:ascii="宋体" w:hAnsi="宋体"/>
          <w:color w:val="000000"/>
          <w:sz w:val="24"/>
          <w:szCs w:val="24"/>
        </w:rPr>
      </w:pPr>
      <w:r>
        <w:rPr>
          <w:rFonts w:ascii="宋体" w:hAnsi="宋体" w:hint="eastAsia"/>
          <w:color w:val="000000"/>
          <w:sz w:val="24"/>
          <w:szCs w:val="24"/>
        </w:rPr>
        <w:t>2、公司主要银行账号被冻结；</w:t>
      </w:r>
    </w:p>
    <w:p w:rsidR="004A0B26" w:rsidRDefault="004A0B26" w:rsidP="004A0B26">
      <w:pPr>
        <w:tabs>
          <w:tab w:val="left" w:pos="900"/>
        </w:tabs>
        <w:snapToGrid w:val="0"/>
        <w:spacing w:line="460" w:lineRule="exact"/>
        <w:ind w:firstLineChars="250" w:firstLine="600"/>
        <w:rPr>
          <w:rFonts w:ascii="宋体" w:hAnsi="宋体"/>
          <w:color w:val="000000"/>
          <w:sz w:val="24"/>
          <w:szCs w:val="24"/>
        </w:rPr>
      </w:pPr>
      <w:r>
        <w:rPr>
          <w:rFonts w:ascii="宋体" w:hAnsi="宋体" w:hint="eastAsia"/>
          <w:color w:val="000000"/>
          <w:sz w:val="24"/>
          <w:szCs w:val="24"/>
        </w:rPr>
        <w:t>3、公司董事会无法正常召开会议并形成董事会决议；</w:t>
      </w:r>
    </w:p>
    <w:p w:rsidR="004A0B26" w:rsidRDefault="004A0B26" w:rsidP="004A0B26">
      <w:pPr>
        <w:tabs>
          <w:tab w:val="left" w:pos="900"/>
        </w:tabs>
        <w:snapToGrid w:val="0"/>
        <w:spacing w:line="460" w:lineRule="exact"/>
        <w:ind w:firstLineChars="250" w:firstLine="600"/>
        <w:rPr>
          <w:rFonts w:ascii="宋体" w:hAnsi="宋体"/>
          <w:color w:val="000000"/>
          <w:sz w:val="24"/>
          <w:szCs w:val="24"/>
        </w:rPr>
      </w:pPr>
      <w:r>
        <w:rPr>
          <w:rFonts w:ascii="宋体" w:hAnsi="宋体" w:hint="eastAsia"/>
          <w:color w:val="000000"/>
          <w:sz w:val="24"/>
          <w:szCs w:val="24"/>
        </w:rPr>
        <w:t>4、公司向控股股东或者其关联人提供资金或者违反规定程序对外提供担保且情形严重的；</w:t>
      </w:r>
    </w:p>
    <w:p w:rsidR="004A0B26" w:rsidRDefault="004A0B26" w:rsidP="004A0B26">
      <w:pPr>
        <w:tabs>
          <w:tab w:val="left" w:pos="900"/>
        </w:tabs>
        <w:snapToGrid w:val="0"/>
        <w:spacing w:line="460" w:lineRule="exact"/>
        <w:ind w:firstLineChars="250" w:firstLine="600"/>
        <w:rPr>
          <w:rFonts w:ascii="宋体" w:hAnsi="宋体"/>
          <w:color w:val="000000"/>
          <w:sz w:val="24"/>
          <w:szCs w:val="24"/>
        </w:rPr>
      </w:pPr>
      <w:r>
        <w:rPr>
          <w:rFonts w:ascii="宋体" w:hAnsi="宋体" w:hint="eastAsia"/>
          <w:color w:val="000000"/>
          <w:sz w:val="24"/>
          <w:szCs w:val="24"/>
        </w:rPr>
        <w:t>5、本所认定的其他情形。</w:t>
      </w:r>
    </w:p>
    <w:p w:rsidR="004A0B26" w:rsidRDefault="004A0B26" w:rsidP="004A0B26">
      <w:pPr>
        <w:snapToGrid w:val="0"/>
        <w:spacing w:line="460" w:lineRule="exact"/>
        <w:ind w:firstLineChars="200" w:firstLine="480"/>
        <w:rPr>
          <w:rFonts w:ascii="宋体" w:hAnsi="宋体"/>
          <w:color w:val="000000"/>
          <w:sz w:val="24"/>
          <w:szCs w:val="24"/>
        </w:rPr>
      </w:pPr>
    </w:p>
    <w:p w:rsidR="004A0B26" w:rsidRDefault="004A0B26" w:rsidP="004A0B26">
      <w:pPr>
        <w:snapToGrid w:val="0"/>
        <w:spacing w:line="460" w:lineRule="exact"/>
        <w:ind w:firstLineChars="200" w:firstLine="480"/>
        <w:rPr>
          <w:sz w:val="24"/>
        </w:rPr>
      </w:pPr>
      <w:r>
        <w:rPr>
          <w:rFonts w:ascii="宋体" w:hAnsi="宋体" w:hint="eastAsia"/>
          <w:color w:val="000000"/>
          <w:sz w:val="24"/>
          <w:szCs w:val="24"/>
        </w:rPr>
        <w:t>（三）撤销</w:t>
      </w:r>
      <w:r>
        <w:rPr>
          <w:rFonts w:hint="eastAsia"/>
          <w:sz w:val="24"/>
        </w:rPr>
        <w:t>退市风险警示的条件</w:t>
      </w:r>
    </w:p>
    <w:p w:rsidR="004A0B26" w:rsidRPr="00ED46C0" w:rsidRDefault="004A0B26" w:rsidP="004A0B26">
      <w:pPr>
        <w:snapToGrid w:val="0"/>
        <w:spacing w:line="460" w:lineRule="exact"/>
        <w:ind w:firstLineChars="200" w:firstLine="480"/>
        <w:rPr>
          <w:sz w:val="24"/>
        </w:rPr>
      </w:pPr>
      <w:r>
        <w:rPr>
          <w:rFonts w:hint="eastAsia"/>
          <w:sz w:val="24"/>
        </w:rPr>
        <w:t>1</w:t>
      </w:r>
      <w:r>
        <w:rPr>
          <w:rFonts w:hint="eastAsia"/>
          <w:sz w:val="24"/>
        </w:rPr>
        <w:t>、</w:t>
      </w:r>
      <w:r w:rsidRPr="00ED46C0">
        <w:rPr>
          <w:rFonts w:hint="eastAsia"/>
          <w:sz w:val="24"/>
        </w:rPr>
        <w:t>上市公司股票交易因</w:t>
      </w:r>
      <w:r>
        <w:rPr>
          <w:rFonts w:hint="eastAsia"/>
          <w:sz w:val="24"/>
        </w:rPr>
        <w:t>上市</w:t>
      </w:r>
      <w:r w:rsidRPr="00ED46C0">
        <w:rPr>
          <w:rFonts w:hint="eastAsia"/>
          <w:sz w:val="24"/>
        </w:rPr>
        <w:t>规则</w:t>
      </w:r>
      <w:r w:rsidRPr="00ED46C0">
        <w:rPr>
          <w:rFonts w:hint="eastAsia"/>
          <w:sz w:val="24"/>
        </w:rPr>
        <w:t>13.2.1</w:t>
      </w:r>
      <w:r w:rsidRPr="00ED46C0">
        <w:rPr>
          <w:rFonts w:hint="eastAsia"/>
          <w:sz w:val="24"/>
        </w:rPr>
        <w:t>条第（一）项至第（四）项规定情形被本所实行退市风险警示的，在退市风险警示期间，公司进行重大资产重组且满足以下全部条件的，可以申请对其股票交易撤销退市风险警示：</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1</w:t>
      </w:r>
      <w:r w:rsidRPr="00ED46C0">
        <w:rPr>
          <w:rFonts w:hint="eastAsia"/>
          <w:sz w:val="24"/>
        </w:rPr>
        <w:t>）根据中国证监会有关重大资产重组规定出售全部经营性资产和负债，并购买其他资产且已实施完毕；</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2</w:t>
      </w:r>
      <w:r w:rsidRPr="00ED46C0">
        <w:rPr>
          <w:rFonts w:hint="eastAsia"/>
          <w:sz w:val="24"/>
        </w:rPr>
        <w:t>）通过购买进入公司的资产是一个完整经营主体，该经营主体在进入公司前已在同一管理层之下持续经营三年以上；</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3</w:t>
      </w:r>
      <w:r w:rsidRPr="00ED46C0">
        <w:rPr>
          <w:rFonts w:hint="eastAsia"/>
          <w:sz w:val="24"/>
        </w:rPr>
        <w:t>）公司本次购买进入的资产最近一个会计年度经审计的净利润为正值；</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4</w:t>
      </w:r>
      <w:r w:rsidRPr="00ED46C0">
        <w:rPr>
          <w:rFonts w:hint="eastAsia"/>
          <w:sz w:val="24"/>
        </w:rPr>
        <w:t>）经会计师事务所审核的盈利预测报告显示，公司完成本次重组后盈利能力增强，经营业绩明显改善；</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5</w:t>
      </w:r>
      <w:r w:rsidRPr="00ED46C0">
        <w:rPr>
          <w:rFonts w:hint="eastAsia"/>
          <w:sz w:val="24"/>
        </w:rPr>
        <w:t>）本所要求的其他条件。</w:t>
      </w:r>
    </w:p>
    <w:p w:rsidR="004A0B26" w:rsidRPr="00ED46C0" w:rsidRDefault="004A0B26" w:rsidP="004A0B26">
      <w:pPr>
        <w:snapToGrid w:val="0"/>
        <w:spacing w:line="460" w:lineRule="exact"/>
        <w:ind w:firstLineChars="200" w:firstLine="480"/>
        <w:rPr>
          <w:sz w:val="24"/>
        </w:rPr>
      </w:pPr>
      <w:r>
        <w:rPr>
          <w:rFonts w:hint="eastAsia"/>
          <w:sz w:val="24"/>
        </w:rPr>
        <w:t>2</w:t>
      </w:r>
      <w:r>
        <w:rPr>
          <w:rFonts w:hint="eastAsia"/>
          <w:sz w:val="24"/>
        </w:rPr>
        <w:t>、</w:t>
      </w:r>
      <w:r w:rsidRPr="00ED46C0">
        <w:rPr>
          <w:rFonts w:hint="eastAsia"/>
          <w:sz w:val="24"/>
        </w:rPr>
        <w:t>上市公司股票交易因</w:t>
      </w:r>
      <w:r>
        <w:rPr>
          <w:rFonts w:hint="eastAsia"/>
          <w:sz w:val="24"/>
        </w:rPr>
        <w:t>上市</w:t>
      </w:r>
      <w:r w:rsidRPr="00ED46C0">
        <w:rPr>
          <w:rFonts w:hint="eastAsia"/>
          <w:sz w:val="24"/>
        </w:rPr>
        <w:t>规则</w:t>
      </w:r>
      <w:r w:rsidRPr="00ED46C0">
        <w:rPr>
          <w:rFonts w:hint="eastAsia"/>
          <w:sz w:val="24"/>
        </w:rPr>
        <w:t>13.2.1</w:t>
      </w:r>
      <w:r w:rsidRPr="00ED46C0">
        <w:rPr>
          <w:rFonts w:hint="eastAsia"/>
          <w:sz w:val="24"/>
        </w:rPr>
        <w:t>条第（五）项、第（六）项规定情形被本所实行退市风险警示，在实行退市风险警示后两个月内上述情形消除的，公司可以申请对其股票交易撤销退市风险警示。</w:t>
      </w:r>
    </w:p>
    <w:p w:rsidR="004A0B26" w:rsidRPr="00ED46C0" w:rsidRDefault="004A0B26" w:rsidP="004A0B26">
      <w:pPr>
        <w:snapToGrid w:val="0"/>
        <w:spacing w:line="460" w:lineRule="exact"/>
        <w:ind w:firstLineChars="200" w:firstLine="480"/>
        <w:rPr>
          <w:sz w:val="24"/>
        </w:rPr>
      </w:pPr>
      <w:r>
        <w:rPr>
          <w:rFonts w:hint="eastAsia"/>
          <w:sz w:val="24"/>
        </w:rPr>
        <w:t>3</w:t>
      </w:r>
      <w:r>
        <w:rPr>
          <w:rFonts w:hint="eastAsia"/>
          <w:sz w:val="24"/>
        </w:rPr>
        <w:t>、</w:t>
      </w:r>
      <w:r w:rsidRPr="00ED46C0">
        <w:rPr>
          <w:rFonts w:hint="eastAsia"/>
          <w:sz w:val="24"/>
        </w:rPr>
        <w:t>上市公司股票交易因</w:t>
      </w:r>
      <w:r>
        <w:rPr>
          <w:rFonts w:hint="eastAsia"/>
          <w:sz w:val="24"/>
        </w:rPr>
        <w:t>上市</w:t>
      </w:r>
      <w:r w:rsidRPr="00ED46C0">
        <w:rPr>
          <w:rFonts w:hint="eastAsia"/>
          <w:sz w:val="24"/>
        </w:rPr>
        <w:t>规则</w:t>
      </w:r>
      <w:r w:rsidRPr="00ED46C0">
        <w:rPr>
          <w:rFonts w:hint="eastAsia"/>
          <w:sz w:val="24"/>
        </w:rPr>
        <w:t>13.2.1</w:t>
      </w:r>
      <w:r w:rsidRPr="00ED46C0">
        <w:rPr>
          <w:rFonts w:hint="eastAsia"/>
          <w:sz w:val="24"/>
        </w:rPr>
        <w:t>条第（七）项情形被本所实行退市风险警示，在六个月内解决其股权分布问题重新具备上市条件的，公司可以申请对其股票交易撤销退市风险警示。</w:t>
      </w:r>
    </w:p>
    <w:p w:rsidR="004A0B26" w:rsidRPr="00ED46C0" w:rsidRDefault="004A0B26" w:rsidP="004A0B26">
      <w:pPr>
        <w:snapToGrid w:val="0"/>
        <w:spacing w:line="460" w:lineRule="exact"/>
        <w:ind w:firstLineChars="200" w:firstLine="480"/>
        <w:rPr>
          <w:sz w:val="24"/>
        </w:rPr>
      </w:pPr>
      <w:r>
        <w:rPr>
          <w:rFonts w:hint="eastAsia"/>
          <w:sz w:val="24"/>
        </w:rPr>
        <w:t>4</w:t>
      </w:r>
      <w:r>
        <w:rPr>
          <w:rFonts w:hint="eastAsia"/>
          <w:sz w:val="24"/>
        </w:rPr>
        <w:t>、</w:t>
      </w:r>
      <w:r w:rsidRPr="00ED46C0">
        <w:rPr>
          <w:rFonts w:hint="eastAsia"/>
          <w:sz w:val="24"/>
        </w:rPr>
        <w:t>上市公司股票交易因本规则</w:t>
      </w:r>
      <w:r w:rsidRPr="00ED46C0">
        <w:rPr>
          <w:rFonts w:hint="eastAsia"/>
          <w:sz w:val="24"/>
        </w:rPr>
        <w:t>13.2.1</w:t>
      </w:r>
      <w:r w:rsidRPr="00ED46C0">
        <w:rPr>
          <w:rFonts w:hint="eastAsia"/>
          <w:sz w:val="24"/>
        </w:rPr>
        <w:t>条第（八）项规定情形被本所实行退</w:t>
      </w:r>
      <w:r w:rsidRPr="00ED46C0">
        <w:rPr>
          <w:rFonts w:hint="eastAsia"/>
          <w:sz w:val="24"/>
        </w:rPr>
        <w:lastRenderedPageBreak/>
        <w:t>市风险警示后，出现以下情形之一的，公司可以向本所申请对其股票交易撤销退市风险警示：</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1</w:t>
      </w:r>
      <w:r w:rsidRPr="00ED46C0">
        <w:rPr>
          <w:rFonts w:hint="eastAsia"/>
          <w:sz w:val="24"/>
        </w:rPr>
        <w:t>）重整计划执行完毕；</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2</w:t>
      </w:r>
      <w:r w:rsidRPr="00ED46C0">
        <w:rPr>
          <w:rFonts w:hint="eastAsia"/>
          <w:sz w:val="24"/>
        </w:rPr>
        <w:t>）和解协议执行完毕；</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3</w:t>
      </w:r>
      <w:r w:rsidRPr="00ED46C0">
        <w:rPr>
          <w:rFonts w:hint="eastAsia"/>
          <w:sz w:val="24"/>
        </w:rPr>
        <w:t>）法院受理破产申请后至破产宣告前，依据《企业破产法》规定情形作出驳回破产申请的裁定，且申请人在法定期限内未上诉的；</w:t>
      </w:r>
    </w:p>
    <w:p w:rsidR="004A0B26" w:rsidRPr="00ED46C0" w:rsidRDefault="004A0B26" w:rsidP="004A0B26">
      <w:pPr>
        <w:snapToGrid w:val="0"/>
        <w:spacing w:line="460" w:lineRule="exact"/>
        <w:ind w:firstLineChars="200" w:firstLine="480"/>
        <w:rPr>
          <w:sz w:val="24"/>
        </w:rPr>
      </w:pPr>
      <w:r w:rsidRPr="00ED46C0">
        <w:rPr>
          <w:rFonts w:hint="eastAsia"/>
          <w:sz w:val="24"/>
        </w:rPr>
        <w:t>（</w:t>
      </w:r>
      <w:r>
        <w:rPr>
          <w:rFonts w:hint="eastAsia"/>
          <w:sz w:val="24"/>
        </w:rPr>
        <w:t>4</w:t>
      </w:r>
      <w:r w:rsidRPr="00ED46C0">
        <w:rPr>
          <w:rFonts w:hint="eastAsia"/>
          <w:sz w:val="24"/>
        </w:rPr>
        <w:t>）法院受理破产申请后至破产宣告前，依据《企业破产法》第一百零八条规定情形，作出终结破产程序的裁定。</w:t>
      </w:r>
    </w:p>
    <w:p w:rsidR="004A0B26" w:rsidRPr="00ED46C0" w:rsidRDefault="004A0B26" w:rsidP="004A0B26">
      <w:pPr>
        <w:snapToGrid w:val="0"/>
        <w:spacing w:line="460" w:lineRule="exact"/>
        <w:ind w:firstLineChars="200" w:firstLine="480"/>
        <w:rPr>
          <w:sz w:val="24"/>
        </w:rPr>
      </w:pPr>
      <w:r w:rsidRPr="00ED46C0">
        <w:rPr>
          <w:rFonts w:hint="eastAsia"/>
          <w:sz w:val="24"/>
        </w:rPr>
        <w:t>公司因前款第（</w:t>
      </w:r>
      <w:r>
        <w:rPr>
          <w:rFonts w:hint="eastAsia"/>
          <w:sz w:val="24"/>
        </w:rPr>
        <w:t>1</w:t>
      </w:r>
      <w:r w:rsidRPr="00ED46C0">
        <w:rPr>
          <w:rFonts w:hint="eastAsia"/>
          <w:sz w:val="24"/>
        </w:rPr>
        <w:t>）项、第（</w:t>
      </w:r>
      <w:r>
        <w:rPr>
          <w:rFonts w:hint="eastAsia"/>
          <w:sz w:val="24"/>
        </w:rPr>
        <w:t>2</w:t>
      </w:r>
      <w:r w:rsidRPr="00ED46C0">
        <w:rPr>
          <w:rFonts w:hint="eastAsia"/>
          <w:sz w:val="24"/>
        </w:rPr>
        <w:t>）项情形向本所申请对其股票交易撤销退市风险警示的，应当聘请律师事务所对公司重整计划或者和解协议执行情况出具法律意见书，并向本所提交该法律意见书及其他执行情况说明文件。</w:t>
      </w:r>
    </w:p>
    <w:p w:rsidR="004A0B26" w:rsidRPr="00ED46C0" w:rsidRDefault="004A0B26" w:rsidP="004A0B26">
      <w:pPr>
        <w:snapToGrid w:val="0"/>
        <w:spacing w:line="460" w:lineRule="exact"/>
        <w:ind w:firstLineChars="200" w:firstLine="480"/>
        <w:rPr>
          <w:sz w:val="24"/>
        </w:rPr>
      </w:pPr>
      <w:r>
        <w:rPr>
          <w:rFonts w:hint="eastAsia"/>
          <w:sz w:val="24"/>
        </w:rPr>
        <w:t>5</w:t>
      </w:r>
      <w:r>
        <w:rPr>
          <w:rFonts w:hint="eastAsia"/>
          <w:sz w:val="24"/>
        </w:rPr>
        <w:t>、</w:t>
      </w:r>
      <w:r w:rsidRPr="00ED46C0">
        <w:rPr>
          <w:rFonts w:hint="eastAsia"/>
          <w:sz w:val="24"/>
        </w:rPr>
        <w:t xml:space="preserve"> </w:t>
      </w:r>
      <w:r w:rsidRPr="00ED46C0">
        <w:rPr>
          <w:rFonts w:hint="eastAsia"/>
          <w:sz w:val="24"/>
        </w:rPr>
        <w:t>上市公司股票交易因</w:t>
      </w:r>
      <w:r>
        <w:rPr>
          <w:rFonts w:hint="eastAsia"/>
          <w:sz w:val="24"/>
        </w:rPr>
        <w:t>上市</w:t>
      </w:r>
      <w:r w:rsidRPr="00ED46C0">
        <w:rPr>
          <w:rFonts w:hint="eastAsia"/>
          <w:sz w:val="24"/>
        </w:rPr>
        <w:t>规则</w:t>
      </w:r>
      <w:r w:rsidRPr="00ED46C0">
        <w:rPr>
          <w:rFonts w:hint="eastAsia"/>
          <w:sz w:val="24"/>
        </w:rPr>
        <w:t>13.2.1</w:t>
      </w:r>
      <w:r w:rsidRPr="00ED46C0">
        <w:rPr>
          <w:rFonts w:hint="eastAsia"/>
          <w:sz w:val="24"/>
        </w:rPr>
        <w:t>条第（九）项规定情形被本所实行退市风险警示后，公司认为该项情形已消除的，可以向本所申请对其股票交易撤销退市风险警示。</w:t>
      </w:r>
    </w:p>
    <w:p w:rsidR="004A0B26" w:rsidRPr="00D35833" w:rsidRDefault="004A0B26" w:rsidP="004A0B26">
      <w:pPr>
        <w:snapToGrid w:val="0"/>
        <w:spacing w:line="460" w:lineRule="exact"/>
        <w:ind w:firstLineChars="225" w:firstLine="540"/>
        <w:rPr>
          <w:sz w:val="24"/>
        </w:rPr>
      </w:pPr>
    </w:p>
    <w:p w:rsidR="004A0B26" w:rsidRDefault="004A0B26" w:rsidP="004A0B26">
      <w:pPr>
        <w:spacing w:line="360" w:lineRule="auto"/>
        <w:rPr>
          <w:sz w:val="24"/>
        </w:rPr>
      </w:pPr>
      <w:r>
        <w:rPr>
          <w:rFonts w:hint="eastAsia"/>
          <w:sz w:val="24"/>
        </w:rPr>
        <w:t>三</w:t>
      </w:r>
      <w:r w:rsidRPr="00F75480">
        <w:rPr>
          <w:rFonts w:hint="eastAsia"/>
          <w:sz w:val="24"/>
        </w:rPr>
        <w:t>、</w:t>
      </w:r>
      <w:r>
        <w:rPr>
          <w:rFonts w:hint="eastAsia"/>
          <w:sz w:val="24"/>
        </w:rPr>
        <w:t>工作要点与业务流程</w:t>
      </w:r>
    </w:p>
    <w:p w:rsidR="004A0B26" w:rsidRDefault="004A0B26" w:rsidP="004A0B26">
      <w:pPr>
        <w:snapToGrid w:val="0"/>
        <w:spacing w:line="460" w:lineRule="exact"/>
        <w:ind w:firstLineChars="200" w:firstLine="480"/>
        <w:rPr>
          <w:sz w:val="24"/>
        </w:rPr>
      </w:pPr>
      <w:r>
        <w:rPr>
          <w:rFonts w:hint="eastAsia"/>
          <w:sz w:val="24"/>
        </w:rPr>
        <w:t>（一）业务要求</w:t>
      </w:r>
    </w:p>
    <w:p w:rsidR="004A0B26" w:rsidRDefault="004A0B26" w:rsidP="004A0B26">
      <w:pPr>
        <w:snapToGrid w:val="0"/>
        <w:spacing w:line="460" w:lineRule="exact"/>
        <w:ind w:firstLineChars="200" w:firstLine="480"/>
        <w:rPr>
          <w:sz w:val="24"/>
        </w:rPr>
      </w:pPr>
      <w:r>
        <w:rPr>
          <w:rFonts w:hint="eastAsia"/>
          <w:sz w:val="24"/>
        </w:rPr>
        <w:t>1</w:t>
      </w:r>
      <w:r>
        <w:rPr>
          <w:rFonts w:hint="eastAsia"/>
          <w:sz w:val="24"/>
        </w:rPr>
        <w:t>、及时受理、谨慎判断、规范公告。</w:t>
      </w:r>
      <w:r>
        <w:rPr>
          <w:rFonts w:hint="eastAsia"/>
          <w:sz w:val="24"/>
        </w:rPr>
        <w:t xml:space="preserve"> </w:t>
      </w:r>
    </w:p>
    <w:p w:rsidR="004A0B26" w:rsidRDefault="004A0B26" w:rsidP="004A0B26">
      <w:pPr>
        <w:snapToGrid w:val="0"/>
        <w:spacing w:line="460" w:lineRule="exact"/>
        <w:ind w:firstLineChars="200" w:firstLine="480"/>
        <w:rPr>
          <w:sz w:val="24"/>
        </w:rPr>
      </w:pPr>
      <w:r>
        <w:rPr>
          <w:rFonts w:hint="eastAsia"/>
          <w:sz w:val="24"/>
        </w:rPr>
        <w:t>监管人员应根据《上市规则》的有关规定，及时受理实行或撤销风险警示业务，谨慎判断是否属于应予实行（或撤销）风险警示的情形，在履行相关复核、审批程序后，处理公司公告。</w:t>
      </w:r>
    </w:p>
    <w:p w:rsidR="004A0B26" w:rsidRPr="000F0B7A" w:rsidRDefault="004A0B26" w:rsidP="004A0B26">
      <w:pPr>
        <w:snapToGrid w:val="0"/>
        <w:spacing w:line="460" w:lineRule="exact"/>
        <w:ind w:firstLineChars="200" w:firstLine="480"/>
        <w:rPr>
          <w:sz w:val="24"/>
        </w:rPr>
      </w:pPr>
      <w:r>
        <w:rPr>
          <w:rFonts w:hint="eastAsia"/>
          <w:sz w:val="24"/>
        </w:rPr>
        <w:t>风险警示业务分类的判断标准、实施时点及后续处理等详见附件</w:t>
      </w:r>
      <w:r>
        <w:rPr>
          <w:rFonts w:hint="eastAsia"/>
          <w:sz w:val="24"/>
        </w:rPr>
        <w:t>1</w:t>
      </w:r>
      <w:r>
        <w:rPr>
          <w:rFonts w:hint="eastAsia"/>
          <w:sz w:val="24"/>
        </w:rPr>
        <w:t>：《</w:t>
      </w:r>
      <w:r w:rsidRPr="000F0B7A">
        <w:rPr>
          <w:rFonts w:hint="eastAsia"/>
          <w:sz w:val="24"/>
        </w:rPr>
        <w:t>股票交易</w:t>
      </w:r>
      <w:r>
        <w:rPr>
          <w:rFonts w:hint="eastAsia"/>
          <w:sz w:val="24"/>
        </w:rPr>
        <w:t>实行</w:t>
      </w:r>
      <w:r w:rsidRPr="000F0B7A">
        <w:rPr>
          <w:rFonts w:hint="eastAsia"/>
          <w:sz w:val="24"/>
        </w:rPr>
        <w:t>（撤销）</w:t>
      </w:r>
      <w:r>
        <w:rPr>
          <w:rFonts w:hint="eastAsia"/>
          <w:sz w:val="24"/>
        </w:rPr>
        <w:t>风险警示</w:t>
      </w:r>
      <w:r w:rsidRPr="000F0B7A">
        <w:rPr>
          <w:rFonts w:hint="eastAsia"/>
          <w:sz w:val="24"/>
        </w:rPr>
        <w:t>的业务类型及相关处理</w:t>
      </w:r>
      <w:r>
        <w:rPr>
          <w:rFonts w:hint="eastAsia"/>
          <w:sz w:val="24"/>
        </w:rPr>
        <w:t>》。</w:t>
      </w:r>
    </w:p>
    <w:p w:rsidR="004A0B26" w:rsidRDefault="004A0B26" w:rsidP="004A0B26">
      <w:pPr>
        <w:snapToGrid w:val="0"/>
        <w:spacing w:line="460" w:lineRule="exact"/>
        <w:ind w:firstLineChars="200" w:firstLine="480"/>
        <w:rPr>
          <w:sz w:val="24"/>
        </w:rPr>
      </w:pPr>
      <w:r>
        <w:rPr>
          <w:rFonts w:hint="eastAsia"/>
          <w:sz w:val="24"/>
        </w:rPr>
        <w:t>2</w:t>
      </w:r>
      <w:r>
        <w:rPr>
          <w:rFonts w:hint="eastAsia"/>
          <w:sz w:val="24"/>
        </w:rPr>
        <w:t>、及时、正确输入远期业务指令，防范远期操作风险。</w:t>
      </w:r>
    </w:p>
    <w:p w:rsidR="004A0B26" w:rsidRDefault="004A0B26" w:rsidP="004A0B26">
      <w:pPr>
        <w:snapToGrid w:val="0"/>
        <w:spacing w:line="460" w:lineRule="exact"/>
        <w:ind w:firstLineChars="200" w:firstLine="480"/>
        <w:rPr>
          <w:sz w:val="24"/>
        </w:rPr>
      </w:pPr>
      <w:r>
        <w:rPr>
          <w:rFonts w:hint="eastAsia"/>
          <w:sz w:val="24"/>
        </w:rPr>
        <w:t>部分实行风险警示业务涉及远期业务指令，相关远期业务指令须录入到监管业务系统中，操作形成指令（包括变更证券简称、涨跌幅限制和启用日），还建议监管人员通过“个人业务备忘”进行远期提醒。监管人员和复核人员应保证远期业务指令的相关操作及时、正确，防范后续处理风险。</w:t>
      </w:r>
    </w:p>
    <w:p w:rsidR="004A0B26" w:rsidRDefault="004A0B26" w:rsidP="004A0B26">
      <w:pPr>
        <w:snapToGrid w:val="0"/>
        <w:spacing w:line="460" w:lineRule="exact"/>
        <w:ind w:firstLineChars="200" w:firstLine="480"/>
        <w:rPr>
          <w:sz w:val="24"/>
        </w:rPr>
      </w:pPr>
      <w:r>
        <w:rPr>
          <w:rFonts w:hint="eastAsia"/>
          <w:sz w:val="24"/>
        </w:rPr>
        <w:t>3</w:t>
      </w:r>
      <w:r>
        <w:rPr>
          <w:rFonts w:hint="eastAsia"/>
          <w:sz w:val="24"/>
        </w:rPr>
        <w:t>、持续监管。</w:t>
      </w:r>
    </w:p>
    <w:p w:rsidR="004A0B26" w:rsidRDefault="004A0B26" w:rsidP="004A0B26">
      <w:pPr>
        <w:snapToGrid w:val="0"/>
        <w:spacing w:line="460" w:lineRule="exact"/>
        <w:ind w:firstLineChars="200" w:firstLine="480"/>
        <w:rPr>
          <w:sz w:val="24"/>
        </w:rPr>
      </w:pPr>
      <w:r>
        <w:rPr>
          <w:rFonts w:hint="eastAsia"/>
          <w:sz w:val="24"/>
        </w:rPr>
        <w:t>部分风险警示业务涉及持续监管。如果需要，监管人员应根据实行或撤销风险警示的不同情形，按时间要求督促公司履行相关披露义务。</w:t>
      </w:r>
    </w:p>
    <w:p w:rsidR="004A0B26" w:rsidRPr="00D35833" w:rsidRDefault="004A0B26" w:rsidP="004A0B26">
      <w:pPr>
        <w:snapToGrid w:val="0"/>
        <w:spacing w:line="460" w:lineRule="exact"/>
        <w:ind w:firstLineChars="225" w:firstLine="540"/>
        <w:rPr>
          <w:sz w:val="24"/>
        </w:rPr>
      </w:pPr>
    </w:p>
    <w:p w:rsidR="004A0B26" w:rsidRPr="00A257D1" w:rsidRDefault="004A0B26" w:rsidP="004A0B26">
      <w:pPr>
        <w:spacing w:line="360" w:lineRule="auto"/>
        <w:rPr>
          <w:sz w:val="24"/>
        </w:rPr>
      </w:pPr>
    </w:p>
    <w:p w:rsidR="004A0B26" w:rsidRDefault="004A0B26" w:rsidP="004A0B26">
      <w:pPr>
        <w:spacing w:line="360" w:lineRule="auto"/>
        <w:ind w:firstLineChars="200" w:firstLine="480"/>
        <w:rPr>
          <w:sz w:val="24"/>
        </w:rPr>
      </w:pPr>
      <w:r>
        <w:rPr>
          <w:rFonts w:hint="eastAsia"/>
          <w:sz w:val="24"/>
        </w:rPr>
        <w:t>（二）实行风险警示的流程</w:t>
      </w:r>
    </w:p>
    <w:p w:rsidR="004A0B26" w:rsidRDefault="004A0B26" w:rsidP="004A0B26">
      <w:pPr>
        <w:spacing w:line="360" w:lineRule="auto"/>
        <w:ind w:firstLineChars="200" w:firstLine="480"/>
        <w:rPr>
          <w:sz w:val="24"/>
        </w:rPr>
      </w:pPr>
      <w:r>
        <w:rPr>
          <w:rFonts w:hint="eastAsia"/>
          <w:sz w:val="24"/>
        </w:rPr>
        <w:t>实行风险警示业务经业务受理、业务讨论（如适用）、业务复核、部门审批、知会结算公司与系统运行部、录入远期业务指令（如适用）、刊登实行风险警示公告、持续监管（如适用）等程序。</w:t>
      </w:r>
    </w:p>
    <w:p w:rsidR="004A0B26" w:rsidRPr="00593A76" w:rsidRDefault="004A0B26" w:rsidP="004A0B26">
      <w:pPr>
        <w:spacing w:line="360" w:lineRule="auto"/>
        <w:ind w:firstLineChars="200" w:firstLine="480"/>
        <w:rPr>
          <w:sz w:val="24"/>
        </w:rPr>
      </w:pPr>
    </w:p>
    <w:p w:rsidR="004A0B26" w:rsidRDefault="004A0B26" w:rsidP="004A0B26">
      <w:pPr>
        <w:spacing w:line="360" w:lineRule="auto"/>
        <w:ind w:firstLineChars="200" w:firstLine="480"/>
        <w:rPr>
          <w:sz w:val="24"/>
        </w:rPr>
      </w:pPr>
      <w:r>
        <w:rPr>
          <w:rFonts w:hint="eastAsia"/>
          <w:sz w:val="24"/>
        </w:rPr>
        <w:t>1</w:t>
      </w:r>
      <w:r>
        <w:rPr>
          <w:rFonts w:hint="eastAsia"/>
          <w:sz w:val="24"/>
        </w:rPr>
        <w:t>、业务受理。</w:t>
      </w:r>
    </w:p>
    <w:p w:rsidR="004A0B26" w:rsidRDefault="004A0B26" w:rsidP="004A0B26">
      <w:pPr>
        <w:spacing w:line="360" w:lineRule="auto"/>
        <w:ind w:firstLineChars="200" w:firstLine="480"/>
        <w:rPr>
          <w:sz w:val="24"/>
        </w:rPr>
      </w:pPr>
      <w:r>
        <w:rPr>
          <w:rFonts w:hint="eastAsia"/>
          <w:sz w:val="24"/>
        </w:rPr>
        <w:t>公司年报披露为实行风险警示业务较为集中时期，监管人员在受理年报披露时应对是否属于实行风险警示的情形予以足够关注。其他类型风险警示实行时点差异较大，监管人员应关注具体情况。</w:t>
      </w:r>
    </w:p>
    <w:p w:rsidR="004A0B26" w:rsidRPr="00AD0F9C" w:rsidRDefault="004A0B26" w:rsidP="004A0B26">
      <w:pPr>
        <w:spacing w:line="360" w:lineRule="auto"/>
        <w:ind w:firstLineChars="200" w:firstLine="480"/>
        <w:rPr>
          <w:sz w:val="24"/>
        </w:rPr>
      </w:pPr>
    </w:p>
    <w:p w:rsidR="004A0B26" w:rsidRDefault="004A0B26" w:rsidP="004A0B26">
      <w:pPr>
        <w:spacing w:line="360" w:lineRule="auto"/>
        <w:ind w:firstLineChars="200" w:firstLine="480"/>
        <w:rPr>
          <w:sz w:val="24"/>
        </w:rPr>
      </w:pPr>
      <w:r>
        <w:rPr>
          <w:rFonts w:hint="eastAsia"/>
          <w:sz w:val="24"/>
        </w:rPr>
        <w:t>2</w:t>
      </w:r>
      <w:r>
        <w:rPr>
          <w:rFonts w:hint="eastAsia"/>
          <w:sz w:val="24"/>
        </w:rPr>
        <w:t>、业务讨论。</w:t>
      </w:r>
    </w:p>
    <w:p w:rsidR="004A0B26" w:rsidRDefault="004A0B26" w:rsidP="004A0B26">
      <w:pPr>
        <w:spacing w:line="360" w:lineRule="auto"/>
        <w:ind w:firstLineChars="200" w:firstLine="480"/>
        <w:rPr>
          <w:sz w:val="24"/>
        </w:rPr>
      </w:pPr>
      <w:r>
        <w:rPr>
          <w:rFonts w:hint="eastAsia"/>
          <w:sz w:val="24"/>
        </w:rPr>
        <w:t>涉及复杂会计、法律或其他问题导致监管人员难以做出是否实行风险警示判断的，建议监管人员提交部门会计小组讨论后再形成审查意见。</w:t>
      </w:r>
    </w:p>
    <w:p w:rsidR="004A0B26" w:rsidRDefault="004A0B26" w:rsidP="004A0B26">
      <w:pPr>
        <w:spacing w:line="360" w:lineRule="auto"/>
        <w:ind w:firstLineChars="200" w:firstLine="480"/>
        <w:rPr>
          <w:sz w:val="24"/>
        </w:rPr>
      </w:pPr>
      <w:r>
        <w:rPr>
          <w:rFonts w:hint="eastAsia"/>
          <w:sz w:val="24"/>
        </w:rPr>
        <w:t>3</w:t>
      </w:r>
      <w:r>
        <w:rPr>
          <w:rFonts w:hint="eastAsia"/>
          <w:sz w:val="24"/>
        </w:rPr>
        <w:t>、《</w:t>
      </w:r>
      <w:r w:rsidRPr="00F509C8">
        <w:rPr>
          <w:rFonts w:hint="eastAsia"/>
          <w:sz w:val="24"/>
        </w:rPr>
        <w:t>上市公司股票交易实行</w:t>
      </w:r>
      <w:r>
        <w:rPr>
          <w:rFonts w:hint="eastAsia"/>
          <w:sz w:val="24"/>
        </w:rPr>
        <w:t>风险警示</w:t>
      </w:r>
      <w:r w:rsidRPr="00F509C8">
        <w:rPr>
          <w:rFonts w:hint="eastAsia"/>
          <w:sz w:val="24"/>
        </w:rPr>
        <w:t>审查表</w:t>
      </w:r>
      <w:r>
        <w:rPr>
          <w:rFonts w:hint="eastAsia"/>
          <w:sz w:val="24"/>
        </w:rPr>
        <w:t>》</w:t>
      </w:r>
    </w:p>
    <w:p w:rsidR="004A0B26" w:rsidRDefault="004A0B26" w:rsidP="004A0B26">
      <w:pPr>
        <w:spacing w:line="360" w:lineRule="auto"/>
        <w:ind w:firstLineChars="200" w:firstLine="480"/>
        <w:rPr>
          <w:sz w:val="24"/>
        </w:rPr>
      </w:pPr>
      <w:r>
        <w:rPr>
          <w:rFonts w:hint="eastAsia"/>
          <w:sz w:val="24"/>
        </w:rPr>
        <w:t>监管人员实行风险警示应出具《</w:t>
      </w:r>
      <w:r w:rsidRPr="00F509C8">
        <w:rPr>
          <w:rFonts w:hint="eastAsia"/>
          <w:sz w:val="24"/>
        </w:rPr>
        <w:t>上市公司股票交易实行</w:t>
      </w:r>
      <w:r>
        <w:rPr>
          <w:rFonts w:hint="eastAsia"/>
          <w:sz w:val="24"/>
        </w:rPr>
        <w:t>风险警示</w:t>
      </w:r>
      <w:r w:rsidRPr="00F509C8">
        <w:rPr>
          <w:rFonts w:hint="eastAsia"/>
          <w:sz w:val="24"/>
        </w:rPr>
        <w:t>审查表</w:t>
      </w:r>
      <w:r>
        <w:rPr>
          <w:rFonts w:hint="eastAsia"/>
          <w:sz w:val="24"/>
        </w:rPr>
        <w:t>》，格式见附件</w:t>
      </w:r>
      <w:r>
        <w:rPr>
          <w:rFonts w:hint="eastAsia"/>
          <w:sz w:val="24"/>
        </w:rPr>
        <w:t>2</w:t>
      </w:r>
      <w:r>
        <w:rPr>
          <w:rFonts w:hint="eastAsia"/>
          <w:sz w:val="24"/>
        </w:rPr>
        <w:t>。</w:t>
      </w:r>
    </w:p>
    <w:p w:rsidR="004A0B26" w:rsidRDefault="004A0B26" w:rsidP="004A0B26">
      <w:pPr>
        <w:spacing w:line="360" w:lineRule="auto"/>
        <w:ind w:firstLineChars="200" w:firstLine="480"/>
        <w:rPr>
          <w:sz w:val="24"/>
        </w:rPr>
      </w:pPr>
      <w:r>
        <w:rPr>
          <w:rFonts w:hint="eastAsia"/>
          <w:sz w:val="24"/>
        </w:rPr>
        <w:t>4</w:t>
      </w:r>
      <w:r>
        <w:rPr>
          <w:rFonts w:hint="eastAsia"/>
          <w:sz w:val="24"/>
        </w:rPr>
        <w:t>、实行风险警示的停牌设置</w:t>
      </w:r>
    </w:p>
    <w:p w:rsidR="004A0B26" w:rsidRDefault="004A0B26" w:rsidP="004A0B26">
      <w:pPr>
        <w:spacing w:line="360" w:lineRule="auto"/>
        <w:ind w:firstLineChars="200" w:firstLine="480"/>
        <w:rPr>
          <w:sz w:val="24"/>
        </w:rPr>
      </w:pPr>
      <w:r w:rsidRPr="00ED46C0">
        <w:rPr>
          <w:rFonts w:hint="eastAsia"/>
          <w:sz w:val="24"/>
        </w:rPr>
        <w:t>（</w:t>
      </w:r>
      <w:r>
        <w:rPr>
          <w:rFonts w:hint="eastAsia"/>
          <w:sz w:val="24"/>
        </w:rPr>
        <w:t>1</w:t>
      </w:r>
      <w:r w:rsidRPr="00ED46C0">
        <w:rPr>
          <w:rFonts w:hint="eastAsia"/>
          <w:sz w:val="24"/>
        </w:rPr>
        <w:t>）</w:t>
      </w:r>
      <w:r>
        <w:rPr>
          <w:rFonts w:hint="eastAsia"/>
          <w:sz w:val="24"/>
        </w:rPr>
        <w:t>实行风险警示首日（股票实行风险警示的首个交易日）为公告日的次一交易日。如实行首日为</w:t>
      </w:r>
      <w:r>
        <w:rPr>
          <w:rFonts w:hint="eastAsia"/>
          <w:sz w:val="24"/>
        </w:rPr>
        <w:t>T</w:t>
      </w:r>
      <w:r>
        <w:rPr>
          <w:rFonts w:hint="eastAsia"/>
          <w:sz w:val="24"/>
        </w:rPr>
        <w:t>日，</w:t>
      </w:r>
      <w:r>
        <w:rPr>
          <w:rFonts w:hint="eastAsia"/>
          <w:sz w:val="24"/>
        </w:rPr>
        <w:t>T</w:t>
      </w:r>
      <w:r>
        <w:rPr>
          <w:rFonts w:hint="eastAsia"/>
          <w:sz w:val="24"/>
        </w:rPr>
        <w:t>日为交易日，受理日应为</w:t>
      </w:r>
      <w:r>
        <w:rPr>
          <w:rFonts w:hint="eastAsia"/>
          <w:sz w:val="24"/>
        </w:rPr>
        <w:t>T</w:t>
      </w:r>
      <w:r>
        <w:rPr>
          <w:rFonts w:hint="eastAsia"/>
          <w:sz w:val="24"/>
        </w:rPr>
        <w:t>－</w:t>
      </w:r>
      <w:r>
        <w:rPr>
          <w:rFonts w:hint="eastAsia"/>
          <w:sz w:val="24"/>
        </w:rPr>
        <w:t>2</w:t>
      </w:r>
      <w:r>
        <w:rPr>
          <w:rFonts w:hint="eastAsia"/>
          <w:sz w:val="24"/>
        </w:rPr>
        <w:t>日或之前。</w:t>
      </w:r>
    </w:p>
    <w:p w:rsidR="004A0B26" w:rsidRDefault="004A0B26" w:rsidP="004A0B26">
      <w:pPr>
        <w:spacing w:line="360" w:lineRule="auto"/>
        <w:ind w:firstLineChars="200" w:firstLine="480"/>
        <w:rPr>
          <w:sz w:val="24"/>
        </w:rPr>
      </w:pPr>
      <w:r>
        <w:rPr>
          <w:rFonts w:hint="eastAsia"/>
          <w:sz w:val="24"/>
        </w:rPr>
        <w:t>如果公告日为交易日，公告日当天需停牌一天；如果公告日为非交易日，则公告日的次一交易日需停牌一天。实行风险警示的</w:t>
      </w:r>
      <w:r w:rsidRPr="00F16A11">
        <w:rPr>
          <w:rFonts w:hint="eastAsia"/>
          <w:sz w:val="24"/>
        </w:rPr>
        <w:t>股票</w:t>
      </w:r>
      <w:r>
        <w:rPr>
          <w:rFonts w:hint="eastAsia"/>
          <w:sz w:val="24"/>
        </w:rPr>
        <w:t>，其股票、可转债、权证等相关衍生品的</w:t>
      </w:r>
      <w:r w:rsidRPr="00F16A11">
        <w:rPr>
          <w:rFonts w:hint="eastAsia"/>
          <w:sz w:val="24"/>
        </w:rPr>
        <w:t>停牌</w:t>
      </w:r>
      <w:r>
        <w:rPr>
          <w:rFonts w:hint="eastAsia"/>
          <w:sz w:val="24"/>
        </w:rPr>
        <w:t>应同步处理。</w:t>
      </w:r>
    </w:p>
    <w:p w:rsidR="004A0B26" w:rsidRPr="00ED46C0" w:rsidRDefault="004A0B26" w:rsidP="004A0B26">
      <w:pPr>
        <w:snapToGrid w:val="0"/>
        <w:spacing w:line="460" w:lineRule="exact"/>
        <w:ind w:firstLineChars="200" w:firstLine="480"/>
        <w:rPr>
          <w:sz w:val="24"/>
        </w:rPr>
      </w:pPr>
      <w:r w:rsidRPr="00ED46C0">
        <w:rPr>
          <w:rFonts w:hint="eastAsia"/>
          <w:sz w:val="24"/>
        </w:rPr>
        <w:t>上市公司申请对其股票交易撤销退市风险警示后，应当于次一交易日披露相关公告。</w:t>
      </w:r>
    </w:p>
    <w:p w:rsidR="004A0B26" w:rsidRDefault="004A0B26" w:rsidP="004A0B26">
      <w:pPr>
        <w:spacing w:line="360" w:lineRule="auto"/>
        <w:ind w:firstLineChars="200" w:firstLine="480"/>
        <w:rPr>
          <w:sz w:val="24"/>
        </w:rPr>
      </w:pPr>
      <w:r>
        <w:rPr>
          <w:rFonts w:hint="eastAsia"/>
          <w:sz w:val="24"/>
        </w:rPr>
        <w:t>5</w:t>
      </w:r>
      <w:r>
        <w:rPr>
          <w:rFonts w:hint="eastAsia"/>
          <w:sz w:val="24"/>
        </w:rPr>
        <w:t>、实行风险警示的简称和涨跌幅限制的修改</w:t>
      </w:r>
    </w:p>
    <w:p w:rsidR="004A0B26" w:rsidRDefault="004A0B26" w:rsidP="004A0B26">
      <w:pPr>
        <w:spacing w:line="360" w:lineRule="auto"/>
        <w:ind w:firstLineChars="200" w:firstLine="480"/>
        <w:rPr>
          <w:sz w:val="24"/>
        </w:rPr>
      </w:pPr>
      <w:r>
        <w:rPr>
          <w:rFonts w:hint="eastAsia"/>
          <w:sz w:val="24"/>
        </w:rPr>
        <w:t>实行风险警示都需要</w:t>
      </w:r>
      <w:r w:rsidRPr="00F16A11">
        <w:rPr>
          <w:rFonts w:hint="eastAsia"/>
          <w:sz w:val="24"/>
        </w:rPr>
        <w:t>变更</w:t>
      </w:r>
      <w:r>
        <w:rPr>
          <w:rFonts w:hint="eastAsia"/>
          <w:sz w:val="24"/>
        </w:rPr>
        <w:t>证券</w:t>
      </w:r>
      <w:r w:rsidRPr="00F16A11">
        <w:rPr>
          <w:rFonts w:hint="eastAsia"/>
          <w:sz w:val="24"/>
        </w:rPr>
        <w:t>简称</w:t>
      </w:r>
      <w:r>
        <w:rPr>
          <w:rFonts w:hint="eastAsia"/>
          <w:sz w:val="24"/>
        </w:rPr>
        <w:t>，相关审查表同时用作证券简称修改记录表，涉及债券的，其流程按照《债券业务备忘录第</w:t>
      </w:r>
      <w:r>
        <w:rPr>
          <w:rFonts w:hint="eastAsia"/>
          <w:sz w:val="24"/>
        </w:rPr>
        <w:t>1</w:t>
      </w:r>
      <w:r>
        <w:rPr>
          <w:rFonts w:hint="eastAsia"/>
          <w:sz w:val="24"/>
        </w:rPr>
        <w:t>号》执行，简称变更只涉及正股和债券，不涉及其他衍生品种。</w:t>
      </w:r>
    </w:p>
    <w:p w:rsidR="004A0B26" w:rsidRDefault="004A0B26" w:rsidP="004A0B26">
      <w:pPr>
        <w:snapToGrid w:val="0"/>
        <w:spacing w:line="460" w:lineRule="exact"/>
        <w:ind w:firstLineChars="200" w:firstLine="480"/>
        <w:rPr>
          <w:sz w:val="24"/>
        </w:rPr>
      </w:pPr>
      <w:r>
        <w:rPr>
          <w:rFonts w:hint="eastAsia"/>
          <w:sz w:val="24"/>
        </w:rPr>
        <w:t>注意，若</w:t>
      </w:r>
      <w:r w:rsidRPr="00ED46C0">
        <w:rPr>
          <w:rFonts w:hint="eastAsia"/>
          <w:sz w:val="24"/>
        </w:rPr>
        <w:t>决定不予撤销退市风险警示的，</w:t>
      </w:r>
      <w:r>
        <w:rPr>
          <w:rFonts w:hint="eastAsia"/>
          <w:sz w:val="24"/>
        </w:rPr>
        <w:t>应要求</w:t>
      </w:r>
      <w:r w:rsidRPr="00ED46C0">
        <w:rPr>
          <w:rFonts w:hint="eastAsia"/>
          <w:sz w:val="24"/>
        </w:rPr>
        <w:t>上市公司在收到本所有关书面通知的次一交易日作出公告。</w:t>
      </w:r>
    </w:p>
    <w:p w:rsidR="004A0B26" w:rsidRPr="007E7E01" w:rsidRDefault="004A0B26" w:rsidP="004A0B26">
      <w:pPr>
        <w:spacing w:line="360" w:lineRule="auto"/>
        <w:ind w:firstLineChars="200" w:firstLine="480"/>
        <w:rPr>
          <w:sz w:val="24"/>
        </w:rPr>
      </w:pPr>
    </w:p>
    <w:p w:rsidR="004A0B26" w:rsidRPr="00AF03C4" w:rsidRDefault="004A0B26" w:rsidP="004A0B26">
      <w:pPr>
        <w:spacing w:line="480" w:lineRule="auto"/>
        <w:ind w:firstLineChars="200" w:firstLine="480"/>
        <w:rPr>
          <w:sz w:val="24"/>
        </w:rPr>
      </w:pPr>
      <w:r>
        <w:rPr>
          <w:rFonts w:hint="eastAsia"/>
          <w:sz w:val="24"/>
        </w:rPr>
        <w:t>6</w:t>
      </w:r>
      <w:r>
        <w:rPr>
          <w:rFonts w:hint="eastAsia"/>
          <w:sz w:val="24"/>
        </w:rPr>
        <w:t>、远期指令－－《</w:t>
      </w:r>
      <w:r w:rsidRPr="00AF03C4">
        <w:rPr>
          <w:rFonts w:hint="eastAsia"/>
          <w:sz w:val="24"/>
        </w:rPr>
        <w:t>实行</w:t>
      </w:r>
      <w:r>
        <w:rPr>
          <w:rFonts w:hint="eastAsia"/>
          <w:sz w:val="24"/>
        </w:rPr>
        <w:t>风险警示</w:t>
      </w:r>
      <w:r w:rsidRPr="00AF03C4">
        <w:rPr>
          <w:rFonts w:hint="eastAsia"/>
          <w:sz w:val="24"/>
        </w:rPr>
        <w:t>后续业务流程表》</w:t>
      </w:r>
      <w:r>
        <w:rPr>
          <w:rFonts w:hint="eastAsia"/>
          <w:sz w:val="24"/>
        </w:rPr>
        <w:t>。</w:t>
      </w:r>
    </w:p>
    <w:p w:rsidR="004A0B26" w:rsidRDefault="004A0B26" w:rsidP="004A0B26">
      <w:pPr>
        <w:spacing w:line="360" w:lineRule="auto"/>
        <w:ind w:firstLineChars="200" w:firstLine="480"/>
        <w:rPr>
          <w:sz w:val="24"/>
        </w:rPr>
      </w:pPr>
      <w:r>
        <w:rPr>
          <w:rFonts w:hint="eastAsia"/>
          <w:sz w:val="24"/>
        </w:rPr>
        <w:t>如果业务需要，监管人员应手工形成远期指令纸面文件《实行风险警示后续业务处理流程表》，经分管复核人员复核后，监管人员据此在业务管理系统“个人备忘管理”中录入远期指令。监管人员在跟踪后续业务时，关注个人备忘相关提示。《实行风险警示后续业务处理流程表》格式见附件</w:t>
      </w:r>
      <w:r>
        <w:rPr>
          <w:rFonts w:hint="eastAsia"/>
          <w:sz w:val="24"/>
        </w:rPr>
        <w:t>3</w:t>
      </w:r>
      <w:r>
        <w:rPr>
          <w:rFonts w:hint="eastAsia"/>
          <w:sz w:val="24"/>
        </w:rPr>
        <w:t>。</w:t>
      </w:r>
    </w:p>
    <w:p w:rsidR="004A0B26" w:rsidRDefault="004A0B26" w:rsidP="004A0B26">
      <w:pPr>
        <w:spacing w:line="360" w:lineRule="auto"/>
        <w:ind w:firstLineChars="200" w:firstLine="480"/>
        <w:rPr>
          <w:sz w:val="24"/>
        </w:rPr>
      </w:pPr>
      <w:r>
        <w:rPr>
          <w:rFonts w:hint="eastAsia"/>
          <w:sz w:val="24"/>
        </w:rPr>
        <w:t>根据《上市规则》，实行风险警示业务需要在系统中录入远期披露或停牌的情形包括：</w:t>
      </w:r>
    </w:p>
    <w:p w:rsidR="004A0B26" w:rsidRDefault="004A0B26" w:rsidP="004A0B26">
      <w:pPr>
        <w:spacing w:line="360" w:lineRule="auto"/>
        <w:ind w:firstLineChars="200" w:firstLine="480"/>
        <w:rPr>
          <w:sz w:val="24"/>
        </w:rPr>
      </w:pPr>
      <w:r w:rsidRPr="00ED46C0">
        <w:rPr>
          <w:rFonts w:hint="eastAsia"/>
          <w:sz w:val="24"/>
        </w:rPr>
        <w:t>（</w:t>
      </w:r>
      <w:r>
        <w:rPr>
          <w:rFonts w:hint="eastAsia"/>
          <w:sz w:val="24"/>
        </w:rPr>
        <w:t>1</w:t>
      </w:r>
      <w:r w:rsidRPr="00ED46C0">
        <w:rPr>
          <w:rFonts w:hint="eastAsia"/>
          <w:sz w:val="24"/>
        </w:rPr>
        <w:t>）</w:t>
      </w:r>
      <w:r>
        <w:rPr>
          <w:rFonts w:hint="eastAsia"/>
          <w:sz w:val="24"/>
        </w:rPr>
        <w:t>被中国证监会责令改正财务会计报告但未在规定期限内改正且公司股票已停牌两个月，停牌届满的次一交易日被实行退市风险警示的，在实行退市风险警示后两个月内仍未按要求改正其财务报告的，根据《上市规则》，本所在两个月期满后次一交易日对公司股票及其衍生品种实行停牌，并在停牌后</w:t>
      </w:r>
      <w:r>
        <w:rPr>
          <w:rFonts w:hint="eastAsia"/>
          <w:sz w:val="24"/>
        </w:rPr>
        <w:t>15</w:t>
      </w:r>
      <w:r>
        <w:rPr>
          <w:rFonts w:hint="eastAsia"/>
          <w:sz w:val="24"/>
        </w:rPr>
        <w:t>个交易日内做出是否暂停其股票上市的决定。</w:t>
      </w:r>
    </w:p>
    <w:p w:rsidR="004A0B26" w:rsidRDefault="004A0B26" w:rsidP="004A0B26">
      <w:pPr>
        <w:spacing w:line="360" w:lineRule="auto"/>
        <w:ind w:firstLineChars="200" w:firstLine="480"/>
        <w:rPr>
          <w:sz w:val="24"/>
        </w:rPr>
      </w:pPr>
      <w:r w:rsidRPr="00ED46C0">
        <w:rPr>
          <w:rFonts w:hint="eastAsia"/>
          <w:sz w:val="24"/>
        </w:rPr>
        <w:t>（</w:t>
      </w:r>
      <w:r>
        <w:rPr>
          <w:rFonts w:hint="eastAsia"/>
          <w:sz w:val="24"/>
        </w:rPr>
        <w:t>2</w:t>
      </w:r>
      <w:r w:rsidRPr="00ED46C0">
        <w:rPr>
          <w:rFonts w:hint="eastAsia"/>
          <w:sz w:val="24"/>
        </w:rPr>
        <w:t>）</w:t>
      </w:r>
      <w:r>
        <w:rPr>
          <w:rFonts w:hint="eastAsia"/>
          <w:sz w:val="24"/>
        </w:rPr>
        <w:t>未在法定期限内披露年度报告或者中期报告且已经停牌两个月，停牌届满的次一交易日被实行退市风险警示，在实行退市风险警示后两个月内仍未披露相关定期报告的，根据《上市规则》，本所在两个月期满后次一交易日对公司股票及其衍生品种实施停牌，并在停牌后</w:t>
      </w:r>
      <w:r>
        <w:rPr>
          <w:rFonts w:hint="eastAsia"/>
          <w:sz w:val="24"/>
        </w:rPr>
        <w:t>15</w:t>
      </w:r>
      <w:r>
        <w:rPr>
          <w:rFonts w:hint="eastAsia"/>
          <w:sz w:val="24"/>
        </w:rPr>
        <w:t>个交易日内做出是否暂停其股票上市的决定。</w:t>
      </w:r>
    </w:p>
    <w:p w:rsidR="004A0B26" w:rsidRDefault="004A0B26" w:rsidP="004A0B26">
      <w:pPr>
        <w:spacing w:line="360" w:lineRule="auto"/>
        <w:ind w:firstLineChars="200" w:firstLine="480"/>
        <w:rPr>
          <w:sz w:val="24"/>
        </w:rPr>
      </w:pPr>
      <w:r w:rsidRPr="00ED46C0">
        <w:rPr>
          <w:rFonts w:hint="eastAsia"/>
          <w:sz w:val="24"/>
        </w:rPr>
        <w:t>（</w:t>
      </w:r>
      <w:r>
        <w:rPr>
          <w:rFonts w:hint="eastAsia"/>
          <w:sz w:val="24"/>
        </w:rPr>
        <w:t>3</w:t>
      </w:r>
      <w:r w:rsidRPr="00ED46C0">
        <w:rPr>
          <w:rFonts w:hint="eastAsia"/>
          <w:sz w:val="24"/>
        </w:rPr>
        <w:t>）</w:t>
      </w:r>
      <w:r>
        <w:rPr>
          <w:rFonts w:hint="eastAsia"/>
          <w:sz w:val="24"/>
        </w:rPr>
        <w:t>因股权分布不具备上市条件公司在规定期限内提出并实施股权分布问题解决方案而被实行退市风险警示，在实行退市风险警示交易后的</w:t>
      </w:r>
      <w:r>
        <w:rPr>
          <w:rFonts w:hint="eastAsia"/>
          <w:sz w:val="24"/>
        </w:rPr>
        <w:t>6</w:t>
      </w:r>
      <w:r>
        <w:rPr>
          <w:rFonts w:hint="eastAsia"/>
          <w:sz w:val="24"/>
        </w:rPr>
        <w:t>个月内其股权分布仍不能符合上市条件的，根据《上市规则》，本所在六个月期满后次一交易日对公司股票及其衍生品种实施停牌，并在停牌后</w:t>
      </w:r>
      <w:r>
        <w:rPr>
          <w:rFonts w:hint="eastAsia"/>
          <w:sz w:val="24"/>
        </w:rPr>
        <w:t>15</w:t>
      </w:r>
      <w:r>
        <w:rPr>
          <w:rFonts w:hint="eastAsia"/>
          <w:sz w:val="24"/>
        </w:rPr>
        <w:t>个交易日内做出是否暂停其股票上市的决定。</w:t>
      </w:r>
    </w:p>
    <w:p w:rsidR="004A0B26" w:rsidRDefault="004A0B26" w:rsidP="004A0B26">
      <w:pPr>
        <w:spacing w:line="360" w:lineRule="auto"/>
        <w:ind w:firstLineChars="200" w:firstLine="480"/>
        <w:rPr>
          <w:sz w:val="24"/>
        </w:rPr>
      </w:pPr>
      <w:r>
        <w:rPr>
          <w:rFonts w:hint="eastAsia"/>
          <w:sz w:val="24"/>
        </w:rPr>
        <w:t>5</w:t>
      </w:r>
      <w:r>
        <w:rPr>
          <w:rFonts w:hint="eastAsia"/>
          <w:sz w:val="24"/>
        </w:rPr>
        <w:t>、融资融券品种的通知要求</w:t>
      </w:r>
    </w:p>
    <w:p w:rsidR="004A0B26" w:rsidRDefault="004A0B26" w:rsidP="004A0B26">
      <w:pPr>
        <w:spacing w:line="360" w:lineRule="auto"/>
        <w:ind w:firstLineChars="200" w:firstLine="480"/>
        <w:rPr>
          <w:sz w:val="24"/>
        </w:rPr>
      </w:pPr>
      <w:r>
        <w:rPr>
          <w:rFonts w:hint="eastAsia"/>
          <w:sz w:val="24"/>
        </w:rPr>
        <w:t>如果实行风险警示的证券涉及</w:t>
      </w:r>
      <w:r w:rsidRPr="000B3C48">
        <w:rPr>
          <w:rFonts w:hint="eastAsia"/>
          <w:sz w:val="24"/>
        </w:rPr>
        <w:t>融资融券标的证券</w:t>
      </w:r>
      <w:r>
        <w:rPr>
          <w:rFonts w:hint="eastAsia"/>
          <w:sz w:val="24"/>
        </w:rPr>
        <w:t>，需要通知</w:t>
      </w:r>
      <w:r w:rsidRPr="000B3C48">
        <w:rPr>
          <w:rFonts w:hint="eastAsia"/>
          <w:sz w:val="24"/>
        </w:rPr>
        <w:t>会员管理部</w:t>
      </w:r>
      <w:r>
        <w:rPr>
          <w:rFonts w:hint="eastAsia"/>
          <w:sz w:val="24"/>
        </w:rPr>
        <w:t>签收。</w:t>
      </w:r>
    </w:p>
    <w:p w:rsidR="004A0B26" w:rsidRDefault="004A0B26" w:rsidP="004A0B26">
      <w:pPr>
        <w:spacing w:line="360" w:lineRule="auto"/>
        <w:ind w:firstLineChars="200" w:firstLine="480"/>
        <w:rPr>
          <w:rFonts w:ascii="宋体" w:hAnsi="宋体"/>
          <w:sz w:val="24"/>
        </w:rPr>
      </w:pPr>
      <w:r>
        <w:rPr>
          <w:rFonts w:hint="eastAsia"/>
          <w:sz w:val="24"/>
        </w:rPr>
        <w:t>具体流程见</w:t>
      </w:r>
      <w:r w:rsidRPr="0044665B">
        <w:rPr>
          <w:rFonts w:hint="eastAsia"/>
          <w:sz w:val="24"/>
        </w:rPr>
        <w:t>如下</w:t>
      </w:r>
      <w:r>
        <w:rPr>
          <w:rFonts w:hint="eastAsia"/>
          <w:sz w:val="24"/>
        </w:rPr>
        <w:t>（</w:t>
      </w:r>
      <w:r>
        <w:rPr>
          <w:rFonts w:ascii="宋体" w:hAnsi="宋体" w:hint="eastAsia"/>
          <w:sz w:val="24"/>
        </w:rPr>
        <w:t>T日为实行风险警示的首个交易日)：</w:t>
      </w:r>
    </w:p>
    <w:p w:rsidR="004A0B26" w:rsidRDefault="004A0B26" w:rsidP="004A0B26">
      <w:pPr>
        <w:spacing w:line="360" w:lineRule="auto"/>
        <w:ind w:firstLineChars="200" w:firstLine="480"/>
        <w:rPr>
          <w:rFonts w:ascii="宋体" w:hAnsi="宋体"/>
          <w:sz w:val="24"/>
        </w:rPr>
      </w:pPr>
    </w:p>
    <w:tbl>
      <w:tblPr>
        <w:tblW w:w="86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0"/>
        <w:gridCol w:w="720"/>
        <w:gridCol w:w="6300"/>
        <w:gridCol w:w="1260"/>
      </w:tblGrid>
      <w:tr w:rsidR="004A0B26" w:rsidTr="002B2FFE">
        <w:trPr>
          <w:trHeight w:val="608"/>
        </w:trPr>
        <w:tc>
          <w:tcPr>
            <w:tcW w:w="360" w:type="dxa"/>
            <w:vAlign w:val="center"/>
          </w:tcPr>
          <w:p w:rsidR="004A0B26" w:rsidRDefault="004A0B26" w:rsidP="002B2FFE">
            <w:pPr>
              <w:jc w:val="center"/>
              <w:rPr>
                <w:rFonts w:ascii="黑体" w:eastAsia="黑体" w:hAnsi="宋体"/>
                <w:b/>
                <w:bCs/>
              </w:rPr>
            </w:pPr>
            <w:r>
              <w:rPr>
                <w:rFonts w:ascii="黑体" w:eastAsia="黑体" w:hAnsi="宋体" w:hint="eastAsia"/>
                <w:b/>
                <w:bCs/>
              </w:rPr>
              <w:t>序号</w:t>
            </w:r>
          </w:p>
        </w:tc>
        <w:tc>
          <w:tcPr>
            <w:tcW w:w="720" w:type="dxa"/>
            <w:vAlign w:val="center"/>
          </w:tcPr>
          <w:p w:rsidR="004A0B26" w:rsidRDefault="004A0B26" w:rsidP="002B2FFE">
            <w:pPr>
              <w:jc w:val="center"/>
              <w:rPr>
                <w:rFonts w:ascii="黑体" w:eastAsia="黑体" w:hAnsi="宋体"/>
                <w:b/>
                <w:bCs/>
              </w:rPr>
            </w:pPr>
            <w:r>
              <w:rPr>
                <w:rFonts w:ascii="黑体" w:eastAsia="黑体" w:hAnsi="宋体" w:hint="eastAsia"/>
                <w:b/>
                <w:bCs/>
              </w:rPr>
              <w:t>时  间</w:t>
            </w:r>
          </w:p>
        </w:tc>
        <w:tc>
          <w:tcPr>
            <w:tcW w:w="6300" w:type="dxa"/>
            <w:vAlign w:val="center"/>
          </w:tcPr>
          <w:p w:rsidR="004A0B26" w:rsidRDefault="004A0B26" w:rsidP="002B2FFE">
            <w:pPr>
              <w:jc w:val="center"/>
              <w:rPr>
                <w:rFonts w:ascii="黑体" w:eastAsia="黑体" w:hAnsi="宋体"/>
                <w:b/>
                <w:bCs/>
              </w:rPr>
            </w:pPr>
            <w:r>
              <w:rPr>
                <w:rFonts w:ascii="黑体" w:eastAsia="黑体" w:hAnsi="宋体" w:hint="eastAsia"/>
                <w:b/>
                <w:bCs/>
              </w:rPr>
              <w:t>内     容</w:t>
            </w:r>
          </w:p>
        </w:tc>
        <w:tc>
          <w:tcPr>
            <w:tcW w:w="1260" w:type="dxa"/>
            <w:vAlign w:val="center"/>
          </w:tcPr>
          <w:p w:rsidR="004A0B26" w:rsidRDefault="004A0B26" w:rsidP="002B2FFE">
            <w:pPr>
              <w:ind w:leftChars="-51" w:left="-107"/>
              <w:jc w:val="center"/>
              <w:rPr>
                <w:rFonts w:ascii="黑体" w:eastAsia="黑体" w:hAnsi="宋体"/>
                <w:b/>
                <w:bCs/>
              </w:rPr>
            </w:pPr>
            <w:r>
              <w:rPr>
                <w:rFonts w:ascii="黑体" w:eastAsia="黑体" w:hAnsi="宋体" w:hint="eastAsia"/>
                <w:b/>
                <w:bCs/>
              </w:rPr>
              <w:t>操作部门</w:t>
            </w:r>
          </w:p>
        </w:tc>
      </w:tr>
      <w:tr w:rsidR="004A0B26" w:rsidTr="002B2FFE">
        <w:trPr>
          <w:trHeight w:val="621"/>
        </w:trPr>
        <w:tc>
          <w:tcPr>
            <w:tcW w:w="360" w:type="dxa"/>
            <w:vMerge w:val="restart"/>
            <w:vAlign w:val="center"/>
          </w:tcPr>
          <w:p w:rsidR="004A0B26" w:rsidRDefault="004A0B26" w:rsidP="002B2FFE">
            <w:pPr>
              <w:jc w:val="center"/>
              <w:rPr>
                <w:rFonts w:ascii="宋体" w:hAnsi="宋体"/>
              </w:rPr>
            </w:pPr>
            <w:r>
              <w:rPr>
                <w:rFonts w:ascii="宋体" w:hAnsi="宋体" w:hint="eastAsia"/>
              </w:rPr>
              <w:t>1</w:t>
            </w:r>
          </w:p>
          <w:p w:rsidR="004A0B26" w:rsidRDefault="004A0B26" w:rsidP="002B2FFE">
            <w:pPr>
              <w:jc w:val="center"/>
              <w:rPr>
                <w:rFonts w:ascii="宋体" w:hAnsi="宋体"/>
              </w:rPr>
            </w:pPr>
          </w:p>
        </w:tc>
        <w:tc>
          <w:tcPr>
            <w:tcW w:w="720" w:type="dxa"/>
            <w:vMerge w:val="restart"/>
            <w:vAlign w:val="center"/>
          </w:tcPr>
          <w:p w:rsidR="004A0B26" w:rsidRPr="003C18DB" w:rsidRDefault="004A0B26" w:rsidP="002B2FFE">
            <w:pPr>
              <w:jc w:val="center"/>
              <w:rPr>
                <w:rFonts w:ascii="宋体" w:hAnsi="宋体"/>
              </w:rPr>
            </w:pPr>
            <w:r w:rsidRPr="003C18DB">
              <w:rPr>
                <w:rFonts w:ascii="宋体" w:hAnsi="宋体" w:hint="eastAsia"/>
              </w:rPr>
              <w:t>T</w:t>
            </w:r>
            <w:r>
              <w:rPr>
                <w:rFonts w:ascii="宋体" w:hAnsi="宋体" w:hint="eastAsia"/>
              </w:rPr>
              <w:t>-2</w:t>
            </w:r>
            <w:r w:rsidRPr="003C18DB">
              <w:rPr>
                <w:rFonts w:ascii="宋体" w:hAnsi="宋体" w:hint="eastAsia"/>
              </w:rPr>
              <w:t>日</w:t>
            </w:r>
            <w:r>
              <w:rPr>
                <w:rFonts w:ascii="宋体" w:hAnsi="宋体" w:hint="eastAsia"/>
              </w:rPr>
              <w:t>或之前</w:t>
            </w:r>
          </w:p>
          <w:p w:rsidR="004A0B26" w:rsidRPr="003C18DB" w:rsidRDefault="004A0B26" w:rsidP="002B2FFE">
            <w:pPr>
              <w:jc w:val="center"/>
              <w:rPr>
                <w:rFonts w:ascii="宋体" w:hAnsi="宋体"/>
              </w:rPr>
            </w:pPr>
          </w:p>
        </w:tc>
        <w:tc>
          <w:tcPr>
            <w:tcW w:w="6300" w:type="dxa"/>
            <w:vAlign w:val="center"/>
          </w:tcPr>
          <w:p w:rsidR="004A0B26" w:rsidRDefault="004A0B26" w:rsidP="002B2FFE">
            <w:pPr>
              <w:rPr>
                <w:rFonts w:ascii="宋体" w:hAnsi="宋体"/>
              </w:rPr>
            </w:pPr>
          </w:p>
          <w:p w:rsidR="004A0B26" w:rsidRDefault="004A0B26" w:rsidP="004A0B26">
            <w:pPr>
              <w:numPr>
                <w:ilvl w:val="0"/>
                <w:numId w:val="1"/>
              </w:numPr>
              <w:rPr>
                <w:rFonts w:ascii="宋体" w:hAnsi="宋体"/>
              </w:rPr>
            </w:pPr>
            <w:r>
              <w:rPr>
                <w:rFonts w:ascii="宋体" w:hAnsi="宋体" w:hint="eastAsia"/>
              </w:rPr>
              <w:t>公司提交申请材料。</w:t>
            </w:r>
          </w:p>
          <w:p w:rsidR="004A0B26" w:rsidRDefault="004A0B26" w:rsidP="004A0B26">
            <w:pPr>
              <w:numPr>
                <w:ilvl w:val="0"/>
                <w:numId w:val="1"/>
              </w:numPr>
              <w:rPr>
                <w:rFonts w:ascii="宋体" w:hAnsi="宋体"/>
              </w:rPr>
            </w:pPr>
            <w:r>
              <w:rPr>
                <w:rFonts w:ascii="宋体" w:hAnsi="宋体" w:hint="eastAsia"/>
              </w:rPr>
              <w:t>复杂问题提交业务讨论（如适用）。</w:t>
            </w:r>
          </w:p>
          <w:p w:rsidR="004A0B26" w:rsidRDefault="004A0B26" w:rsidP="002B2FFE">
            <w:pPr>
              <w:rPr>
                <w:rFonts w:ascii="宋体" w:hAnsi="宋体"/>
              </w:rPr>
            </w:pPr>
          </w:p>
        </w:tc>
        <w:tc>
          <w:tcPr>
            <w:tcW w:w="1260" w:type="dxa"/>
            <w:vAlign w:val="center"/>
          </w:tcPr>
          <w:p w:rsidR="004A0B26" w:rsidRDefault="004A0B26" w:rsidP="002B2FFE">
            <w:pPr>
              <w:jc w:val="center"/>
              <w:rPr>
                <w:rFonts w:ascii="宋体" w:hAnsi="宋体"/>
              </w:rPr>
            </w:pPr>
            <w:r>
              <w:rPr>
                <w:rFonts w:ascii="宋体" w:hAnsi="宋体" w:hint="eastAsia"/>
              </w:rPr>
              <w:t>上市公司</w:t>
            </w:r>
          </w:p>
        </w:tc>
      </w:tr>
      <w:tr w:rsidR="004A0B26" w:rsidTr="002B2FFE">
        <w:trPr>
          <w:trHeight w:val="621"/>
        </w:trPr>
        <w:tc>
          <w:tcPr>
            <w:tcW w:w="360" w:type="dxa"/>
            <w:vMerge/>
            <w:vAlign w:val="center"/>
          </w:tcPr>
          <w:p w:rsidR="004A0B26" w:rsidRDefault="004A0B26" w:rsidP="002B2FFE">
            <w:pPr>
              <w:jc w:val="center"/>
              <w:rPr>
                <w:rFonts w:ascii="宋体" w:hAnsi="宋体"/>
              </w:rPr>
            </w:pPr>
          </w:p>
        </w:tc>
        <w:tc>
          <w:tcPr>
            <w:tcW w:w="720" w:type="dxa"/>
            <w:vMerge/>
            <w:vAlign w:val="center"/>
          </w:tcPr>
          <w:p w:rsidR="004A0B26" w:rsidRDefault="004A0B26" w:rsidP="002B2FFE">
            <w:pPr>
              <w:jc w:val="center"/>
              <w:rPr>
                <w:rFonts w:ascii="宋体" w:hAnsi="宋体"/>
                <w:color w:val="FF6600"/>
              </w:rPr>
            </w:pPr>
          </w:p>
        </w:tc>
        <w:tc>
          <w:tcPr>
            <w:tcW w:w="6300" w:type="dxa"/>
            <w:vAlign w:val="center"/>
          </w:tcPr>
          <w:p w:rsidR="004A0B26" w:rsidRDefault="004A0B26" w:rsidP="002B2FFE">
            <w:pPr>
              <w:rPr>
                <w:rFonts w:ascii="宋体" w:hAnsi="宋体"/>
              </w:rPr>
            </w:pPr>
          </w:p>
          <w:p w:rsidR="004A0B26" w:rsidRDefault="004A0B26" w:rsidP="002B2FFE">
            <w:pPr>
              <w:rPr>
                <w:rFonts w:ascii="宋体" w:hAnsi="宋体"/>
              </w:rPr>
            </w:pPr>
            <w:r>
              <w:rPr>
                <w:rFonts w:ascii="宋体" w:hAnsi="宋体" w:hint="eastAsia"/>
              </w:rPr>
              <w:t>1、监管人员受理申请，根据规则做出判断后审核，出具《上市公司股票交易实行风险警示审查表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2、分管复核人员复核《上市公司股票交易实行风险警示审查表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3、部门总监签批《上市公司股票交易实行风险警示审查表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4、信息披露操作员检查《上市公司股票交易实行风险警示审查表</w:t>
            </w:r>
            <w:r w:rsidRPr="00F75480">
              <w:rPr>
                <w:rFonts w:ascii="宋体" w:hAnsi="宋体" w:hint="eastAsia"/>
              </w:rPr>
              <w:t>》</w:t>
            </w:r>
            <w:r>
              <w:rPr>
                <w:rFonts w:ascii="宋体" w:hAnsi="宋体" w:hint="eastAsia"/>
              </w:rPr>
              <w:t>是否完成签批手续，审查表中的实施日期是否符合信息披露的相关要求，如检查发现问题，应当向监管人员核实并要求修改；如检查通过，则传真给结算公司、系统运行部，并确认对方收悉；回收对方确认的传真件并将其返回监管人员，信息披露操作人员做好业务通知表传递的登记工作；</w:t>
            </w:r>
          </w:p>
          <w:p w:rsidR="004A0B26" w:rsidRDefault="004A0B26" w:rsidP="002B2FFE">
            <w:pPr>
              <w:rPr>
                <w:rFonts w:ascii="宋体" w:hAnsi="宋体"/>
              </w:rPr>
            </w:pPr>
            <w:r>
              <w:rPr>
                <w:rFonts w:ascii="宋体" w:hAnsi="宋体" w:hint="eastAsia"/>
              </w:rPr>
              <w:t>5、（如适用）监管人员确认签批及知会程序完成后，手工形成《实行风险警示</w:t>
            </w:r>
            <w:r w:rsidRPr="001345ED">
              <w:rPr>
                <w:rFonts w:ascii="宋体" w:hAnsi="宋体" w:hint="eastAsia"/>
              </w:rPr>
              <w:t>后续业务流程表</w:t>
            </w:r>
            <w:r>
              <w:rPr>
                <w:rFonts w:ascii="宋体" w:hAnsi="宋体" w:hint="eastAsia"/>
              </w:rPr>
              <w:t>》并在业务待办事项中录入相关数据。（指对于“因特别原因实行退市风险警示，两个月或规定期限内还不能消除原因，将暂停上市的”等应当记录后续处理事项的情况，监管人员应当出具业务流程表并在系统中录入，以便到期提醒）；</w:t>
            </w:r>
          </w:p>
          <w:p w:rsidR="004A0B26" w:rsidRPr="009C7933" w:rsidRDefault="004A0B26" w:rsidP="002B2FFE">
            <w:pPr>
              <w:rPr>
                <w:rFonts w:ascii="宋体" w:hAnsi="宋体"/>
              </w:rPr>
            </w:pPr>
            <w:r>
              <w:rPr>
                <w:rFonts w:ascii="宋体" w:hAnsi="宋体" w:hint="eastAsia"/>
              </w:rPr>
              <w:t>6、（如适用）复核人员复核《实行风险警示</w:t>
            </w:r>
            <w:r w:rsidRPr="001345ED">
              <w:rPr>
                <w:rFonts w:ascii="宋体" w:hAnsi="宋体" w:hint="eastAsia"/>
              </w:rPr>
              <w:t>后续业务流程表</w:t>
            </w:r>
            <w:r>
              <w:rPr>
                <w:rFonts w:ascii="宋体" w:hAnsi="宋体" w:hint="eastAsia"/>
              </w:rPr>
              <w:t>》（原因同上）；</w:t>
            </w:r>
          </w:p>
          <w:p w:rsidR="004A0B26" w:rsidRDefault="004A0B26" w:rsidP="002B2FFE">
            <w:pPr>
              <w:rPr>
                <w:rFonts w:ascii="宋体" w:hAnsi="宋体"/>
              </w:rPr>
            </w:pPr>
            <w:r>
              <w:rPr>
                <w:rFonts w:ascii="宋体" w:hAnsi="宋体" w:hint="eastAsia"/>
              </w:rPr>
              <w:t>7、监管人员确认签批、知会、远期指令录入相关程序完成后，审核相关实行风险警示公告，检查《上市公司股票交易实行风险警示审查表</w:t>
            </w:r>
            <w:r w:rsidRPr="00F75480">
              <w:rPr>
                <w:rFonts w:ascii="宋体" w:hAnsi="宋体" w:hint="eastAsia"/>
              </w:rPr>
              <w:t>》</w:t>
            </w:r>
            <w:r>
              <w:rPr>
                <w:rFonts w:ascii="宋体" w:hAnsi="宋体" w:hint="eastAsia"/>
              </w:rPr>
              <w:t>中的实施日期等相关参数符合信息披露的要求，并与上市公司的信息披露文件一致。</w:t>
            </w:r>
          </w:p>
          <w:p w:rsidR="004A0B26" w:rsidRDefault="004A0B26" w:rsidP="002B2FFE">
            <w:pPr>
              <w:rPr>
                <w:rFonts w:ascii="宋体" w:hAnsi="宋体"/>
              </w:rPr>
            </w:pPr>
            <w:r>
              <w:rPr>
                <w:rFonts w:ascii="宋体" w:hAnsi="宋体" w:hint="eastAsia"/>
              </w:rPr>
              <w:t>8、分管复核人员复核相关公告及《上市公司股票交易实行风险警示审查表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9、如果在第7、8点发现该项业务被中断导致公告不能及时披露，或《上市公司股票交易实行风险警示审查表</w:t>
            </w:r>
            <w:r w:rsidRPr="00F75480">
              <w:rPr>
                <w:rFonts w:ascii="宋体" w:hAnsi="宋体" w:hint="eastAsia"/>
              </w:rPr>
              <w:t>》</w:t>
            </w:r>
            <w:r>
              <w:rPr>
                <w:rFonts w:ascii="宋体" w:hAnsi="宋体" w:hint="eastAsia"/>
              </w:rPr>
              <w:t>中的相关业务数据进行了修改的，监管人员必须通知信息披露操作员，取消（或重传）原已传给相关部门的业务指令。</w:t>
            </w:r>
          </w:p>
          <w:p w:rsidR="004A0B26" w:rsidRDefault="004A0B26" w:rsidP="002B2FFE">
            <w:pPr>
              <w:rPr>
                <w:rFonts w:ascii="宋体" w:hAnsi="宋体"/>
              </w:rPr>
            </w:pPr>
            <w:r>
              <w:rPr>
                <w:rFonts w:ascii="宋体" w:hAnsi="宋体" w:hint="eastAsia"/>
              </w:rPr>
              <w:t>10、信息披露操作员在每日期处理完公告后，应当核对当日已传递的记录表与已披露公告是否相符，如发现已传表但公告未出的情形，应当与监管人员核实，如确实存在取消或修改事项的，应当立即通知相关业务部门取清（或修改）原业务报表。</w:t>
            </w:r>
          </w:p>
          <w:p w:rsidR="004A0B26" w:rsidRPr="00564351" w:rsidRDefault="004A0B26" w:rsidP="002B2FFE">
            <w:pPr>
              <w:rPr>
                <w:rFonts w:ascii="宋体" w:hAnsi="宋体"/>
              </w:rPr>
            </w:pPr>
            <w:r>
              <w:rPr>
                <w:rFonts w:ascii="宋体" w:hAnsi="宋体" w:hint="eastAsia"/>
              </w:rPr>
              <w:t>11、总复核对当日业务进行总复核时，应当核对信息披露操作员的业务报表传递登记表，检查当日已审核通过的信息披露与业务通知表的传递是否一致，确保传给系统运行部的总表与分表完全对应。</w:t>
            </w:r>
          </w:p>
        </w:tc>
        <w:tc>
          <w:tcPr>
            <w:tcW w:w="1260" w:type="dxa"/>
            <w:vAlign w:val="center"/>
          </w:tcPr>
          <w:p w:rsidR="004A0B26" w:rsidRDefault="004A0B26" w:rsidP="002B2FFE">
            <w:pPr>
              <w:jc w:val="center"/>
              <w:rPr>
                <w:rFonts w:ascii="宋体" w:hAnsi="宋体"/>
              </w:rPr>
            </w:pPr>
            <w:r>
              <w:rPr>
                <w:rFonts w:ascii="宋体" w:hAnsi="宋体" w:hint="eastAsia"/>
              </w:rPr>
              <w:t>公司管理部</w:t>
            </w:r>
          </w:p>
        </w:tc>
      </w:tr>
      <w:tr w:rsidR="004A0B26" w:rsidTr="002B2FFE">
        <w:trPr>
          <w:trHeight w:val="615"/>
        </w:trPr>
        <w:tc>
          <w:tcPr>
            <w:tcW w:w="360" w:type="dxa"/>
            <w:vAlign w:val="center"/>
          </w:tcPr>
          <w:p w:rsidR="004A0B26" w:rsidRDefault="004A0B26" w:rsidP="002B2FFE">
            <w:pPr>
              <w:jc w:val="center"/>
              <w:rPr>
                <w:rFonts w:ascii="宋体" w:hAnsi="宋体"/>
              </w:rPr>
            </w:pPr>
            <w:r>
              <w:rPr>
                <w:rFonts w:ascii="宋体" w:hAnsi="宋体" w:hint="eastAsia"/>
              </w:rPr>
              <w:t>2</w:t>
            </w:r>
          </w:p>
        </w:tc>
        <w:tc>
          <w:tcPr>
            <w:tcW w:w="720" w:type="dxa"/>
            <w:vAlign w:val="center"/>
          </w:tcPr>
          <w:p w:rsidR="004A0B26" w:rsidRDefault="004A0B26" w:rsidP="002B2FFE">
            <w:pPr>
              <w:jc w:val="center"/>
              <w:rPr>
                <w:rFonts w:ascii="宋体" w:hAnsi="宋体"/>
                <w:color w:val="000000"/>
              </w:rPr>
            </w:pPr>
            <w:r w:rsidRPr="003C18DB">
              <w:rPr>
                <w:rFonts w:ascii="宋体" w:hAnsi="宋体" w:hint="eastAsia"/>
              </w:rPr>
              <w:t>T</w:t>
            </w:r>
            <w:r>
              <w:rPr>
                <w:rFonts w:ascii="宋体" w:hAnsi="宋体" w:hint="eastAsia"/>
              </w:rPr>
              <w:t>-1</w:t>
            </w:r>
            <w:r w:rsidRPr="003C18DB">
              <w:rPr>
                <w:rFonts w:ascii="宋体" w:hAnsi="宋体" w:hint="eastAsia"/>
              </w:rPr>
              <w:t>日</w:t>
            </w:r>
          </w:p>
        </w:tc>
        <w:tc>
          <w:tcPr>
            <w:tcW w:w="6300" w:type="dxa"/>
            <w:vAlign w:val="center"/>
          </w:tcPr>
          <w:p w:rsidR="004A0B26" w:rsidRDefault="004A0B26" w:rsidP="002B2FFE">
            <w:pPr>
              <w:rPr>
                <w:rFonts w:ascii="宋体" w:hAnsi="宋体"/>
              </w:rPr>
            </w:pPr>
            <w:r>
              <w:rPr>
                <w:rFonts w:ascii="宋体" w:hAnsi="宋体" w:hint="eastAsia"/>
              </w:rPr>
              <w:t>1、公告见报。</w:t>
            </w:r>
          </w:p>
          <w:p w:rsidR="004A0B26" w:rsidRDefault="004A0B26" w:rsidP="002B2FFE">
            <w:pPr>
              <w:rPr>
                <w:rFonts w:ascii="宋体" w:hAnsi="宋体"/>
              </w:rPr>
            </w:pPr>
            <w:r>
              <w:rPr>
                <w:rFonts w:ascii="宋体" w:hAnsi="宋体" w:hint="eastAsia"/>
              </w:rPr>
              <w:t>2、股票、衍生品种交易停牌一天。</w:t>
            </w:r>
          </w:p>
        </w:tc>
        <w:tc>
          <w:tcPr>
            <w:tcW w:w="1260" w:type="dxa"/>
            <w:vAlign w:val="center"/>
          </w:tcPr>
          <w:p w:rsidR="004A0B26" w:rsidRPr="00F16A11" w:rsidRDefault="004A0B26" w:rsidP="002B2FFE">
            <w:pPr>
              <w:jc w:val="center"/>
              <w:rPr>
                <w:rFonts w:ascii="宋体" w:hAnsi="宋体"/>
              </w:rPr>
            </w:pPr>
            <w:r>
              <w:rPr>
                <w:rFonts w:ascii="宋体" w:hAnsi="宋体" w:hint="eastAsia"/>
              </w:rPr>
              <w:t>系统运行部</w:t>
            </w:r>
          </w:p>
        </w:tc>
      </w:tr>
      <w:tr w:rsidR="004A0B26" w:rsidTr="002B2FFE">
        <w:trPr>
          <w:trHeight w:val="608"/>
        </w:trPr>
        <w:tc>
          <w:tcPr>
            <w:tcW w:w="360" w:type="dxa"/>
            <w:vAlign w:val="center"/>
          </w:tcPr>
          <w:p w:rsidR="004A0B26" w:rsidRDefault="004A0B26" w:rsidP="002B2FFE">
            <w:pPr>
              <w:jc w:val="center"/>
              <w:rPr>
                <w:rFonts w:ascii="宋体" w:hAnsi="宋体"/>
              </w:rPr>
            </w:pPr>
            <w:r>
              <w:rPr>
                <w:rFonts w:ascii="宋体" w:hAnsi="宋体" w:hint="eastAsia"/>
              </w:rPr>
              <w:t>3</w:t>
            </w:r>
          </w:p>
        </w:tc>
        <w:tc>
          <w:tcPr>
            <w:tcW w:w="720" w:type="dxa"/>
            <w:vAlign w:val="center"/>
          </w:tcPr>
          <w:p w:rsidR="004A0B26" w:rsidRDefault="004A0B26" w:rsidP="002B2FFE">
            <w:pPr>
              <w:jc w:val="center"/>
              <w:rPr>
                <w:rFonts w:ascii="宋体" w:hAnsi="宋体"/>
              </w:rPr>
            </w:pPr>
            <w:r>
              <w:rPr>
                <w:rFonts w:ascii="宋体" w:hAnsi="宋体" w:hint="eastAsia"/>
              </w:rPr>
              <w:t>T日</w:t>
            </w:r>
          </w:p>
        </w:tc>
        <w:tc>
          <w:tcPr>
            <w:tcW w:w="6300" w:type="dxa"/>
            <w:vAlign w:val="center"/>
          </w:tcPr>
          <w:p w:rsidR="004A0B26" w:rsidRDefault="004A0B26" w:rsidP="002B2FFE">
            <w:pPr>
              <w:rPr>
                <w:rFonts w:ascii="宋体" w:hAnsi="宋体"/>
              </w:rPr>
            </w:pPr>
            <w:r>
              <w:rPr>
                <w:rFonts w:ascii="宋体" w:hAnsi="宋体" w:hint="eastAsia"/>
              </w:rPr>
              <w:t>变更简称、实行新的涨跌幅限制。</w:t>
            </w:r>
          </w:p>
        </w:tc>
        <w:tc>
          <w:tcPr>
            <w:tcW w:w="1260" w:type="dxa"/>
            <w:vAlign w:val="center"/>
          </w:tcPr>
          <w:p w:rsidR="004A0B26" w:rsidRPr="00F16A11" w:rsidRDefault="004A0B26" w:rsidP="002B2FFE">
            <w:pPr>
              <w:jc w:val="center"/>
              <w:rPr>
                <w:rFonts w:ascii="宋体" w:hAnsi="宋体"/>
              </w:rPr>
            </w:pPr>
            <w:r>
              <w:rPr>
                <w:rFonts w:ascii="宋体" w:hAnsi="宋体" w:hint="eastAsia"/>
              </w:rPr>
              <w:t>系统运行部</w:t>
            </w:r>
          </w:p>
        </w:tc>
      </w:tr>
    </w:tbl>
    <w:p w:rsidR="004A0B26" w:rsidRDefault="004A0B26" w:rsidP="004A0B26">
      <w:pPr>
        <w:spacing w:line="360" w:lineRule="auto"/>
        <w:rPr>
          <w:rFonts w:ascii="宋体" w:hAnsi="宋体"/>
          <w:sz w:val="24"/>
        </w:rPr>
      </w:pPr>
    </w:p>
    <w:p w:rsidR="004A0B26" w:rsidRDefault="004A0B26" w:rsidP="004A0B26">
      <w:pPr>
        <w:spacing w:line="360" w:lineRule="auto"/>
        <w:rPr>
          <w:rFonts w:ascii="宋体" w:hAnsi="宋体"/>
          <w:sz w:val="24"/>
        </w:rPr>
      </w:pPr>
      <w:r>
        <w:rPr>
          <w:rFonts w:ascii="宋体" w:hAnsi="宋体" w:hint="eastAsia"/>
          <w:sz w:val="24"/>
        </w:rPr>
        <w:t xml:space="preserve">    （三）撤销风险警示流程</w:t>
      </w:r>
    </w:p>
    <w:p w:rsidR="004A0B26" w:rsidRDefault="004A0B26" w:rsidP="004A0B26">
      <w:pPr>
        <w:spacing w:line="360" w:lineRule="auto"/>
        <w:ind w:firstLineChars="200" w:firstLine="480"/>
        <w:rPr>
          <w:sz w:val="24"/>
        </w:rPr>
      </w:pPr>
      <w:r>
        <w:rPr>
          <w:rFonts w:hint="eastAsia"/>
          <w:sz w:val="24"/>
        </w:rPr>
        <w:t>撤销风险警示业务经业务受理、业务讨论（如适用）、业务复核、部门审批、总经理室审批、知会结算公司与系统运行部、刊登撤销风险警示公告等程序。部分公司在撤销“退市风险警示”同时实行“其他风险警示”。此种情形的实行其他风险警示不必另作业务受理。另外，建议给总经理室签批程序留足</w:t>
      </w:r>
      <w:r>
        <w:rPr>
          <w:rFonts w:hint="eastAsia"/>
          <w:sz w:val="24"/>
        </w:rPr>
        <w:t>1</w:t>
      </w:r>
      <w:r>
        <w:rPr>
          <w:rFonts w:hint="eastAsia"/>
          <w:sz w:val="24"/>
        </w:rPr>
        <w:t>－</w:t>
      </w:r>
      <w:r>
        <w:rPr>
          <w:rFonts w:hint="eastAsia"/>
          <w:sz w:val="24"/>
        </w:rPr>
        <w:t>2</w:t>
      </w:r>
      <w:r>
        <w:rPr>
          <w:rFonts w:hint="eastAsia"/>
          <w:sz w:val="24"/>
        </w:rPr>
        <w:t>工作日时间。</w:t>
      </w:r>
    </w:p>
    <w:p w:rsidR="004A0B26" w:rsidRDefault="004A0B26" w:rsidP="004A0B26">
      <w:pPr>
        <w:spacing w:line="360" w:lineRule="auto"/>
        <w:ind w:firstLineChars="200" w:firstLine="480"/>
        <w:rPr>
          <w:sz w:val="24"/>
        </w:rPr>
      </w:pPr>
    </w:p>
    <w:p w:rsidR="004A0B26" w:rsidRDefault="004A0B26" w:rsidP="004A0B26">
      <w:pPr>
        <w:spacing w:line="360" w:lineRule="auto"/>
        <w:ind w:firstLineChars="200" w:firstLine="480"/>
        <w:rPr>
          <w:sz w:val="24"/>
        </w:rPr>
      </w:pPr>
      <w:r>
        <w:rPr>
          <w:rFonts w:hint="eastAsia"/>
          <w:sz w:val="24"/>
        </w:rPr>
        <w:t>1</w:t>
      </w:r>
      <w:r>
        <w:rPr>
          <w:rFonts w:hint="eastAsia"/>
          <w:sz w:val="24"/>
        </w:rPr>
        <w:t>、业务受理</w:t>
      </w:r>
    </w:p>
    <w:p w:rsidR="004A0B26" w:rsidRPr="00ED46C0" w:rsidRDefault="004A0B26" w:rsidP="004A0B26">
      <w:pPr>
        <w:snapToGrid w:val="0"/>
        <w:spacing w:line="460" w:lineRule="exact"/>
        <w:ind w:firstLineChars="200" w:firstLine="480"/>
        <w:rPr>
          <w:sz w:val="24"/>
        </w:rPr>
      </w:pPr>
      <w:r>
        <w:rPr>
          <w:rFonts w:hint="eastAsia"/>
          <w:sz w:val="24"/>
        </w:rPr>
        <w:t>撤销风险警示业务受理时点视风险警示情形具体消除时点的其他情形而定，</w:t>
      </w:r>
      <w:r w:rsidRPr="00ED46C0">
        <w:rPr>
          <w:rFonts w:hint="eastAsia"/>
          <w:sz w:val="24"/>
        </w:rPr>
        <w:t>收到公司提交的撤销退市风险警示申请后，</w:t>
      </w:r>
      <w:r>
        <w:rPr>
          <w:rFonts w:hint="eastAsia"/>
          <w:sz w:val="24"/>
        </w:rPr>
        <w:t>监管人员应审核其申请和理由，</w:t>
      </w:r>
      <w:r w:rsidRPr="00ED46C0">
        <w:rPr>
          <w:rFonts w:hint="eastAsia"/>
          <w:sz w:val="24"/>
        </w:rPr>
        <w:t>决定是否撤销退市风险警示。</w:t>
      </w:r>
    </w:p>
    <w:p w:rsidR="004A0B26" w:rsidRDefault="004A0B26" w:rsidP="004A0B26">
      <w:pPr>
        <w:spacing w:line="360" w:lineRule="auto"/>
        <w:ind w:firstLineChars="200" w:firstLine="480"/>
        <w:rPr>
          <w:sz w:val="24"/>
        </w:rPr>
      </w:pPr>
      <w:r>
        <w:rPr>
          <w:rFonts w:hint="eastAsia"/>
          <w:sz w:val="24"/>
        </w:rPr>
        <w:t>相关情形如下：</w:t>
      </w:r>
    </w:p>
    <w:p w:rsidR="004A0B26" w:rsidRDefault="004A0B26" w:rsidP="004A0B26">
      <w:pPr>
        <w:numPr>
          <w:ilvl w:val="0"/>
          <w:numId w:val="2"/>
        </w:numPr>
        <w:tabs>
          <w:tab w:val="clear" w:pos="900"/>
          <w:tab w:val="num" w:pos="0"/>
        </w:tabs>
        <w:spacing w:line="360" w:lineRule="auto"/>
        <w:ind w:left="0" w:firstLine="480"/>
        <w:rPr>
          <w:sz w:val="24"/>
        </w:rPr>
      </w:pPr>
      <w:r>
        <w:rPr>
          <w:rFonts w:hint="eastAsia"/>
          <w:sz w:val="24"/>
        </w:rPr>
        <w:t>与年报披露有关的，监管人员应在完成相关年报审核工作之后受理公司撤销风险警示申请；原则上</w:t>
      </w:r>
      <w:r>
        <w:rPr>
          <w:rFonts w:ascii="宋体" w:hAnsi="宋体" w:hint="eastAsia"/>
          <w:sz w:val="24"/>
        </w:rPr>
        <w:t>撤销风险警示的日期与定期报告披露的日期至少应间隔五个工作日以上。</w:t>
      </w:r>
    </w:p>
    <w:p w:rsidR="004A0B26" w:rsidRDefault="004A0B26" w:rsidP="004A0B26">
      <w:pPr>
        <w:numPr>
          <w:ilvl w:val="0"/>
          <w:numId w:val="2"/>
        </w:numPr>
        <w:tabs>
          <w:tab w:val="clear" w:pos="900"/>
          <w:tab w:val="num" w:pos="0"/>
        </w:tabs>
        <w:spacing w:line="360" w:lineRule="auto"/>
        <w:ind w:left="0" w:firstLine="480"/>
        <w:rPr>
          <w:sz w:val="24"/>
        </w:rPr>
      </w:pPr>
      <w:r>
        <w:rPr>
          <w:rFonts w:hint="eastAsia"/>
          <w:sz w:val="24"/>
        </w:rPr>
        <w:t>涉及因重大资产重组实施完毕申请撤销风险警示的，监管人员应当在提交部门会计小组初步讨论同意后，方可同意受理该申请（或同意公司刊登关于“提交撤销风险警示”的董事会决议公告）。</w:t>
      </w:r>
    </w:p>
    <w:p w:rsidR="004A0B26" w:rsidRDefault="004A0B26" w:rsidP="004A0B26">
      <w:pPr>
        <w:numPr>
          <w:ilvl w:val="0"/>
          <w:numId w:val="2"/>
        </w:numPr>
        <w:tabs>
          <w:tab w:val="clear" w:pos="900"/>
          <w:tab w:val="num" w:pos="0"/>
        </w:tabs>
        <w:spacing w:line="360" w:lineRule="auto"/>
        <w:ind w:left="0" w:firstLine="480"/>
        <w:rPr>
          <w:sz w:val="24"/>
        </w:rPr>
      </w:pPr>
      <w:r>
        <w:rPr>
          <w:rFonts w:hint="eastAsia"/>
          <w:sz w:val="24"/>
        </w:rPr>
        <w:t>辖区证监局意见、社会投诉或反映意见与撤销风险警示有关的，监管人员应在相关意见处理完毕（或基本完毕）后受理该项业务。</w:t>
      </w:r>
    </w:p>
    <w:p w:rsidR="004A0B26" w:rsidRDefault="004A0B26" w:rsidP="004A0B26">
      <w:pPr>
        <w:spacing w:line="360" w:lineRule="auto"/>
        <w:ind w:firstLineChars="200" w:firstLine="480"/>
        <w:rPr>
          <w:sz w:val="24"/>
        </w:rPr>
      </w:pPr>
      <w:r>
        <w:rPr>
          <w:rFonts w:hint="eastAsia"/>
          <w:sz w:val="24"/>
        </w:rPr>
        <w:t>2</w:t>
      </w:r>
      <w:r>
        <w:rPr>
          <w:rFonts w:hint="eastAsia"/>
          <w:sz w:val="24"/>
        </w:rPr>
        <w:t>、业务讨论</w:t>
      </w:r>
    </w:p>
    <w:p w:rsidR="004A0B26" w:rsidRDefault="004A0B26" w:rsidP="004A0B26">
      <w:pPr>
        <w:spacing w:line="360" w:lineRule="auto"/>
        <w:ind w:firstLineChars="200" w:firstLine="480"/>
        <w:rPr>
          <w:sz w:val="24"/>
        </w:rPr>
      </w:pPr>
      <w:r>
        <w:rPr>
          <w:rFonts w:hint="eastAsia"/>
          <w:sz w:val="24"/>
        </w:rPr>
        <w:t>涉及复杂会计、法律或其他问题导致监管人员难以做出是否撤销风险警示判断的，监管人员应当提交会计小组讨论，再形成审查意见。</w:t>
      </w:r>
    </w:p>
    <w:p w:rsidR="004A0B26" w:rsidRDefault="004A0B26" w:rsidP="004A0B26">
      <w:pPr>
        <w:spacing w:line="360" w:lineRule="auto"/>
        <w:ind w:firstLineChars="200" w:firstLine="480"/>
        <w:rPr>
          <w:sz w:val="24"/>
        </w:rPr>
      </w:pPr>
      <w:r>
        <w:rPr>
          <w:rFonts w:hint="eastAsia"/>
          <w:sz w:val="24"/>
        </w:rPr>
        <w:t>在相关领导的明确意见下，基于市场发展和本所监管需要的一些特别因素（如未能完成股改等）会构成撤销风险警示的条件之一。</w:t>
      </w:r>
    </w:p>
    <w:p w:rsidR="004A0B26" w:rsidRDefault="004A0B26" w:rsidP="004A0B26">
      <w:pPr>
        <w:spacing w:line="360" w:lineRule="auto"/>
        <w:ind w:firstLineChars="200" w:firstLine="480"/>
        <w:rPr>
          <w:sz w:val="24"/>
        </w:rPr>
      </w:pPr>
      <w:r>
        <w:rPr>
          <w:rFonts w:hint="eastAsia"/>
          <w:sz w:val="24"/>
        </w:rPr>
        <w:t>3</w:t>
      </w:r>
      <w:r>
        <w:rPr>
          <w:rFonts w:hint="eastAsia"/>
          <w:sz w:val="24"/>
        </w:rPr>
        <w:t>、回复与回复意见公告</w:t>
      </w:r>
    </w:p>
    <w:p w:rsidR="004A0B26" w:rsidRDefault="004A0B26" w:rsidP="004A0B26">
      <w:pPr>
        <w:spacing w:line="360" w:lineRule="auto"/>
        <w:ind w:firstLineChars="200" w:firstLine="480"/>
        <w:rPr>
          <w:sz w:val="24"/>
        </w:rPr>
      </w:pPr>
      <w:r>
        <w:rPr>
          <w:rFonts w:hint="eastAsia"/>
          <w:sz w:val="24"/>
        </w:rPr>
        <w:t>上市公司提出撤销风险警示申请，本所经审慎考虑做出不予撤销决定的，监管人员应将我所意见通过业务系统书面通知上市公司并督促公司就本所意见于次一交易日做出公告。公司如不公告，本所可以主动公告（另见交易所主动公告业务流程）。</w:t>
      </w:r>
    </w:p>
    <w:p w:rsidR="004A0B26" w:rsidRDefault="004A0B26" w:rsidP="004A0B26">
      <w:pPr>
        <w:spacing w:line="360" w:lineRule="auto"/>
        <w:ind w:firstLineChars="200" w:firstLine="480"/>
        <w:rPr>
          <w:sz w:val="24"/>
        </w:rPr>
      </w:pPr>
      <w:r>
        <w:rPr>
          <w:rFonts w:hint="eastAsia"/>
          <w:sz w:val="24"/>
        </w:rPr>
        <w:t>4</w:t>
      </w:r>
      <w:r>
        <w:rPr>
          <w:rFonts w:hint="eastAsia"/>
          <w:sz w:val="24"/>
        </w:rPr>
        <w:t>、《</w:t>
      </w:r>
      <w:r w:rsidRPr="00F509C8">
        <w:rPr>
          <w:rFonts w:hint="eastAsia"/>
          <w:sz w:val="24"/>
        </w:rPr>
        <w:t>上市公司股票交易</w:t>
      </w:r>
      <w:r>
        <w:rPr>
          <w:rFonts w:hint="eastAsia"/>
          <w:sz w:val="24"/>
        </w:rPr>
        <w:t>撤销风险警示</w:t>
      </w:r>
      <w:r w:rsidRPr="00F509C8">
        <w:rPr>
          <w:rFonts w:hint="eastAsia"/>
          <w:sz w:val="24"/>
        </w:rPr>
        <w:t>审查表</w:t>
      </w:r>
      <w:r>
        <w:rPr>
          <w:rFonts w:hint="eastAsia"/>
          <w:sz w:val="24"/>
        </w:rPr>
        <w:t>》</w:t>
      </w:r>
    </w:p>
    <w:p w:rsidR="004A0B26" w:rsidRPr="00ED46C0" w:rsidRDefault="004A0B26" w:rsidP="004A0B26">
      <w:pPr>
        <w:snapToGrid w:val="0"/>
        <w:spacing w:line="460" w:lineRule="exact"/>
        <w:ind w:firstLineChars="200" w:firstLine="480"/>
        <w:rPr>
          <w:sz w:val="24"/>
        </w:rPr>
      </w:pPr>
      <w:r>
        <w:rPr>
          <w:rFonts w:hint="eastAsia"/>
          <w:sz w:val="24"/>
        </w:rPr>
        <w:t>监管人员撤销风险警示应出具《</w:t>
      </w:r>
      <w:r w:rsidRPr="00F509C8">
        <w:rPr>
          <w:rFonts w:hint="eastAsia"/>
          <w:sz w:val="24"/>
        </w:rPr>
        <w:t>上市公司股票交易</w:t>
      </w:r>
      <w:r>
        <w:rPr>
          <w:rFonts w:hint="eastAsia"/>
          <w:sz w:val="24"/>
        </w:rPr>
        <w:t>撤销风险警示</w:t>
      </w:r>
      <w:r w:rsidRPr="00F509C8">
        <w:rPr>
          <w:rFonts w:hint="eastAsia"/>
          <w:sz w:val="24"/>
        </w:rPr>
        <w:t>审查表</w:t>
      </w:r>
      <w:r>
        <w:rPr>
          <w:rFonts w:hint="eastAsia"/>
          <w:sz w:val="24"/>
        </w:rPr>
        <w:t>》，格式见附件</w:t>
      </w:r>
      <w:r>
        <w:rPr>
          <w:rFonts w:hint="eastAsia"/>
          <w:sz w:val="24"/>
        </w:rPr>
        <w:t>4</w:t>
      </w:r>
      <w:r>
        <w:rPr>
          <w:rFonts w:hint="eastAsia"/>
          <w:sz w:val="24"/>
        </w:rPr>
        <w:t>。已</w:t>
      </w:r>
      <w:r w:rsidRPr="00ED46C0">
        <w:rPr>
          <w:rFonts w:hint="eastAsia"/>
          <w:sz w:val="24"/>
        </w:rPr>
        <w:t>决定撤销退市风险警示的，上市公司应当按照本所要求在撤销退市风险警示的前一个交易日作出公告。</w:t>
      </w:r>
    </w:p>
    <w:p w:rsidR="004A0B26" w:rsidRDefault="004A0B26" w:rsidP="004A0B26">
      <w:pPr>
        <w:spacing w:line="360" w:lineRule="auto"/>
        <w:ind w:firstLineChars="200" w:firstLine="480"/>
        <w:rPr>
          <w:sz w:val="24"/>
        </w:rPr>
      </w:pPr>
      <w:r>
        <w:rPr>
          <w:rFonts w:hint="eastAsia"/>
          <w:sz w:val="24"/>
        </w:rPr>
        <w:t>风险警示撤销首日（股票撤销风险警示的首个交易日）为公告日的次一交易日。如撤销首日为</w:t>
      </w:r>
      <w:r>
        <w:rPr>
          <w:rFonts w:hint="eastAsia"/>
          <w:sz w:val="24"/>
        </w:rPr>
        <w:t>T</w:t>
      </w:r>
      <w:r>
        <w:rPr>
          <w:rFonts w:hint="eastAsia"/>
          <w:sz w:val="24"/>
        </w:rPr>
        <w:t>日，</w:t>
      </w:r>
      <w:r>
        <w:rPr>
          <w:rFonts w:hint="eastAsia"/>
          <w:sz w:val="24"/>
        </w:rPr>
        <w:t>T</w:t>
      </w:r>
      <w:r>
        <w:rPr>
          <w:rFonts w:hint="eastAsia"/>
          <w:sz w:val="24"/>
        </w:rPr>
        <w:t>日为交易日，受理日应为</w:t>
      </w:r>
      <w:r>
        <w:rPr>
          <w:rFonts w:hint="eastAsia"/>
          <w:sz w:val="24"/>
        </w:rPr>
        <w:t>T</w:t>
      </w:r>
      <w:r>
        <w:rPr>
          <w:rFonts w:hint="eastAsia"/>
          <w:sz w:val="24"/>
        </w:rPr>
        <w:t>－</w:t>
      </w:r>
      <w:r>
        <w:rPr>
          <w:rFonts w:hint="eastAsia"/>
          <w:sz w:val="24"/>
        </w:rPr>
        <w:t>2</w:t>
      </w:r>
      <w:r>
        <w:rPr>
          <w:rFonts w:hint="eastAsia"/>
          <w:sz w:val="24"/>
        </w:rPr>
        <w:t>日或之前。</w:t>
      </w:r>
    </w:p>
    <w:p w:rsidR="004A0B26" w:rsidRDefault="004A0B26" w:rsidP="004A0B26">
      <w:pPr>
        <w:spacing w:line="360" w:lineRule="auto"/>
        <w:ind w:firstLineChars="200" w:firstLine="480"/>
        <w:rPr>
          <w:sz w:val="24"/>
        </w:rPr>
      </w:pPr>
      <w:r>
        <w:rPr>
          <w:rFonts w:hint="eastAsia"/>
          <w:sz w:val="24"/>
        </w:rPr>
        <w:t>如果公告日为交易日，公告日当天需停牌一天；如果公告日为非交易日，则公告日的次一交易日需停牌一天。撤销风险警示的</w:t>
      </w:r>
      <w:r w:rsidRPr="00F16A11">
        <w:rPr>
          <w:rFonts w:hint="eastAsia"/>
          <w:sz w:val="24"/>
        </w:rPr>
        <w:t>股票</w:t>
      </w:r>
      <w:r>
        <w:rPr>
          <w:rFonts w:hint="eastAsia"/>
          <w:sz w:val="24"/>
        </w:rPr>
        <w:t>，其股票、可转债、权证等相关衍生品的</w:t>
      </w:r>
      <w:r w:rsidRPr="00F16A11">
        <w:rPr>
          <w:rFonts w:hint="eastAsia"/>
          <w:sz w:val="24"/>
        </w:rPr>
        <w:t>停牌</w:t>
      </w:r>
      <w:r>
        <w:rPr>
          <w:rFonts w:hint="eastAsia"/>
          <w:sz w:val="24"/>
        </w:rPr>
        <w:t>应同步处理。</w:t>
      </w:r>
    </w:p>
    <w:p w:rsidR="004A0B26" w:rsidRDefault="004A0B26" w:rsidP="004A0B26">
      <w:pPr>
        <w:snapToGrid w:val="0"/>
        <w:spacing w:line="460" w:lineRule="exact"/>
        <w:ind w:firstLineChars="200" w:firstLine="480"/>
        <w:rPr>
          <w:sz w:val="24"/>
        </w:rPr>
      </w:pPr>
      <w:r w:rsidRPr="00ED46C0">
        <w:rPr>
          <w:rFonts w:hint="eastAsia"/>
          <w:sz w:val="24"/>
        </w:rPr>
        <w:t>公司股票及其衍生品种于公告日停牌一天，自复牌之日起本所对公司股票交易撤销退市风险警示。</w:t>
      </w:r>
    </w:p>
    <w:p w:rsidR="004A0B26" w:rsidRPr="008721B2" w:rsidRDefault="004A0B26" w:rsidP="004A0B26">
      <w:pPr>
        <w:spacing w:line="360" w:lineRule="auto"/>
        <w:ind w:firstLineChars="200" w:firstLine="480"/>
        <w:rPr>
          <w:sz w:val="24"/>
        </w:rPr>
      </w:pPr>
    </w:p>
    <w:p w:rsidR="004A0B26" w:rsidRDefault="004A0B26" w:rsidP="004A0B26">
      <w:pPr>
        <w:spacing w:line="360" w:lineRule="auto"/>
        <w:ind w:firstLineChars="200" w:firstLine="480"/>
        <w:rPr>
          <w:sz w:val="24"/>
        </w:rPr>
      </w:pPr>
      <w:r>
        <w:rPr>
          <w:rFonts w:hint="eastAsia"/>
          <w:sz w:val="24"/>
        </w:rPr>
        <w:t>撤销风险警示要</w:t>
      </w:r>
      <w:r w:rsidRPr="00F16A11">
        <w:rPr>
          <w:rFonts w:hint="eastAsia"/>
          <w:sz w:val="24"/>
        </w:rPr>
        <w:t>变更</w:t>
      </w:r>
      <w:r>
        <w:rPr>
          <w:rFonts w:hint="eastAsia"/>
          <w:sz w:val="24"/>
        </w:rPr>
        <w:t>证券</w:t>
      </w:r>
      <w:r w:rsidRPr="00F16A11">
        <w:rPr>
          <w:rFonts w:hint="eastAsia"/>
          <w:sz w:val="24"/>
        </w:rPr>
        <w:t>简称</w:t>
      </w:r>
      <w:r>
        <w:rPr>
          <w:rFonts w:hint="eastAsia"/>
          <w:sz w:val="24"/>
        </w:rPr>
        <w:t>，相关审查表同时用作证券简称修改记录表，涉及债券的，其流程按照《债券业务备忘录第</w:t>
      </w:r>
      <w:r>
        <w:rPr>
          <w:rFonts w:hint="eastAsia"/>
          <w:sz w:val="24"/>
        </w:rPr>
        <w:t>1</w:t>
      </w:r>
      <w:r>
        <w:rPr>
          <w:rFonts w:hint="eastAsia"/>
          <w:sz w:val="24"/>
        </w:rPr>
        <w:t>号》执行，简称变更只涉及正股和债券，不涉及其他衍生品种。</w:t>
      </w:r>
    </w:p>
    <w:p w:rsidR="004A0B26" w:rsidRDefault="004A0B26" w:rsidP="004A0B26">
      <w:pPr>
        <w:spacing w:line="360" w:lineRule="auto"/>
        <w:ind w:firstLineChars="200" w:firstLine="480"/>
        <w:rPr>
          <w:sz w:val="24"/>
        </w:rPr>
      </w:pPr>
      <w:r>
        <w:rPr>
          <w:rFonts w:hint="eastAsia"/>
          <w:sz w:val="24"/>
        </w:rPr>
        <w:t>5</w:t>
      </w:r>
      <w:r>
        <w:rPr>
          <w:rFonts w:hint="eastAsia"/>
          <w:sz w:val="24"/>
        </w:rPr>
        <w:t>、办理时限</w:t>
      </w:r>
    </w:p>
    <w:p w:rsidR="004A0B26" w:rsidRPr="007376C4" w:rsidRDefault="004A0B26" w:rsidP="004A0B26">
      <w:pPr>
        <w:spacing w:line="360" w:lineRule="auto"/>
        <w:ind w:firstLineChars="200" w:firstLine="480"/>
        <w:rPr>
          <w:sz w:val="24"/>
        </w:rPr>
      </w:pPr>
      <w:r w:rsidRPr="002D7340">
        <w:rPr>
          <w:rFonts w:hint="eastAsia"/>
          <w:sz w:val="24"/>
        </w:rPr>
        <w:t>收到</w:t>
      </w:r>
      <w:r>
        <w:rPr>
          <w:rFonts w:hint="eastAsia"/>
          <w:sz w:val="24"/>
        </w:rPr>
        <w:t>上市公司</w:t>
      </w:r>
      <w:r w:rsidRPr="002D7340">
        <w:rPr>
          <w:rFonts w:hint="eastAsia"/>
          <w:sz w:val="24"/>
        </w:rPr>
        <w:t>申请材料后</w:t>
      </w:r>
      <w:r w:rsidRPr="002D7340">
        <w:rPr>
          <w:rFonts w:hint="eastAsia"/>
          <w:sz w:val="24"/>
        </w:rPr>
        <w:t>2</w:t>
      </w:r>
      <w:r w:rsidRPr="002D7340">
        <w:rPr>
          <w:rFonts w:hint="eastAsia"/>
          <w:sz w:val="24"/>
        </w:rPr>
        <w:t>个交易日内决定是否受理，受理后</w:t>
      </w:r>
      <w:r w:rsidRPr="002D7340">
        <w:rPr>
          <w:rFonts w:hint="eastAsia"/>
          <w:sz w:val="24"/>
        </w:rPr>
        <w:t>15</w:t>
      </w:r>
      <w:r w:rsidRPr="002D7340">
        <w:rPr>
          <w:rFonts w:hint="eastAsia"/>
          <w:sz w:val="24"/>
        </w:rPr>
        <w:t>交易日内作出</w:t>
      </w:r>
      <w:r>
        <w:rPr>
          <w:rFonts w:hint="eastAsia"/>
          <w:sz w:val="24"/>
        </w:rPr>
        <w:t>是否撤销风险警示的</w:t>
      </w:r>
      <w:r w:rsidRPr="002D7340">
        <w:rPr>
          <w:rFonts w:hint="eastAsia"/>
          <w:sz w:val="24"/>
        </w:rPr>
        <w:t>决定。（公司补充问询函期间不计算在内）</w:t>
      </w:r>
    </w:p>
    <w:p w:rsidR="004A0B26" w:rsidRDefault="004A0B26" w:rsidP="004A0B26">
      <w:pPr>
        <w:spacing w:line="360" w:lineRule="auto"/>
        <w:ind w:firstLineChars="200" w:firstLine="480"/>
        <w:rPr>
          <w:sz w:val="24"/>
        </w:rPr>
      </w:pPr>
      <w:r>
        <w:rPr>
          <w:rFonts w:hint="eastAsia"/>
          <w:sz w:val="24"/>
        </w:rPr>
        <w:t>6</w:t>
      </w:r>
      <w:r>
        <w:rPr>
          <w:rFonts w:hint="eastAsia"/>
          <w:sz w:val="24"/>
        </w:rPr>
        <w:t>、远期指令</w:t>
      </w:r>
    </w:p>
    <w:p w:rsidR="004A0B26" w:rsidRDefault="004A0B26" w:rsidP="004A0B26">
      <w:pPr>
        <w:spacing w:line="360" w:lineRule="auto"/>
        <w:ind w:firstLineChars="200" w:firstLine="480"/>
        <w:rPr>
          <w:sz w:val="24"/>
        </w:rPr>
      </w:pPr>
      <w:r>
        <w:rPr>
          <w:rFonts w:hint="eastAsia"/>
          <w:sz w:val="24"/>
        </w:rPr>
        <w:t>撤销风险警示不涉及远期指令。</w:t>
      </w:r>
    </w:p>
    <w:p w:rsidR="004A0B26" w:rsidRDefault="004A0B26" w:rsidP="004A0B26">
      <w:pPr>
        <w:spacing w:line="360" w:lineRule="auto"/>
        <w:ind w:firstLineChars="200" w:firstLine="480"/>
        <w:rPr>
          <w:rFonts w:ascii="宋体" w:hAnsi="宋体"/>
          <w:sz w:val="24"/>
        </w:rPr>
      </w:pPr>
      <w:r>
        <w:rPr>
          <w:rFonts w:hint="eastAsia"/>
          <w:sz w:val="24"/>
        </w:rPr>
        <w:t>撤销风险警示业务具体流程如下（</w:t>
      </w:r>
      <w:r>
        <w:rPr>
          <w:rFonts w:ascii="宋体" w:hAnsi="宋体" w:hint="eastAsia"/>
          <w:sz w:val="24"/>
        </w:rPr>
        <w:t>T日撤销风险警示的首个交易日)：</w:t>
      </w:r>
    </w:p>
    <w:p w:rsidR="004A0B26" w:rsidRPr="0062441E" w:rsidRDefault="004A0B26" w:rsidP="004A0B26">
      <w:pPr>
        <w:spacing w:line="360" w:lineRule="auto"/>
        <w:ind w:firstLineChars="200" w:firstLine="480"/>
        <w:rPr>
          <w:sz w:val="24"/>
        </w:rPr>
      </w:pPr>
    </w:p>
    <w:tbl>
      <w:tblPr>
        <w:tblW w:w="86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0"/>
        <w:gridCol w:w="720"/>
        <w:gridCol w:w="6300"/>
        <w:gridCol w:w="1260"/>
      </w:tblGrid>
      <w:tr w:rsidR="004A0B26" w:rsidTr="002B2FFE">
        <w:trPr>
          <w:trHeight w:val="608"/>
        </w:trPr>
        <w:tc>
          <w:tcPr>
            <w:tcW w:w="360" w:type="dxa"/>
            <w:vAlign w:val="center"/>
          </w:tcPr>
          <w:p w:rsidR="004A0B26" w:rsidRDefault="004A0B26" w:rsidP="002B2FFE">
            <w:pPr>
              <w:jc w:val="center"/>
              <w:rPr>
                <w:rFonts w:ascii="黑体" w:eastAsia="黑体" w:hAnsi="宋体"/>
                <w:b/>
                <w:bCs/>
              </w:rPr>
            </w:pPr>
            <w:r>
              <w:rPr>
                <w:rFonts w:ascii="黑体" w:eastAsia="黑体" w:hAnsi="宋体" w:hint="eastAsia"/>
                <w:b/>
                <w:bCs/>
              </w:rPr>
              <w:t>序号</w:t>
            </w:r>
          </w:p>
        </w:tc>
        <w:tc>
          <w:tcPr>
            <w:tcW w:w="720" w:type="dxa"/>
            <w:vAlign w:val="center"/>
          </w:tcPr>
          <w:p w:rsidR="004A0B26" w:rsidRDefault="004A0B26" w:rsidP="002B2FFE">
            <w:pPr>
              <w:jc w:val="center"/>
              <w:rPr>
                <w:rFonts w:ascii="黑体" w:eastAsia="黑体" w:hAnsi="宋体"/>
                <w:b/>
                <w:bCs/>
              </w:rPr>
            </w:pPr>
            <w:r>
              <w:rPr>
                <w:rFonts w:ascii="黑体" w:eastAsia="黑体" w:hAnsi="宋体" w:hint="eastAsia"/>
                <w:b/>
                <w:bCs/>
              </w:rPr>
              <w:t>时  间</w:t>
            </w:r>
          </w:p>
        </w:tc>
        <w:tc>
          <w:tcPr>
            <w:tcW w:w="6300" w:type="dxa"/>
            <w:vAlign w:val="center"/>
          </w:tcPr>
          <w:p w:rsidR="004A0B26" w:rsidRDefault="004A0B26" w:rsidP="002B2FFE">
            <w:pPr>
              <w:jc w:val="center"/>
              <w:rPr>
                <w:rFonts w:ascii="黑体" w:eastAsia="黑体" w:hAnsi="宋体"/>
                <w:b/>
                <w:bCs/>
              </w:rPr>
            </w:pPr>
            <w:r>
              <w:rPr>
                <w:rFonts w:ascii="黑体" w:eastAsia="黑体" w:hAnsi="宋体" w:hint="eastAsia"/>
                <w:b/>
                <w:bCs/>
              </w:rPr>
              <w:t>内     容</w:t>
            </w:r>
          </w:p>
        </w:tc>
        <w:tc>
          <w:tcPr>
            <w:tcW w:w="1260" w:type="dxa"/>
            <w:vAlign w:val="center"/>
          </w:tcPr>
          <w:p w:rsidR="004A0B26" w:rsidRDefault="004A0B26" w:rsidP="002B2FFE">
            <w:pPr>
              <w:ind w:leftChars="-51" w:left="-107"/>
              <w:jc w:val="center"/>
              <w:rPr>
                <w:rFonts w:ascii="黑体" w:eastAsia="黑体" w:hAnsi="宋体"/>
                <w:b/>
                <w:bCs/>
              </w:rPr>
            </w:pPr>
            <w:r>
              <w:rPr>
                <w:rFonts w:ascii="黑体" w:eastAsia="黑体" w:hAnsi="宋体" w:hint="eastAsia"/>
                <w:b/>
                <w:bCs/>
              </w:rPr>
              <w:t>操作部门</w:t>
            </w:r>
          </w:p>
        </w:tc>
      </w:tr>
      <w:tr w:rsidR="004A0B26" w:rsidTr="002B2FFE">
        <w:trPr>
          <w:trHeight w:val="621"/>
        </w:trPr>
        <w:tc>
          <w:tcPr>
            <w:tcW w:w="360" w:type="dxa"/>
            <w:vMerge w:val="restart"/>
            <w:vAlign w:val="center"/>
          </w:tcPr>
          <w:p w:rsidR="004A0B26" w:rsidRDefault="004A0B26" w:rsidP="002B2FFE">
            <w:pPr>
              <w:jc w:val="center"/>
              <w:rPr>
                <w:rFonts w:ascii="宋体" w:hAnsi="宋体"/>
              </w:rPr>
            </w:pPr>
            <w:r>
              <w:rPr>
                <w:rFonts w:ascii="宋体" w:hAnsi="宋体" w:hint="eastAsia"/>
              </w:rPr>
              <w:t>1</w:t>
            </w:r>
          </w:p>
          <w:p w:rsidR="004A0B26" w:rsidRDefault="004A0B26" w:rsidP="002B2FFE">
            <w:pPr>
              <w:jc w:val="center"/>
              <w:rPr>
                <w:rFonts w:ascii="宋体" w:hAnsi="宋体"/>
              </w:rPr>
            </w:pPr>
          </w:p>
        </w:tc>
        <w:tc>
          <w:tcPr>
            <w:tcW w:w="720" w:type="dxa"/>
            <w:vMerge w:val="restart"/>
            <w:vAlign w:val="center"/>
          </w:tcPr>
          <w:p w:rsidR="004A0B26" w:rsidRPr="003C18DB" w:rsidRDefault="004A0B26" w:rsidP="002B2FFE">
            <w:pPr>
              <w:jc w:val="center"/>
              <w:rPr>
                <w:rFonts w:ascii="宋体" w:hAnsi="宋体"/>
              </w:rPr>
            </w:pPr>
            <w:r w:rsidRPr="003C18DB">
              <w:rPr>
                <w:rFonts w:ascii="宋体" w:hAnsi="宋体" w:hint="eastAsia"/>
              </w:rPr>
              <w:t>T</w:t>
            </w:r>
            <w:r>
              <w:rPr>
                <w:rFonts w:ascii="宋体" w:hAnsi="宋体" w:hint="eastAsia"/>
              </w:rPr>
              <w:t>-2</w:t>
            </w:r>
            <w:r w:rsidRPr="003C18DB">
              <w:rPr>
                <w:rFonts w:ascii="宋体" w:hAnsi="宋体" w:hint="eastAsia"/>
              </w:rPr>
              <w:t>日</w:t>
            </w:r>
            <w:r>
              <w:rPr>
                <w:rFonts w:ascii="宋体" w:hAnsi="宋体" w:hint="eastAsia"/>
              </w:rPr>
              <w:t>或之前</w:t>
            </w:r>
          </w:p>
          <w:p w:rsidR="004A0B26" w:rsidRPr="003C18DB" w:rsidRDefault="004A0B26" w:rsidP="002B2FFE">
            <w:pPr>
              <w:jc w:val="center"/>
              <w:rPr>
                <w:rFonts w:ascii="宋体" w:hAnsi="宋体"/>
              </w:rPr>
            </w:pPr>
          </w:p>
        </w:tc>
        <w:tc>
          <w:tcPr>
            <w:tcW w:w="6300" w:type="dxa"/>
            <w:vAlign w:val="center"/>
          </w:tcPr>
          <w:p w:rsidR="004A0B26" w:rsidRDefault="004A0B26" w:rsidP="002B2FFE">
            <w:pPr>
              <w:rPr>
                <w:rFonts w:ascii="宋体" w:hAnsi="宋体"/>
              </w:rPr>
            </w:pPr>
          </w:p>
          <w:p w:rsidR="004A0B26" w:rsidRDefault="004A0B26" w:rsidP="002B2FFE">
            <w:pPr>
              <w:rPr>
                <w:rFonts w:ascii="宋体" w:hAnsi="宋体"/>
              </w:rPr>
            </w:pPr>
            <w:r>
              <w:rPr>
                <w:rFonts w:ascii="宋体" w:hAnsi="宋体" w:hint="eastAsia"/>
              </w:rPr>
              <w:t>1、监管人员完成撤销前相关判断准备工作，如年报审核、重大资产重组实施讨论、投诉意见处理、证监局意见处理等。</w:t>
            </w:r>
          </w:p>
          <w:p w:rsidR="004A0B26" w:rsidRDefault="004A0B26" w:rsidP="002B2FFE">
            <w:pPr>
              <w:rPr>
                <w:rFonts w:ascii="宋体" w:hAnsi="宋体"/>
              </w:rPr>
            </w:pPr>
            <w:r>
              <w:rPr>
                <w:rFonts w:ascii="宋体" w:hAnsi="宋体" w:hint="eastAsia"/>
              </w:rPr>
              <w:t>2、上市公司提交撤销风险警示申请材料。</w:t>
            </w:r>
          </w:p>
          <w:p w:rsidR="004A0B26" w:rsidRDefault="004A0B26" w:rsidP="002B2FFE">
            <w:pPr>
              <w:rPr>
                <w:rFonts w:ascii="宋体" w:hAnsi="宋体"/>
              </w:rPr>
            </w:pPr>
            <w:r>
              <w:rPr>
                <w:rFonts w:ascii="宋体" w:hAnsi="宋体" w:hint="eastAsia"/>
              </w:rPr>
              <w:t>3、复杂问题提交业务讨论（如适用）。</w:t>
            </w:r>
          </w:p>
          <w:p w:rsidR="004A0B26" w:rsidRDefault="004A0B26" w:rsidP="002B2FFE">
            <w:pPr>
              <w:rPr>
                <w:rFonts w:ascii="宋体" w:hAnsi="宋体"/>
              </w:rPr>
            </w:pPr>
          </w:p>
        </w:tc>
        <w:tc>
          <w:tcPr>
            <w:tcW w:w="1260" w:type="dxa"/>
            <w:vAlign w:val="center"/>
          </w:tcPr>
          <w:p w:rsidR="004A0B26" w:rsidRDefault="004A0B26" w:rsidP="002B2FFE">
            <w:pPr>
              <w:jc w:val="center"/>
              <w:rPr>
                <w:rFonts w:ascii="宋体" w:hAnsi="宋体"/>
              </w:rPr>
            </w:pPr>
            <w:r>
              <w:rPr>
                <w:rFonts w:ascii="宋体" w:hAnsi="宋体" w:hint="eastAsia"/>
              </w:rPr>
              <w:t>上市公司</w:t>
            </w:r>
          </w:p>
        </w:tc>
      </w:tr>
      <w:tr w:rsidR="004A0B26" w:rsidTr="002B2FFE">
        <w:trPr>
          <w:trHeight w:val="621"/>
        </w:trPr>
        <w:tc>
          <w:tcPr>
            <w:tcW w:w="360" w:type="dxa"/>
            <w:vMerge/>
            <w:vAlign w:val="center"/>
          </w:tcPr>
          <w:p w:rsidR="004A0B26" w:rsidRDefault="004A0B26" w:rsidP="002B2FFE">
            <w:pPr>
              <w:jc w:val="center"/>
              <w:rPr>
                <w:rFonts w:ascii="宋体" w:hAnsi="宋体"/>
              </w:rPr>
            </w:pPr>
          </w:p>
        </w:tc>
        <w:tc>
          <w:tcPr>
            <w:tcW w:w="720" w:type="dxa"/>
            <w:vMerge/>
            <w:vAlign w:val="center"/>
          </w:tcPr>
          <w:p w:rsidR="004A0B26" w:rsidRDefault="004A0B26" w:rsidP="002B2FFE">
            <w:pPr>
              <w:jc w:val="center"/>
              <w:rPr>
                <w:rFonts w:ascii="宋体" w:hAnsi="宋体"/>
                <w:color w:val="FF6600"/>
              </w:rPr>
            </w:pPr>
          </w:p>
        </w:tc>
        <w:tc>
          <w:tcPr>
            <w:tcW w:w="6300" w:type="dxa"/>
            <w:vAlign w:val="center"/>
          </w:tcPr>
          <w:p w:rsidR="004A0B26" w:rsidRDefault="004A0B26" w:rsidP="002B2FFE">
            <w:pPr>
              <w:rPr>
                <w:rFonts w:ascii="宋体" w:hAnsi="宋体"/>
              </w:rPr>
            </w:pPr>
          </w:p>
          <w:p w:rsidR="004A0B26" w:rsidRDefault="004A0B26" w:rsidP="002B2FFE">
            <w:pPr>
              <w:rPr>
                <w:rFonts w:ascii="宋体" w:hAnsi="宋体"/>
              </w:rPr>
            </w:pPr>
            <w:r>
              <w:rPr>
                <w:rFonts w:ascii="宋体" w:hAnsi="宋体" w:hint="eastAsia"/>
              </w:rPr>
              <w:t>1、监管人员受理申请，根据规则做出判断后审核，如做出同意撤销的决定，出具《上市公司股票交易撤销风险警示审查表</w:t>
            </w:r>
            <w:r w:rsidRPr="00F75480">
              <w:rPr>
                <w:rFonts w:ascii="宋体" w:hAnsi="宋体" w:hint="eastAsia"/>
              </w:rPr>
              <w:t>》</w:t>
            </w:r>
            <w:r>
              <w:rPr>
                <w:rFonts w:ascii="宋体" w:hAnsi="宋体" w:hint="eastAsia"/>
              </w:rPr>
              <w:t>；如做出不予撤销的决定，监管人员书面通知公司并督促公司于次一交易日公告。</w:t>
            </w:r>
          </w:p>
          <w:p w:rsidR="004A0B26" w:rsidRDefault="004A0B26" w:rsidP="002B2FFE">
            <w:pPr>
              <w:rPr>
                <w:rFonts w:ascii="宋体" w:hAnsi="宋体"/>
              </w:rPr>
            </w:pPr>
            <w:r>
              <w:rPr>
                <w:rFonts w:ascii="宋体" w:hAnsi="宋体" w:hint="eastAsia"/>
              </w:rPr>
              <w:t>2、分管复核人员复核《上市公司股票交易撤销风险警示审查表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3、部门总监签批《上市公司股票交易撤销风险警示审查表</w:t>
            </w:r>
            <w:r w:rsidRPr="00F75480">
              <w:rPr>
                <w:rFonts w:ascii="宋体" w:hAnsi="宋体" w:hint="eastAsia"/>
              </w:rPr>
              <w:t>》</w:t>
            </w:r>
            <w:r>
              <w:rPr>
                <w:rFonts w:ascii="宋体" w:hAnsi="宋体" w:hint="eastAsia"/>
              </w:rPr>
              <w:t>；</w:t>
            </w:r>
          </w:p>
          <w:p w:rsidR="004A0B26" w:rsidRPr="00477EC4" w:rsidRDefault="004A0B26" w:rsidP="002B2FFE">
            <w:pPr>
              <w:rPr>
                <w:rFonts w:ascii="宋体" w:hAnsi="宋体"/>
              </w:rPr>
            </w:pPr>
            <w:r>
              <w:rPr>
                <w:rFonts w:ascii="宋体" w:hAnsi="宋体" w:hint="eastAsia"/>
              </w:rPr>
              <w:t>4、总经理室签批《上市公司股票交易撤销风险警示审查表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5、文秘将经总经理室签批后的《上市公司股票交易撤销风险警示审查表</w:t>
            </w:r>
            <w:r w:rsidRPr="00F75480">
              <w:rPr>
                <w:rFonts w:ascii="宋体" w:hAnsi="宋体" w:hint="eastAsia"/>
              </w:rPr>
              <w:t>》</w:t>
            </w:r>
            <w:r>
              <w:rPr>
                <w:rFonts w:ascii="宋体" w:hAnsi="宋体" w:hint="eastAsia"/>
              </w:rPr>
              <w:t>交监管人员，监管人员确认审查表中的实施日期符合信息披露的相关要求，如不符合，应当在业务系统中修改参数，并在审查表中手工修改（因总经理室签字的原因，可能签批后披露日期不签合要求，要推迟披露，故需要重新确认实施日期）。</w:t>
            </w:r>
          </w:p>
          <w:p w:rsidR="004A0B26" w:rsidRDefault="004A0B26" w:rsidP="002B2FFE">
            <w:pPr>
              <w:rPr>
                <w:rFonts w:ascii="宋体" w:hAnsi="宋体"/>
              </w:rPr>
            </w:pPr>
            <w:r>
              <w:rPr>
                <w:rFonts w:ascii="宋体" w:hAnsi="宋体" w:hint="eastAsia"/>
              </w:rPr>
              <w:t>6、信息披露操作员检查《上市公司股票交易撤销风险警示审查表</w:t>
            </w:r>
            <w:r w:rsidRPr="00F75480">
              <w:rPr>
                <w:rFonts w:ascii="宋体" w:hAnsi="宋体" w:hint="eastAsia"/>
              </w:rPr>
              <w:t>》</w:t>
            </w:r>
            <w:r>
              <w:rPr>
                <w:rFonts w:ascii="宋体" w:hAnsi="宋体" w:hint="eastAsia"/>
              </w:rPr>
              <w:t>是否完成签批手续，审查表中的实施日期是否符合信息披露的相关要求，如检查发现问题，应当向监管人员核实并要求修改；如检查通过，则传真给结算公司、系统运行部，并确认对方收悉；回收对方确认的传真件并将其返回监管人员，信息披露操作人员做好业务通知表传递的登记工作；</w:t>
            </w:r>
          </w:p>
          <w:p w:rsidR="004A0B26" w:rsidRDefault="004A0B26" w:rsidP="002B2FFE">
            <w:pPr>
              <w:rPr>
                <w:rFonts w:ascii="宋体" w:hAnsi="宋体"/>
              </w:rPr>
            </w:pPr>
            <w:r>
              <w:rPr>
                <w:rFonts w:ascii="宋体" w:hAnsi="宋体" w:hint="eastAsia"/>
              </w:rPr>
              <w:t>7、监管人员确认签批、知会、远期指令录入相关程序完成后，审核相关撤销风险警示公告，再次检查《上市公司股票交易撤销风险警示审查表</w:t>
            </w:r>
            <w:r w:rsidRPr="00F75480">
              <w:rPr>
                <w:rFonts w:ascii="宋体" w:hAnsi="宋体" w:hint="eastAsia"/>
              </w:rPr>
              <w:t>》</w:t>
            </w:r>
            <w:r>
              <w:rPr>
                <w:rFonts w:ascii="宋体" w:hAnsi="宋体" w:hint="eastAsia"/>
              </w:rPr>
              <w:t>中的实施日期等相关参数符合信息披露的要求，并与上市公司的信息披露文件一致。</w:t>
            </w:r>
          </w:p>
          <w:p w:rsidR="004A0B26" w:rsidRDefault="004A0B26" w:rsidP="002B2FFE">
            <w:pPr>
              <w:rPr>
                <w:rFonts w:ascii="宋体" w:hAnsi="宋体"/>
              </w:rPr>
            </w:pPr>
            <w:r>
              <w:rPr>
                <w:rFonts w:ascii="宋体" w:hAnsi="宋体" w:hint="eastAsia"/>
              </w:rPr>
              <w:t>8、分管复核人员复核相关公告及《上市公司股票交易撤销风险警示审查表</w:t>
            </w:r>
            <w:r w:rsidRPr="00F75480">
              <w:rPr>
                <w:rFonts w:ascii="宋体" w:hAnsi="宋体" w:hint="eastAsia"/>
              </w:rPr>
              <w:t>》</w:t>
            </w:r>
            <w:r>
              <w:rPr>
                <w:rFonts w:ascii="宋体" w:hAnsi="宋体" w:hint="eastAsia"/>
              </w:rPr>
              <w:t>。</w:t>
            </w:r>
          </w:p>
          <w:p w:rsidR="004A0B26" w:rsidRDefault="004A0B26" w:rsidP="002B2FFE">
            <w:pPr>
              <w:rPr>
                <w:rFonts w:ascii="宋体" w:hAnsi="宋体"/>
              </w:rPr>
            </w:pPr>
            <w:r>
              <w:rPr>
                <w:rFonts w:ascii="宋体" w:hAnsi="宋体" w:hint="eastAsia"/>
              </w:rPr>
              <w:t>9、如果在第7、8点发现该项业务被中断导致公告不能及时披露，或《上市公司股票交易撤销风险警示审查表</w:t>
            </w:r>
            <w:r w:rsidRPr="00F75480">
              <w:rPr>
                <w:rFonts w:ascii="宋体" w:hAnsi="宋体" w:hint="eastAsia"/>
              </w:rPr>
              <w:t>》</w:t>
            </w:r>
            <w:r>
              <w:rPr>
                <w:rFonts w:ascii="宋体" w:hAnsi="宋体" w:hint="eastAsia"/>
              </w:rPr>
              <w:t>中的相关业务数据进行了修改的，监管人员必须通知信息披露操作员，取消（或重传）原已传给相关部门的业务指令。</w:t>
            </w:r>
          </w:p>
          <w:p w:rsidR="004A0B26" w:rsidRDefault="004A0B26" w:rsidP="002B2FFE">
            <w:pPr>
              <w:rPr>
                <w:rFonts w:ascii="宋体" w:hAnsi="宋体"/>
              </w:rPr>
            </w:pPr>
            <w:r>
              <w:rPr>
                <w:rFonts w:ascii="宋体" w:hAnsi="宋体" w:hint="eastAsia"/>
              </w:rPr>
              <w:t>10、信息披露操作员在每日期处理完公告后，应当核对当日已传递的记录表与已披露公告是否相符，如发现已传表但公告未出的情形，应当与监管人员核实，如确实存在取消或修改事项的，应当立即通知相关业务部门取清（或修改）原业务报表。</w:t>
            </w:r>
          </w:p>
          <w:p w:rsidR="004A0B26" w:rsidRPr="00B255B8" w:rsidRDefault="004A0B26" w:rsidP="002B2FFE">
            <w:pPr>
              <w:rPr>
                <w:rFonts w:ascii="宋体" w:hAnsi="宋体"/>
              </w:rPr>
            </w:pPr>
            <w:r>
              <w:rPr>
                <w:rFonts w:ascii="宋体" w:hAnsi="宋体" w:hint="eastAsia"/>
              </w:rPr>
              <w:t>11、总复核对当日业务处理进行总复核时，应当核对信息披露操作员的业务报表传递登记表，检查当日已审核通过的信息披露与业务通知表的传递是否一致，确保传给系统运行部的总表与分表完全对应。</w:t>
            </w:r>
          </w:p>
          <w:p w:rsidR="004A0B26" w:rsidRPr="009A45DA" w:rsidRDefault="004A0B26" w:rsidP="002B2FFE">
            <w:pPr>
              <w:rPr>
                <w:rFonts w:ascii="宋体" w:hAnsi="宋体"/>
              </w:rPr>
            </w:pPr>
          </w:p>
        </w:tc>
        <w:tc>
          <w:tcPr>
            <w:tcW w:w="1260" w:type="dxa"/>
            <w:vAlign w:val="center"/>
          </w:tcPr>
          <w:p w:rsidR="004A0B26" w:rsidRDefault="004A0B26" w:rsidP="002B2FFE">
            <w:pPr>
              <w:jc w:val="center"/>
              <w:rPr>
                <w:rFonts w:ascii="宋体" w:hAnsi="宋体"/>
              </w:rPr>
            </w:pPr>
            <w:r>
              <w:rPr>
                <w:rFonts w:ascii="宋体" w:hAnsi="宋体" w:hint="eastAsia"/>
              </w:rPr>
              <w:t>公司管理部</w:t>
            </w:r>
          </w:p>
        </w:tc>
      </w:tr>
      <w:tr w:rsidR="004A0B26" w:rsidTr="002B2FFE">
        <w:trPr>
          <w:trHeight w:val="615"/>
        </w:trPr>
        <w:tc>
          <w:tcPr>
            <w:tcW w:w="360" w:type="dxa"/>
            <w:vAlign w:val="center"/>
          </w:tcPr>
          <w:p w:rsidR="004A0B26" w:rsidRDefault="004A0B26" w:rsidP="002B2FFE">
            <w:pPr>
              <w:jc w:val="center"/>
              <w:rPr>
                <w:rFonts w:ascii="宋体" w:hAnsi="宋体"/>
              </w:rPr>
            </w:pPr>
            <w:r>
              <w:rPr>
                <w:rFonts w:ascii="宋体" w:hAnsi="宋体" w:hint="eastAsia"/>
              </w:rPr>
              <w:t>2</w:t>
            </w:r>
          </w:p>
        </w:tc>
        <w:tc>
          <w:tcPr>
            <w:tcW w:w="720" w:type="dxa"/>
            <w:vAlign w:val="center"/>
          </w:tcPr>
          <w:p w:rsidR="004A0B26" w:rsidRDefault="004A0B26" w:rsidP="002B2FFE">
            <w:pPr>
              <w:jc w:val="center"/>
              <w:rPr>
                <w:rFonts w:ascii="宋体" w:hAnsi="宋体"/>
                <w:color w:val="000000"/>
              </w:rPr>
            </w:pPr>
            <w:r w:rsidRPr="003C18DB">
              <w:rPr>
                <w:rFonts w:ascii="宋体" w:hAnsi="宋体" w:hint="eastAsia"/>
              </w:rPr>
              <w:t>T</w:t>
            </w:r>
            <w:r>
              <w:rPr>
                <w:rFonts w:ascii="宋体" w:hAnsi="宋体" w:hint="eastAsia"/>
              </w:rPr>
              <w:t>-1</w:t>
            </w:r>
            <w:r w:rsidRPr="003C18DB">
              <w:rPr>
                <w:rFonts w:ascii="宋体" w:hAnsi="宋体" w:hint="eastAsia"/>
              </w:rPr>
              <w:t>日</w:t>
            </w:r>
          </w:p>
        </w:tc>
        <w:tc>
          <w:tcPr>
            <w:tcW w:w="6300" w:type="dxa"/>
            <w:vAlign w:val="center"/>
          </w:tcPr>
          <w:p w:rsidR="004A0B26" w:rsidRDefault="004A0B26" w:rsidP="002B2FFE">
            <w:pPr>
              <w:rPr>
                <w:rFonts w:ascii="宋体" w:hAnsi="宋体"/>
              </w:rPr>
            </w:pPr>
            <w:r>
              <w:rPr>
                <w:rFonts w:ascii="宋体" w:hAnsi="宋体" w:hint="eastAsia"/>
              </w:rPr>
              <w:t>1、公告见报。</w:t>
            </w:r>
          </w:p>
          <w:p w:rsidR="004A0B26" w:rsidRDefault="004A0B26" w:rsidP="002B2FFE">
            <w:pPr>
              <w:rPr>
                <w:rFonts w:ascii="宋体" w:hAnsi="宋体"/>
              </w:rPr>
            </w:pPr>
            <w:r>
              <w:rPr>
                <w:rFonts w:ascii="宋体" w:hAnsi="宋体" w:hint="eastAsia"/>
              </w:rPr>
              <w:t>2、股票、衍生品种交易停牌一天。</w:t>
            </w:r>
          </w:p>
        </w:tc>
        <w:tc>
          <w:tcPr>
            <w:tcW w:w="1260" w:type="dxa"/>
            <w:vAlign w:val="center"/>
          </w:tcPr>
          <w:p w:rsidR="004A0B26" w:rsidRPr="00F16A11" w:rsidRDefault="004A0B26" w:rsidP="002B2FFE">
            <w:pPr>
              <w:jc w:val="center"/>
              <w:rPr>
                <w:rFonts w:ascii="宋体" w:hAnsi="宋体"/>
              </w:rPr>
            </w:pPr>
            <w:r>
              <w:rPr>
                <w:rFonts w:ascii="宋体" w:hAnsi="宋体" w:hint="eastAsia"/>
              </w:rPr>
              <w:t>系统运行部</w:t>
            </w:r>
          </w:p>
        </w:tc>
      </w:tr>
      <w:tr w:rsidR="004A0B26" w:rsidTr="002B2FFE">
        <w:trPr>
          <w:trHeight w:val="608"/>
        </w:trPr>
        <w:tc>
          <w:tcPr>
            <w:tcW w:w="360" w:type="dxa"/>
            <w:vAlign w:val="center"/>
          </w:tcPr>
          <w:p w:rsidR="004A0B26" w:rsidRDefault="004A0B26" w:rsidP="002B2FFE">
            <w:pPr>
              <w:jc w:val="center"/>
              <w:rPr>
                <w:rFonts w:ascii="宋体" w:hAnsi="宋体"/>
              </w:rPr>
            </w:pPr>
            <w:r>
              <w:rPr>
                <w:rFonts w:ascii="宋体" w:hAnsi="宋体" w:hint="eastAsia"/>
              </w:rPr>
              <w:t>3</w:t>
            </w:r>
          </w:p>
        </w:tc>
        <w:tc>
          <w:tcPr>
            <w:tcW w:w="720" w:type="dxa"/>
            <w:vAlign w:val="center"/>
          </w:tcPr>
          <w:p w:rsidR="004A0B26" w:rsidRDefault="004A0B26" w:rsidP="002B2FFE">
            <w:pPr>
              <w:jc w:val="center"/>
              <w:rPr>
                <w:rFonts w:ascii="宋体" w:hAnsi="宋体"/>
              </w:rPr>
            </w:pPr>
            <w:r>
              <w:rPr>
                <w:rFonts w:ascii="宋体" w:hAnsi="宋体" w:hint="eastAsia"/>
              </w:rPr>
              <w:t>T日</w:t>
            </w:r>
          </w:p>
        </w:tc>
        <w:tc>
          <w:tcPr>
            <w:tcW w:w="6300" w:type="dxa"/>
            <w:vAlign w:val="center"/>
          </w:tcPr>
          <w:p w:rsidR="004A0B26" w:rsidRDefault="004A0B26" w:rsidP="002B2FFE">
            <w:pPr>
              <w:rPr>
                <w:rFonts w:ascii="宋体" w:hAnsi="宋体"/>
              </w:rPr>
            </w:pPr>
            <w:r>
              <w:rPr>
                <w:rFonts w:ascii="宋体" w:hAnsi="宋体" w:hint="eastAsia"/>
              </w:rPr>
              <w:t>变更简称、实施新的涨跌幅限制。</w:t>
            </w:r>
          </w:p>
        </w:tc>
        <w:tc>
          <w:tcPr>
            <w:tcW w:w="1260" w:type="dxa"/>
            <w:vAlign w:val="center"/>
          </w:tcPr>
          <w:p w:rsidR="004A0B26" w:rsidRPr="00F16A11" w:rsidRDefault="004A0B26" w:rsidP="002B2FFE">
            <w:pPr>
              <w:jc w:val="center"/>
              <w:rPr>
                <w:rFonts w:ascii="宋体" w:hAnsi="宋体"/>
              </w:rPr>
            </w:pPr>
            <w:r>
              <w:rPr>
                <w:rFonts w:ascii="宋体" w:hAnsi="宋体" w:hint="eastAsia"/>
              </w:rPr>
              <w:t>系统运行部</w:t>
            </w:r>
          </w:p>
        </w:tc>
      </w:tr>
    </w:tbl>
    <w:p w:rsidR="004A0B26" w:rsidRPr="00AD63B3" w:rsidRDefault="004A0B26" w:rsidP="004A0B26">
      <w:pPr>
        <w:spacing w:line="360" w:lineRule="auto"/>
        <w:ind w:firstLineChars="225" w:firstLine="540"/>
        <w:rPr>
          <w:sz w:val="24"/>
        </w:rPr>
      </w:pPr>
    </w:p>
    <w:p w:rsidR="004A0B26" w:rsidRPr="00F75480" w:rsidRDefault="004A0B26" w:rsidP="004A0B26">
      <w:pPr>
        <w:spacing w:line="360" w:lineRule="auto"/>
        <w:ind w:firstLineChars="200" w:firstLine="480"/>
        <w:rPr>
          <w:sz w:val="24"/>
        </w:rPr>
      </w:pPr>
      <w:r>
        <w:rPr>
          <w:rFonts w:hint="eastAsia"/>
          <w:sz w:val="24"/>
        </w:rPr>
        <w:t>四</w:t>
      </w:r>
      <w:r w:rsidRPr="00F75480">
        <w:rPr>
          <w:rFonts w:hint="eastAsia"/>
          <w:sz w:val="24"/>
        </w:rPr>
        <w:t>、</w:t>
      </w:r>
      <w:r>
        <w:rPr>
          <w:rFonts w:hint="eastAsia"/>
          <w:sz w:val="24"/>
        </w:rPr>
        <w:t>业务管理系统中的处理</w:t>
      </w:r>
    </w:p>
    <w:p w:rsidR="004A0B26" w:rsidRDefault="004A0B26" w:rsidP="004A0B26">
      <w:pPr>
        <w:spacing w:line="360" w:lineRule="auto"/>
        <w:ind w:firstLineChars="225" w:firstLine="540"/>
        <w:jc w:val="left"/>
        <w:rPr>
          <w:sz w:val="24"/>
        </w:rPr>
      </w:pPr>
      <w:r>
        <w:rPr>
          <w:rFonts w:hint="eastAsia"/>
          <w:sz w:val="24"/>
        </w:rPr>
        <w:t>1</w:t>
      </w:r>
      <w:r>
        <w:rPr>
          <w:rFonts w:hint="eastAsia"/>
          <w:sz w:val="24"/>
        </w:rPr>
        <w:t>、风险警示在业务管理系统中相关的业务类别如下，监管人员应当选择正确的业务类别：</w:t>
      </w:r>
    </w:p>
    <w:tbl>
      <w:tblPr>
        <w:tblW w:w="8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260"/>
        <w:gridCol w:w="2880"/>
        <w:gridCol w:w="1440"/>
        <w:gridCol w:w="1440"/>
      </w:tblGrid>
      <w:tr w:rsidR="004A0B26" w:rsidRPr="00263DBC" w:rsidTr="002B2FFE">
        <w:trPr>
          <w:trHeight w:val="285"/>
        </w:trPr>
        <w:tc>
          <w:tcPr>
            <w:tcW w:w="1275" w:type="dxa"/>
            <w:shd w:val="clear" w:color="auto" w:fill="CCCCCC"/>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序号</w:t>
            </w:r>
          </w:p>
        </w:tc>
        <w:tc>
          <w:tcPr>
            <w:tcW w:w="1260" w:type="dxa"/>
            <w:shd w:val="clear" w:color="auto" w:fill="CCCCCC"/>
            <w:noWrap/>
            <w:vAlign w:val="center"/>
          </w:tcPr>
          <w:p w:rsidR="004A0B26" w:rsidRPr="00263DBC" w:rsidRDefault="004A0B26" w:rsidP="002B2FFE">
            <w:pPr>
              <w:widowControl/>
              <w:jc w:val="left"/>
              <w:rPr>
                <w:rFonts w:ascii="宋体" w:hAnsi="宋体" w:cs="宋体"/>
                <w:kern w:val="0"/>
                <w:szCs w:val="21"/>
              </w:rPr>
            </w:pPr>
            <w:r>
              <w:rPr>
                <w:rFonts w:ascii="宋体" w:hAnsi="宋体" w:cs="宋体" w:hint="eastAsia"/>
                <w:kern w:val="0"/>
                <w:szCs w:val="21"/>
              </w:rPr>
              <w:t>业务编号</w:t>
            </w:r>
          </w:p>
        </w:tc>
        <w:tc>
          <w:tcPr>
            <w:tcW w:w="2880" w:type="dxa"/>
            <w:shd w:val="clear" w:color="auto" w:fill="CCCCCC"/>
            <w:noWrap/>
            <w:vAlign w:val="center"/>
          </w:tcPr>
          <w:p w:rsidR="004A0B26" w:rsidRPr="00263DBC" w:rsidRDefault="004A0B26" w:rsidP="002B2FFE">
            <w:pPr>
              <w:widowControl/>
              <w:jc w:val="left"/>
              <w:rPr>
                <w:rFonts w:ascii="宋体" w:hAnsi="宋体" w:cs="宋体"/>
                <w:kern w:val="0"/>
                <w:szCs w:val="21"/>
              </w:rPr>
            </w:pPr>
            <w:r>
              <w:rPr>
                <w:rFonts w:ascii="宋体" w:hAnsi="宋体" w:cs="宋体" w:hint="eastAsia"/>
                <w:kern w:val="0"/>
                <w:szCs w:val="21"/>
              </w:rPr>
              <w:t>业务类别</w:t>
            </w:r>
          </w:p>
        </w:tc>
        <w:tc>
          <w:tcPr>
            <w:tcW w:w="1440" w:type="dxa"/>
            <w:shd w:val="clear" w:color="auto" w:fill="CCCCCC"/>
            <w:noWrap/>
            <w:vAlign w:val="center"/>
          </w:tcPr>
          <w:p w:rsidR="004A0B26" w:rsidRPr="00263DBC" w:rsidRDefault="004A0B26" w:rsidP="002B2FFE">
            <w:pPr>
              <w:widowControl/>
              <w:jc w:val="left"/>
              <w:rPr>
                <w:rFonts w:ascii="宋体" w:hAnsi="宋体" w:cs="宋体"/>
                <w:kern w:val="0"/>
                <w:szCs w:val="21"/>
              </w:rPr>
            </w:pPr>
            <w:r>
              <w:rPr>
                <w:rFonts w:ascii="宋体" w:hAnsi="宋体" w:cs="宋体" w:hint="eastAsia"/>
                <w:kern w:val="0"/>
                <w:szCs w:val="21"/>
              </w:rPr>
              <w:t>停牌类型</w:t>
            </w:r>
          </w:p>
        </w:tc>
        <w:tc>
          <w:tcPr>
            <w:tcW w:w="1440" w:type="dxa"/>
            <w:shd w:val="clear" w:color="auto" w:fill="CCCCCC"/>
            <w:noWrap/>
            <w:vAlign w:val="center"/>
          </w:tcPr>
          <w:p w:rsidR="004A0B26" w:rsidRPr="00263DBC" w:rsidRDefault="004A0B26" w:rsidP="002B2FFE">
            <w:pPr>
              <w:widowControl/>
              <w:jc w:val="left"/>
              <w:rPr>
                <w:rFonts w:ascii="宋体" w:hAnsi="宋体" w:cs="宋体"/>
                <w:kern w:val="0"/>
                <w:szCs w:val="21"/>
              </w:rPr>
            </w:pPr>
            <w:r>
              <w:rPr>
                <w:rFonts w:ascii="宋体" w:hAnsi="宋体" w:cs="宋体" w:hint="eastAsia"/>
                <w:kern w:val="0"/>
                <w:szCs w:val="21"/>
              </w:rPr>
              <w:t>复核类别</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1</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w:t>
            </w:r>
            <w:r>
              <w:rPr>
                <w:rFonts w:ascii="宋体" w:hAnsi="宋体" w:cs="宋体" w:hint="eastAsia"/>
                <w:kern w:val="0"/>
                <w:szCs w:val="21"/>
              </w:rPr>
              <w:t>000</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实行退市风险警示公告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警示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事前复核</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2</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w:t>
            </w:r>
            <w:r>
              <w:rPr>
                <w:rFonts w:ascii="宋体" w:hAnsi="宋体" w:cs="宋体" w:hint="eastAsia"/>
                <w:kern w:val="0"/>
                <w:szCs w:val="21"/>
              </w:rPr>
              <w:t>010</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实行其他</w:t>
            </w:r>
            <w:r>
              <w:rPr>
                <w:rFonts w:ascii="宋体" w:hAnsi="宋体" w:cs="宋体" w:hint="eastAsia"/>
                <w:kern w:val="0"/>
                <w:szCs w:val="21"/>
              </w:rPr>
              <w:t>风险警示</w:t>
            </w:r>
            <w:r w:rsidRPr="00263DBC">
              <w:rPr>
                <w:rFonts w:ascii="宋体" w:hAnsi="宋体" w:cs="宋体" w:hint="eastAsia"/>
                <w:kern w:val="0"/>
                <w:szCs w:val="21"/>
              </w:rPr>
              <w:t>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警示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事前复核</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3</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w:t>
            </w:r>
            <w:r>
              <w:rPr>
                <w:rFonts w:ascii="宋体" w:hAnsi="宋体" w:cs="宋体" w:hint="eastAsia"/>
                <w:kern w:val="0"/>
                <w:szCs w:val="21"/>
              </w:rPr>
              <w:t>015</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申请撤销</w:t>
            </w:r>
            <w:r>
              <w:rPr>
                <w:rFonts w:ascii="宋体" w:hAnsi="宋体" w:cs="宋体" w:hint="eastAsia"/>
                <w:kern w:val="0"/>
                <w:szCs w:val="21"/>
              </w:rPr>
              <w:t>风险警示</w:t>
            </w:r>
            <w:r w:rsidRPr="00263DBC">
              <w:rPr>
                <w:rFonts w:ascii="宋体" w:hAnsi="宋体" w:cs="宋体" w:hint="eastAsia"/>
                <w:kern w:val="0"/>
                <w:szCs w:val="21"/>
              </w:rPr>
              <w:t>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不停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不需复核</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4</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w:t>
            </w:r>
            <w:r>
              <w:rPr>
                <w:rFonts w:ascii="宋体" w:hAnsi="宋体" w:cs="宋体" w:hint="eastAsia"/>
                <w:kern w:val="0"/>
                <w:szCs w:val="21"/>
              </w:rPr>
              <w:t>020</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不予撤销</w:t>
            </w:r>
            <w:r>
              <w:rPr>
                <w:rFonts w:ascii="宋体" w:hAnsi="宋体" w:cs="宋体" w:hint="eastAsia"/>
                <w:kern w:val="0"/>
                <w:szCs w:val="21"/>
              </w:rPr>
              <w:t>风险警示</w:t>
            </w:r>
            <w:r w:rsidRPr="00263DBC">
              <w:rPr>
                <w:rFonts w:ascii="宋体" w:hAnsi="宋体" w:cs="宋体" w:hint="eastAsia"/>
                <w:kern w:val="0"/>
                <w:szCs w:val="21"/>
              </w:rPr>
              <w:t>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例行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不需复核</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5</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21012</w:t>
            </w:r>
            <w:r>
              <w:rPr>
                <w:rFonts w:ascii="宋体" w:hAnsi="宋体" w:cs="宋体" w:hint="eastAsia"/>
                <w:kern w:val="0"/>
                <w:szCs w:val="21"/>
              </w:rPr>
              <w:t>5</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撤销退市风险警示公告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警示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事前复核</w:t>
            </w:r>
          </w:p>
        </w:tc>
      </w:tr>
      <w:tr w:rsidR="004A0B26" w:rsidRPr="00263DBC" w:rsidTr="002B2FFE">
        <w:trPr>
          <w:trHeight w:val="285"/>
        </w:trPr>
        <w:tc>
          <w:tcPr>
            <w:tcW w:w="1275" w:type="dxa"/>
          </w:tcPr>
          <w:p w:rsidR="004A0B26" w:rsidRPr="00263DBC" w:rsidRDefault="004A0B26" w:rsidP="002B2FFE">
            <w:pPr>
              <w:widowControl/>
              <w:jc w:val="center"/>
              <w:rPr>
                <w:rFonts w:ascii="宋体" w:hAnsi="宋体" w:cs="宋体"/>
                <w:kern w:val="0"/>
                <w:szCs w:val="21"/>
              </w:rPr>
            </w:pPr>
            <w:r>
              <w:rPr>
                <w:rFonts w:ascii="宋体" w:hAnsi="宋体" w:cs="宋体" w:hint="eastAsia"/>
                <w:kern w:val="0"/>
                <w:szCs w:val="21"/>
              </w:rPr>
              <w:t>6</w:t>
            </w:r>
          </w:p>
        </w:tc>
        <w:tc>
          <w:tcPr>
            <w:tcW w:w="126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2101</w:t>
            </w:r>
            <w:r>
              <w:rPr>
                <w:rFonts w:ascii="宋体" w:hAnsi="宋体" w:cs="宋体" w:hint="eastAsia"/>
                <w:kern w:val="0"/>
                <w:szCs w:val="21"/>
              </w:rPr>
              <w:t>30</w:t>
            </w:r>
            <w:r w:rsidRPr="00263DBC">
              <w:rPr>
                <w:rFonts w:ascii="宋体" w:hAnsi="宋体" w:cs="宋体" w:hint="eastAsia"/>
                <w:kern w:val="0"/>
                <w:szCs w:val="21"/>
              </w:rPr>
              <w:t xml:space="preserve">    </w:t>
            </w:r>
          </w:p>
        </w:tc>
        <w:tc>
          <w:tcPr>
            <w:tcW w:w="288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撤销其他</w:t>
            </w:r>
            <w:r>
              <w:rPr>
                <w:rFonts w:ascii="宋体" w:hAnsi="宋体" w:cs="宋体" w:hint="eastAsia"/>
                <w:kern w:val="0"/>
                <w:szCs w:val="21"/>
              </w:rPr>
              <w:t>风险警示</w:t>
            </w:r>
            <w:r w:rsidRPr="00263DBC">
              <w:rPr>
                <w:rFonts w:ascii="宋体" w:hAnsi="宋体" w:cs="宋体" w:hint="eastAsia"/>
                <w:kern w:val="0"/>
                <w:szCs w:val="21"/>
              </w:rPr>
              <w:t>公告</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 xml:space="preserve">警示      </w:t>
            </w:r>
          </w:p>
        </w:tc>
        <w:tc>
          <w:tcPr>
            <w:tcW w:w="1440" w:type="dxa"/>
            <w:shd w:val="clear" w:color="auto" w:fill="auto"/>
            <w:noWrap/>
            <w:vAlign w:val="center"/>
          </w:tcPr>
          <w:p w:rsidR="004A0B26" w:rsidRPr="00263DBC" w:rsidRDefault="004A0B26" w:rsidP="002B2FFE">
            <w:pPr>
              <w:widowControl/>
              <w:jc w:val="left"/>
              <w:rPr>
                <w:rFonts w:ascii="宋体" w:hAnsi="宋体" w:cs="宋体"/>
                <w:kern w:val="0"/>
                <w:szCs w:val="21"/>
              </w:rPr>
            </w:pPr>
            <w:r w:rsidRPr="00263DBC">
              <w:rPr>
                <w:rFonts w:ascii="宋体" w:hAnsi="宋体" w:cs="宋体" w:hint="eastAsia"/>
                <w:kern w:val="0"/>
                <w:szCs w:val="21"/>
              </w:rPr>
              <w:t>事前复核</w:t>
            </w:r>
          </w:p>
        </w:tc>
      </w:tr>
    </w:tbl>
    <w:p w:rsidR="004A0B26" w:rsidRDefault="004A0B26" w:rsidP="004A0B26">
      <w:pPr>
        <w:spacing w:line="360" w:lineRule="auto"/>
        <w:ind w:firstLineChars="225" w:firstLine="540"/>
        <w:jc w:val="left"/>
        <w:rPr>
          <w:sz w:val="24"/>
        </w:rPr>
      </w:pPr>
    </w:p>
    <w:p w:rsidR="004A0B26" w:rsidRDefault="004A0B26" w:rsidP="004A0B26">
      <w:pPr>
        <w:spacing w:line="360" w:lineRule="auto"/>
        <w:ind w:firstLineChars="225" w:firstLine="540"/>
        <w:jc w:val="left"/>
        <w:rPr>
          <w:sz w:val="24"/>
        </w:rPr>
      </w:pPr>
      <w:r>
        <w:rPr>
          <w:rFonts w:hint="eastAsia"/>
          <w:sz w:val="24"/>
        </w:rPr>
        <w:t>2</w:t>
      </w:r>
      <w:r>
        <w:rPr>
          <w:rFonts w:hint="eastAsia"/>
          <w:sz w:val="24"/>
        </w:rPr>
        <w:t>、在业务系统中选择正确业务类别后，按业务系统的提示完成审核工作，录入数据，生成相关报表，举例：“撤销退市风险警示公告“相关录入界面如下图所示。</w:t>
      </w:r>
    </w:p>
    <w:p w:rsidR="004A0B26" w:rsidRDefault="004A0B26" w:rsidP="004A0B26">
      <w:pPr>
        <w:spacing w:line="360" w:lineRule="auto"/>
        <w:jc w:val="left"/>
        <w:rPr>
          <w:noProof/>
        </w:rPr>
      </w:pPr>
      <w:r>
        <w:rPr>
          <w:noProof/>
        </w:rPr>
        <w:drawing>
          <wp:inline distT="0" distB="0" distL="0" distR="0">
            <wp:extent cx="5486400" cy="29502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50210"/>
                    </a:xfrm>
                    <a:prstGeom prst="rect">
                      <a:avLst/>
                    </a:prstGeom>
                    <a:noFill/>
                    <a:ln>
                      <a:noFill/>
                    </a:ln>
                  </pic:spPr>
                </pic:pic>
              </a:graphicData>
            </a:graphic>
          </wp:inline>
        </w:drawing>
      </w:r>
    </w:p>
    <w:p w:rsidR="004A0B26" w:rsidRDefault="004A0B26" w:rsidP="004A0B26">
      <w:pPr>
        <w:spacing w:line="360" w:lineRule="auto"/>
        <w:rPr>
          <w:sz w:val="24"/>
        </w:rPr>
      </w:pPr>
      <w:r>
        <w:rPr>
          <w:rFonts w:hint="eastAsia"/>
          <w:sz w:val="24"/>
        </w:rPr>
        <w:t>右侧的“后续业务流程”显示了当前办理进度。</w:t>
      </w:r>
    </w:p>
    <w:p w:rsidR="004A0B26" w:rsidRPr="00FD1A22" w:rsidRDefault="004A0B26" w:rsidP="004A0B26">
      <w:pPr>
        <w:spacing w:line="360" w:lineRule="auto"/>
        <w:rPr>
          <w:sz w:val="24"/>
        </w:rPr>
      </w:pPr>
      <w:r w:rsidRPr="00FD1A22">
        <w:rPr>
          <w:rFonts w:hint="eastAsia"/>
          <w:sz w:val="24"/>
        </w:rPr>
        <w:t>点击“预览”后可显示通知书样式：</w:t>
      </w:r>
    </w:p>
    <w:p w:rsidR="004A0B26" w:rsidRPr="00FD1A22" w:rsidRDefault="004A0B26" w:rsidP="004A0B26">
      <w:pPr>
        <w:spacing w:line="360" w:lineRule="auto"/>
        <w:rPr>
          <w:sz w:val="24"/>
        </w:rPr>
      </w:pPr>
      <w:r>
        <w:rPr>
          <w:noProof/>
        </w:rPr>
        <w:drawing>
          <wp:inline distT="0" distB="0" distL="0" distR="0">
            <wp:extent cx="5486400" cy="6073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073140"/>
                    </a:xfrm>
                    <a:prstGeom prst="rect">
                      <a:avLst/>
                    </a:prstGeom>
                    <a:noFill/>
                    <a:ln>
                      <a:noFill/>
                    </a:ln>
                  </pic:spPr>
                </pic:pic>
              </a:graphicData>
            </a:graphic>
          </wp:inline>
        </w:drawing>
      </w:r>
    </w:p>
    <w:p w:rsidR="004A0B26" w:rsidRDefault="004A0B26" w:rsidP="004A0B26">
      <w:pPr>
        <w:spacing w:line="360" w:lineRule="auto"/>
        <w:ind w:firstLineChars="225" w:firstLine="540"/>
        <w:jc w:val="left"/>
        <w:rPr>
          <w:rFonts w:ascii="宋体" w:hAnsi="宋体"/>
          <w:sz w:val="24"/>
          <w:szCs w:val="24"/>
        </w:rPr>
        <w:sectPr w:rsidR="004A0B26">
          <w:footerReference w:type="even" r:id="rId10"/>
          <w:footerReference w:type="default" r:id="rId11"/>
          <w:pgSz w:w="11906" w:h="16838"/>
          <w:pgMar w:top="1440" w:right="1800" w:bottom="1440" w:left="1800" w:header="851" w:footer="992" w:gutter="0"/>
          <w:cols w:space="425"/>
          <w:docGrid w:type="lines" w:linePitch="312"/>
        </w:sectPr>
      </w:pPr>
      <w:r w:rsidRPr="008D1573">
        <w:rPr>
          <w:rFonts w:hint="eastAsia"/>
          <w:sz w:val="24"/>
        </w:rPr>
        <w:t>3</w:t>
      </w:r>
      <w:r w:rsidRPr="008D1573">
        <w:rPr>
          <w:rFonts w:hint="eastAsia"/>
          <w:sz w:val="24"/>
        </w:rPr>
        <w:t>、对于有远期事项要处理的，监管人员应当录入远期指令，以提示及时完成下一步处理。</w:t>
      </w:r>
      <w:r>
        <w:rPr>
          <w:rFonts w:hint="eastAsia"/>
          <w:sz w:val="24"/>
        </w:rPr>
        <w:t>如果业务需要，监管人员应根据复核后的《风险警示后续业务处理流程表》在业务管理系统“个人备忘管理”中录入远期信息披露提示信息和停牌提醒信息。</w:t>
      </w:r>
    </w:p>
    <w:p w:rsidR="004A0B26" w:rsidRPr="00F21809" w:rsidRDefault="004A0B26" w:rsidP="004A0B26">
      <w:pPr>
        <w:rPr>
          <w:rFonts w:ascii="黑体" w:eastAsia="黑体" w:hAnsi="宋体"/>
          <w:b/>
          <w:sz w:val="24"/>
          <w:szCs w:val="24"/>
        </w:rPr>
      </w:pPr>
      <w:r w:rsidRPr="00F21809">
        <w:rPr>
          <w:rFonts w:ascii="黑体" w:eastAsia="黑体" w:hAnsi="宋体" w:hint="eastAsia"/>
          <w:b/>
          <w:sz w:val="24"/>
          <w:szCs w:val="24"/>
        </w:rPr>
        <w:t>附件</w:t>
      </w:r>
      <w:r>
        <w:rPr>
          <w:rFonts w:ascii="黑体" w:eastAsia="黑体" w:hAnsi="宋体" w:hint="eastAsia"/>
          <w:b/>
          <w:sz w:val="24"/>
          <w:szCs w:val="24"/>
        </w:rPr>
        <w:t>1</w:t>
      </w:r>
      <w:r w:rsidRPr="00F21809">
        <w:rPr>
          <w:rFonts w:ascii="黑体" w:eastAsia="黑体" w:hAnsi="宋体" w:hint="eastAsia"/>
          <w:b/>
          <w:sz w:val="24"/>
          <w:szCs w:val="24"/>
        </w:rPr>
        <w:t>：</w:t>
      </w:r>
    </w:p>
    <w:p w:rsidR="004A0B26" w:rsidRPr="00063F04" w:rsidRDefault="004A0B26" w:rsidP="004A0B26">
      <w:pPr>
        <w:snapToGrid w:val="0"/>
        <w:spacing w:line="460" w:lineRule="exact"/>
        <w:ind w:firstLineChars="225" w:firstLine="723"/>
        <w:jc w:val="center"/>
        <w:rPr>
          <w:rFonts w:ascii="黑体" w:eastAsia="黑体"/>
          <w:b/>
          <w:sz w:val="32"/>
          <w:szCs w:val="32"/>
        </w:rPr>
      </w:pPr>
      <w:r w:rsidRPr="00063F04">
        <w:rPr>
          <w:rFonts w:ascii="黑体" w:eastAsia="黑体" w:hint="eastAsia"/>
          <w:b/>
          <w:sz w:val="32"/>
          <w:szCs w:val="32"/>
        </w:rPr>
        <w:t>股票交易实</w:t>
      </w:r>
      <w:r>
        <w:rPr>
          <w:rFonts w:ascii="黑体" w:eastAsia="黑体" w:hint="eastAsia"/>
          <w:b/>
          <w:sz w:val="32"/>
          <w:szCs w:val="32"/>
        </w:rPr>
        <w:t>行</w:t>
      </w:r>
      <w:r w:rsidRPr="00063F04">
        <w:rPr>
          <w:rFonts w:ascii="黑体" w:eastAsia="黑体" w:hint="eastAsia"/>
          <w:b/>
          <w:sz w:val="32"/>
          <w:szCs w:val="32"/>
        </w:rPr>
        <w:t>（撤销）</w:t>
      </w:r>
      <w:r>
        <w:rPr>
          <w:rFonts w:ascii="黑体" w:eastAsia="黑体" w:hint="eastAsia"/>
          <w:b/>
          <w:sz w:val="32"/>
          <w:szCs w:val="32"/>
        </w:rPr>
        <w:t>风险警示</w:t>
      </w:r>
      <w:r w:rsidRPr="00063F04">
        <w:rPr>
          <w:rFonts w:ascii="黑体" w:eastAsia="黑体" w:hint="eastAsia"/>
          <w:b/>
          <w:sz w:val="32"/>
          <w:szCs w:val="32"/>
        </w:rPr>
        <w:t>的业务类型及</w:t>
      </w:r>
      <w:r>
        <w:rPr>
          <w:rFonts w:ascii="黑体" w:eastAsia="黑体" w:hint="eastAsia"/>
          <w:b/>
          <w:sz w:val="32"/>
          <w:szCs w:val="32"/>
        </w:rPr>
        <w:t>相关处理</w:t>
      </w:r>
    </w:p>
    <w:p w:rsidR="004A0B26" w:rsidRPr="00063F04" w:rsidRDefault="004A0B26" w:rsidP="004A0B26">
      <w:pPr>
        <w:snapToGrid w:val="0"/>
        <w:spacing w:line="460" w:lineRule="exact"/>
        <w:ind w:firstLineChars="225" w:firstLine="540"/>
        <w:rPr>
          <w:sz w:val="24"/>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320"/>
        <w:gridCol w:w="4500"/>
      </w:tblGrid>
      <w:tr w:rsidR="004A0B26" w:rsidRPr="005A1EB6" w:rsidTr="002B2FFE">
        <w:tc>
          <w:tcPr>
            <w:tcW w:w="5220" w:type="dxa"/>
            <w:shd w:val="clear" w:color="auto" w:fill="auto"/>
          </w:tcPr>
          <w:p w:rsidR="004A0B26" w:rsidRPr="005A1EB6" w:rsidRDefault="004A0B26" w:rsidP="002B2FFE">
            <w:pPr>
              <w:snapToGrid w:val="0"/>
              <w:spacing w:line="400" w:lineRule="exact"/>
              <w:jc w:val="center"/>
              <w:rPr>
                <w:rFonts w:ascii="黑体" w:eastAsia="黑体"/>
                <w:b/>
                <w:szCs w:val="21"/>
              </w:rPr>
            </w:pPr>
            <w:r w:rsidRPr="005A1EB6">
              <w:rPr>
                <w:rFonts w:ascii="黑体" w:eastAsia="黑体" w:hint="eastAsia"/>
                <w:b/>
                <w:szCs w:val="21"/>
              </w:rPr>
              <w:t>股票交易实行风险警示的情形</w:t>
            </w:r>
          </w:p>
        </w:tc>
        <w:tc>
          <w:tcPr>
            <w:tcW w:w="4320" w:type="dxa"/>
            <w:shd w:val="clear" w:color="auto" w:fill="auto"/>
          </w:tcPr>
          <w:p w:rsidR="004A0B26" w:rsidRPr="005A1EB6" w:rsidRDefault="004A0B26" w:rsidP="002B2FFE">
            <w:pPr>
              <w:snapToGrid w:val="0"/>
              <w:spacing w:line="400" w:lineRule="exact"/>
              <w:jc w:val="center"/>
              <w:rPr>
                <w:rFonts w:ascii="黑体" w:eastAsia="黑体"/>
                <w:b/>
                <w:szCs w:val="21"/>
              </w:rPr>
            </w:pPr>
            <w:r w:rsidRPr="005A1EB6">
              <w:rPr>
                <w:rFonts w:ascii="黑体" w:eastAsia="黑体" w:hint="eastAsia"/>
                <w:b/>
                <w:szCs w:val="21"/>
              </w:rPr>
              <w:t>实施的时点及后续处理</w:t>
            </w:r>
          </w:p>
        </w:tc>
        <w:tc>
          <w:tcPr>
            <w:tcW w:w="4500" w:type="dxa"/>
            <w:shd w:val="clear" w:color="auto" w:fill="auto"/>
          </w:tcPr>
          <w:p w:rsidR="004A0B26" w:rsidRPr="005A1EB6" w:rsidRDefault="004A0B26" w:rsidP="002B2FFE">
            <w:pPr>
              <w:snapToGrid w:val="0"/>
              <w:spacing w:line="400" w:lineRule="exact"/>
              <w:jc w:val="center"/>
              <w:rPr>
                <w:rFonts w:ascii="黑体" w:eastAsia="黑体"/>
                <w:b/>
                <w:szCs w:val="21"/>
              </w:rPr>
            </w:pPr>
            <w:r w:rsidRPr="005A1EB6">
              <w:rPr>
                <w:rFonts w:ascii="黑体" w:eastAsia="黑体" w:hint="eastAsia"/>
                <w:b/>
                <w:szCs w:val="21"/>
              </w:rPr>
              <w:t>撤销的条件</w:t>
            </w:r>
          </w:p>
        </w:tc>
      </w:tr>
      <w:tr w:rsidR="004A0B26" w:rsidRPr="005A1EB6" w:rsidTr="002B2FFE">
        <w:tc>
          <w:tcPr>
            <w:tcW w:w="5220" w:type="dxa"/>
            <w:shd w:val="clear" w:color="auto" w:fill="CCCCCC"/>
          </w:tcPr>
          <w:p w:rsidR="004A0B26" w:rsidRPr="005A1EB6" w:rsidRDefault="004A0B26" w:rsidP="002B2FFE">
            <w:pPr>
              <w:snapToGrid w:val="0"/>
              <w:spacing w:line="400" w:lineRule="exact"/>
              <w:rPr>
                <w:rFonts w:ascii="黑体" w:eastAsia="黑体"/>
                <w:b/>
                <w:szCs w:val="21"/>
              </w:rPr>
            </w:pPr>
            <w:r w:rsidRPr="005A1EB6">
              <w:rPr>
                <w:rFonts w:ascii="黑体" w:eastAsia="黑体" w:hint="eastAsia"/>
                <w:b/>
                <w:szCs w:val="21"/>
              </w:rPr>
              <w:t>一、实行退市风险警示</w:t>
            </w:r>
          </w:p>
        </w:tc>
        <w:tc>
          <w:tcPr>
            <w:tcW w:w="4320" w:type="dxa"/>
            <w:shd w:val="clear" w:color="auto" w:fill="CCCCCC"/>
          </w:tcPr>
          <w:p w:rsidR="004A0B26" w:rsidRPr="005A1EB6" w:rsidRDefault="004A0B26" w:rsidP="002B2FFE">
            <w:pPr>
              <w:snapToGrid w:val="0"/>
              <w:spacing w:line="400" w:lineRule="exact"/>
              <w:jc w:val="center"/>
              <w:rPr>
                <w:rFonts w:ascii="黑体" w:eastAsia="黑体"/>
                <w:b/>
                <w:szCs w:val="21"/>
              </w:rPr>
            </w:pPr>
          </w:p>
        </w:tc>
        <w:tc>
          <w:tcPr>
            <w:tcW w:w="4500" w:type="dxa"/>
            <w:shd w:val="clear" w:color="auto" w:fill="CCCCCC"/>
          </w:tcPr>
          <w:p w:rsidR="004A0B26" w:rsidRPr="005A1EB6" w:rsidRDefault="004A0B26" w:rsidP="002B2FFE">
            <w:pPr>
              <w:snapToGrid w:val="0"/>
              <w:spacing w:line="400" w:lineRule="exact"/>
              <w:jc w:val="center"/>
              <w:rPr>
                <w:rFonts w:ascii="黑体" w:eastAsia="黑体"/>
                <w:b/>
                <w:szCs w:val="21"/>
              </w:rPr>
            </w:pP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（一）最近两个会计年度经审计的净利润连续为负值或者因追溯重述导致最近两个会计年度净利润连续为负值；；</w:t>
            </w:r>
          </w:p>
          <w:p w:rsidR="004A0B26" w:rsidRPr="005A1EB6" w:rsidRDefault="004A0B26" w:rsidP="002B2FFE">
            <w:pPr>
              <w:snapToGrid w:val="0"/>
              <w:spacing w:line="400" w:lineRule="exact"/>
              <w:rPr>
                <w:szCs w:val="21"/>
              </w:rPr>
            </w:pPr>
            <w:r w:rsidRPr="005A1EB6">
              <w:rPr>
                <w:rFonts w:hint="eastAsia"/>
                <w:szCs w:val="21"/>
              </w:rPr>
              <w:t>（二）最近一个会计年度经审计的期末净资产为负值或者因追溯重述导致最近一个会计年度期末净资产为负值；</w:t>
            </w:r>
          </w:p>
          <w:p w:rsidR="004A0B26" w:rsidRPr="005A1EB6" w:rsidRDefault="004A0B26" w:rsidP="002B2FFE">
            <w:pPr>
              <w:snapToGrid w:val="0"/>
              <w:spacing w:line="400" w:lineRule="exact"/>
              <w:rPr>
                <w:szCs w:val="21"/>
              </w:rPr>
            </w:pPr>
            <w:r w:rsidRPr="005A1EB6">
              <w:rPr>
                <w:rFonts w:hint="eastAsia"/>
                <w:szCs w:val="21"/>
              </w:rPr>
              <w:t>（三）最近一个会计年度经审计的营业收入低于一千万元或者因追溯重述导致最近一个会计年度营业收入低于一千万元；</w:t>
            </w:r>
          </w:p>
          <w:p w:rsidR="004A0B26" w:rsidRPr="005A1EB6" w:rsidRDefault="004A0B26" w:rsidP="002B2FFE">
            <w:pPr>
              <w:snapToGrid w:val="0"/>
              <w:spacing w:line="400" w:lineRule="exact"/>
              <w:rPr>
                <w:szCs w:val="21"/>
              </w:rPr>
            </w:pPr>
            <w:r w:rsidRPr="005A1EB6">
              <w:rPr>
                <w:rFonts w:hint="eastAsia"/>
                <w:szCs w:val="21"/>
              </w:rPr>
              <w:t>（四）最近一个会计年度的财务会计报告被出具无法表示意见或者否定意见的审计报告；</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一）项至第（四）项规定情形的，应当在董事会审议年度报告或者审议经更正的财务会计报告后，及时向本所报告并提交董事会的书面意见。公司股票及其衍生品种于年度报告或者财务会计报告更正公告披露当日停牌一天。公告日为非交易日的，于次一交易日停牌一天。自复牌之日起，本所对公司股票交易实行退市风险警示。</w:t>
            </w:r>
          </w:p>
        </w:tc>
        <w:tc>
          <w:tcPr>
            <w:tcW w:w="4500" w:type="dxa"/>
            <w:shd w:val="clear" w:color="auto" w:fill="auto"/>
          </w:tcPr>
          <w:p w:rsidR="004A0B26" w:rsidRPr="005A1EB6" w:rsidRDefault="004A0B26" w:rsidP="002B2FFE">
            <w:pPr>
              <w:snapToGrid w:val="0"/>
              <w:spacing w:line="460" w:lineRule="exact"/>
              <w:rPr>
                <w:szCs w:val="21"/>
              </w:rPr>
            </w:pPr>
            <w:r w:rsidRPr="005A1EB6">
              <w:rPr>
                <w:rFonts w:hint="eastAsia"/>
                <w:szCs w:val="21"/>
              </w:rPr>
              <w:t>上市公司最近一个会计年度审计结果表明本规则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条第（一）项至第（四）项规定情形已消除的，公司可以向本所申请对其股票交易撤销退市风险警示。</w:t>
            </w:r>
          </w:p>
          <w:p w:rsidR="004A0B26" w:rsidRPr="005A1EB6" w:rsidRDefault="004A0B26" w:rsidP="002B2FFE">
            <w:pPr>
              <w:snapToGrid w:val="0"/>
              <w:spacing w:line="46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13.2.10</w:t>
              </w:r>
            </w:smartTag>
            <w:r w:rsidRPr="005A1EB6">
              <w:rPr>
                <w:rFonts w:hint="eastAsia"/>
                <w:szCs w:val="21"/>
              </w:rPr>
              <w:t xml:space="preserve">  </w:t>
            </w:r>
            <w:r w:rsidRPr="005A1EB6">
              <w:rPr>
                <w:rFonts w:hint="eastAsia"/>
                <w:szCs w:val="21"/>
              </w:rPr>
              <w:t>上市公司股票交易因本规则</w:t>
            </w:r>
            <w:r w:rsidRPr="005A1EB6">
              <w:rPr>
                <w:rFonts w:hint="eastAsia"/>
                <w:szCs w:val="21"/>
              </w:rPr>
              <w:t>13.2.1</w:t>
            </w:r>
            <w:r w:rsidRPr="005A1EB6">
              <w:rPr>
                <w:rFonts w:hint="eastAsia"/>
                <w:szCs w:val="21"/>
              </w:rPr>
              <w:t>条第（一）项至第（四）项规定情形被本所实行退市风险警示的，在退市风险警示期间，公司进行重大资产重组且满足以下全部条件的，可以向本所申请对其股票交易撤销退市风险警示：</w:t>
            </w:r>
          </w:p>
          <w:p w:rsidR="004A0B26" w:rsidRPr="005A1EB6" w:rsidRDefault="004A0B26" w:rsidP="002B2FFE">
            <w:pPr>
              <w:snapToGrid w:val="0"/>
              <w:spacing w:line="460" w:lineRule="exact"/>
              <w:rPr>
                <w:szCs w:val="21"/>
              </w:rPr>
            </w:pPr>
            <w:r w:rsidRPr="005A1EB6">
              <w:rPr>
                <w:rFonts w:hint="eastAsia"/>
                <w:szCs w:val="21"/>
              </w:rPr>
              <w:t>（一）根据中国证监会有关重大资产重组规定出售全部经营性资产和负债，并购买其他资产且已实施完毕；</w:t>
            </w:r>
          </w:p>
          <w:p w:rsidR="004A0B26" w:rsidRPr="005A1EB6" w:rsidRDefault="004A0B26" w:rsidP="002B2FFE">
            <w:pPr>
              <w:snapToGrid w:val="0"/>
              <w:spacing w:line="460" w:lineRule="exact"/>
              <w:rPr>
                <w:szCs w:val="21"/>
              </w:rPr>
            </w:pPr>
            <w:r w:rsidRPr="005A1EB6">
              <w:rPr>
                <w:rFonts w:hint="eastAsia"/>
                <w:szCs w:val="21"/>
              </w:rPr>
              <w:t>（二）通过购买进入公司的资产是一个完整经营主体，该经营主体在进入公司前已在同一管理层之下持续经营三年以上；</w:t>
            </w:r>
          </w:p>
          <w:p w:rsidR="004A0B26" w:rsidRPr="005A1EB6" w:rsidRDefault="004A0B26" w:rsidP="002B2FFE">
            <w:pPr>
              <w:snapToGrid w:val="0"/>
              <w:spacing w:line="460" w:lineRule="exact"/>
              <w:rPr>
                <w:szCs w:val="21"/>
              </w:rPr>
            </w:pPr>
            <w:r w:rsidRPr="005A1EB6">
              <w:rPr>
                <w:rFonts w:hint="eastAsia"/>
                <w:szCs w:val="21"/>
              </w:rPr>
              <w:t>（三）公司本次购买进入的资产最近一个会计年度经审计的净利润为正值；</w:t>
            </w:r>
          </w:p>
          <w:p w:rsidR="004A0B26" w:rsidRPr="005A1EB6" w:rsidRDefault="004A0B26" w:rsidP="002B2FFE">
            <w:pPr>
              <w:snapToGrid w:val="0"/>
              <w:spacing w:line="460" w:lineRule="exact"/>
              <w:rPr>
                <w:szCs w:val="21"/>
              </w:rPr>
            </w:pPr>
            <w:r w:rsidRPr="005A1EB6">
              <w:rPr>
                <w:rFonts w:hint="eastAsia"/>
                <w:szCs w:val="21"/>
              </w:rPr>
              <w:t>（四）经会计师事务所审核的盈利预测报告显示，公司完成本次重组后盈利能力增强，经营业绩明显改善；</w:t>
            </w:r>
          </w:p>
          <w:p w:rsidR="004A0B26" w:rsidRPr="005A1EB6" w:rsidRDefault="004A0B26" w:rsidP="002B2FFE">
            <w:pPr>
              <w:snapToGrid w:val="0"/>
              <w:spacing w:line="460" w:lineRule="exact"/>
              <w:rPr>
                <w:szCs w:val="21"/>
              </w:rPr>
            </w:pPr>
            <w:r w:rsidRPr="005A1EB6">
              <w:rPr>
                <w:rFonts w:hint="eastAsia"/>
                <w:szCs w:val="21"/>
              </w:rPr>
              <w:t>（五）本所要求的其他条件。</w:t>
            </w:r>
          </w:p>
        </w:tc>
      </w:tr>
      <w:tr w:rsidR="004A0B26" w:rsidRPr="005A1EB6" w:rsidTr="002B2FFE">
        <w:trPr>
          <w:trHeight w:val="2790"/>
        </w:trPr>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（五）因财务会计报告存在重大会计差错或者虚假记载，被中国证监会责令改正但未在规定期限内改正，且公司股票已停牌两个月；</w:t>
            </w:r>
          </w:p>
          <w:p w:rsidR="004A0B26" w:rsidRPr="005A1EB6" w:rsidRDefault="004A0B26" w:rsidP="002B2FFE">
            <w:pPr>
              <w:snapToGrid w:val="0"/>
              <w:spacing w:line="400" w:lineRule="exact"/>
              <w:rPr>
                <w:szCs w:val="21"/>
              </w:rPr>
            </w:pPr>
            <w:r w:rsidRPr="005A1EB6">
              <w:rPr>
                <w:rFonts w:hint="eastAsia"/>
                <w:szCs w:val="21"/>
              </w:rPr>
              <w:t>（六）未在法定期限内披露年度报告或者半年度报告，且公司股票已停牌两个月；</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条第（五）项、第（六）项规定情形的，本所自公司股票及其衍生品种停牌两个月期限届满的次一交易日对其股票及其衍生品种复牌，并自复牌之日起对公司股票交易实行退市风险警示。</w:t>
            </w:r>
          </w:p>
          <w:p w:rsidR="004A0B26" w:rsidRPr="005A1EB6" w:rsidRDefault="004A0B26" w:rsidP="002B2FFE">
            <w:pPr>
              <w:snapToGrid w:val="0"/>
              <w:spacing w:line="400" w:lineRule="exact"/>
              <w:rPr>
                <w:szCs w:val="21"/>
              </w:rPr>
            </w:pPr>
            <w:r w:rsidRPr="005A1EB6">
              <w:rPr>
                <w:rFonts w:hint="eastAsia"/>
                <w:szCs w:val="21"/>
              </w:rPr>
              <w:t>在其股票实行退市风险警示期间，公司应当至少发布三次风险提示公告。</w:t>
            </w: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上市公司股票交易因本规则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条第（五）项、第（六）项规定情形被本所实行退市风险警示，在实行退市风险警示后两个月内上述情形消除的，公司可以向本所申请对其股票交易撤销退市风险警示。</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（七）出现本规则</w:t>
            </w:r>
            <w:r w:rsidRPr="005A1EB6">
              <w:rPr>
                <w:rFonts w:hint="eastAsia"/>
                <w:szCs w:val="21"/>
              </w:rPr>
              <w:t>12.12</w:t>
            </w:r>
            <w:r w:rsidRPr="005A1EB6">
              <w:rPr>
                <w:rFonts w:hint="eastAsia"/>
                <w:szCs w:val="21"/>
              </w:rPr>
              <w:t>条、</w:t>
            </w:r>
            <w:r w:rsidRPr="005A1EB6">
              <w:rPr>
                <w:rFonts w:hint="eastAsia"/>
                <w:szCs w:val="21"/>
              </w:rPr>
              <w:t>12.13</w:t>
            </w:r>
            <w:r w:rsidRPr="005A1EB6">
              <w:rPr>
                <w:rFonts w:hint="eastAsia"/>
                <w:szCs w:val="21"/>
              </w:rPr>
              <w:t>条规定的股权分布不再具备上市条件的情形，公司在规定期限内未披露解决方案，或者披露的解决方案存在重大不确定性的，或者在披露可行的解决方案后一个月内未实施完成；</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条第（七）项规定情形的，本所对公司股票交易实行退市风险警示如下：</w:t>
            </w:r>
          </w:p>
          <w:p w:rsidR="004A0B26" w:rsidRPr="005A1EB6" w:rsidRDefault="004A0B26" w:rsidP="002B2FFE">
            <w:pPr>
              <w:snapToGrid w:val="0"/>
              <w:spacing w:line="400" w:lineRule="exact"/>
              <w:rPr>
                <w:szCs w:val="21"/>
              </w:rPr>
            </w:pPr>
            <w:r w:rsidRPr="005A1EB6">
              <w:rPr>
                <w:rFonts w:hint="eastAsia"/>
                <w:szCs w:val="21"/>
              </w:rPr>
              <w:t>（一）公司未在规定期限内披露股权分布问题解决方案的，应当在规定期限届满后次一交易日披露相关公告，公司股票及其衍生品种于公告日停牌一天。自复牌之日起，本所对公司股票交易实行退市风险警示；</w:t>
            </w:r>
          </w:p>
          <w:p w:rsidR="004A0B26" w:rsidRPr="005A1EB6" w:rsidRDefault="004A0B26" w:rsidP="002B2FFE">
            <w:pPr>
              <w:snapToGrid w:val="0"/>
              <w:spacing w:line="400" w:lineRule="exact"/>
              <w:rPr>
                <w:szCs w:val="21"/>
              </w:rPr>
            </w:pPr>
            <w:r w:rsidRPr="005A1EB6">
              <w:rPr>
                <w:rFonts w:hint="eastAsia"/>
                <w:szCs w:val="21"/>
              </w:rPr>
              <w:t>（二）公司在规定期限内披露股权分布问题解决方案但其方案存在重大不确定性的，公司股票及其衍生品种将于方案公告日停牌一天。公告日为非交易日的，于次一交易日停牌一天。自复牌之日起，本所对公司股票交易实行退市风险警示；</w:t>
            </w:r>
          </w:p>
          <w:p w:rsidR="004A0B26" w:rsidRPr="005A1EB6" w:rsidRDefault="004A0B26" w:rsidP="002B2FFE">
            <w:pPr>
              <w:snapToGrid w:val="0"/>
              <w:spacing w:line="400" w:lineRule="exact"/>
              <w:rPr>
                <w:szCs w:val="21"/>
              </w:rPr>
            </w:pPr>
            <w:r w:rsidRPr="005A1EB6">
              <w:rPr>
                <w:rFonts w:hint="eastAsia"/>
                <w:szCs w:val="21"/>
              </w:rPr>
              <w:t>（三）公司披露了可行的股权分布问题解决方案但未能在一个月内实施完成的，应当在一个月期限届满后次一交易日披露相关公告。公司股票及其衍生品种于公告日停牌一天。自复牌之日起，本所对公司股票交易实行退市风险警示。</w:t>
            </w:r>
          </w:p>
          <w:p w:rsidR="004A0B26" w:rsidRPr="005A1EB6" w:rsidRDefault="004A0B26" w:rsidP="002B2FFE">
            <w:pPr>
              <w:snapToGrid w:val="0"/>
              <w:spacing w:line="400" w:lineRule="exact"/>
              <w:rPr>
                <w:szCs w:val="21"/>
              </w:rPr>
            </w:pPr>
            <w:r w:rsidRPr="005A1EB6">
              <w:rPr>
                <w:rFonts w:hint="eastAsia"/>
                <w:szCs w:val="21"/>
              </w:rPr>
              <w:t>公司应当在其股票恢复交易当日同时发布可能被终止上市的风险提示公告。</w:t>
            </w:r>
          </w:p>
          <w:p w:rsidR="004A0B26" w:rsidRPr="005A1EB6" w:rsidRDefault="004A0B26" w:rsidP="002B2FFE">
            <w:pPr>
              <w:snapToGrid w:val="0"/>
              <w:spacing w:line="400" w:lineRule="exact"/>
              <w:rPr>
                <w:szCs w:val="21"/>
              </w:rPr>
            </w:pP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上市公司股票交易因本规则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条第（七）项情形被本所实行退市风险警示，在六个月内解决其股权分布问题重新具备上市条件的，公司可以向本所申请对其股票交易撤销退市风险警示。</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（八）法院依法受理公司重整、和解或者破产清算申请；</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条第（八）项规定情形的，应当于收到法院受理公司重整、和解或者破产清算申请的裁定文件的当日立即向本所报告，申请公司股票及其衍生品种于次一交易日起停牌，并及时披露相关破产受理公告。</w:t>
            </w:r>
          </w:p>
          <w:p w:rsidR="004A0B26" w:rsidRPr="005A1EB6" w:rsidRDefault="004A0B26" w:rsidP="002B2FFE">
            <w:pPr>
              <w:snapToGrid w:val="0"/>
              <w:spacing w:line="400" w:lineRule="exact"/>
              <w:rPr>
                <w:szCs w:val="21"/>
              </w:rPr>
            </w:pPr>
            <w:r w:rsidRPr="005A1EB6">
              <w:rPr>
                <w:rFonts w:hint="eastAsia"/>
                <w:szCs w:val="21"/>
              </w:rPr>
              <w:t>本所自公司披露相关破产受理公告及实行退市风险警示公告的次一交易日起对其股票及其衍生品种复牌，同时对其股票交易实行退市风险警示。</w:t>
            </w:r>
          </w:p>
          <w:p w:rsidR="004A0B26" w:rsidRPr="005A1EB6" w:rsidRDefault="004A0B26" w:rsidP="002B2FFE">
            <w:pPr>
              <w:snapToGrid w:val="0"/>
              <w:spacing w:line="400" w:lineRule="exact"/>
              <w:rPr>
                <w:szCs w:val="21"/>
              </w:rPr>
            </w:pPr>
            <w:r w:rsidRPr="005A1EB6">
              <w:rPr>
                <w:rFonts w:hint="eastAsia"/>
                <w:szCs w:val="21"/>
              </w:rPr>
              <w:t>公司在其股票被实行退市风险警示期间，除应按照第十一章第十节的规定履行信息披露的义务外，还应至少每五个交易日披露一次公司破产程序或解散事宜的进展情况，提示退市风险。</w:t>
            </w:r>
          </w:p>
          <w:p w:rsidR="004A0B26" w:rsidRPr="005A1EB6" w:rsidRDefault="004A0B26" w:rsidP="002B2FFE">
            <w:pPr>
              <w:snapToGrid w:val="0"/>
              <w:spacing w:line="400" w:lineRule="exact"/>
              <w:rPr>
                <w:szCs w:val="21"/>
              </w:rPr>
            </w:pPr>
            <w:r w:rsidRPr="005A1EB6">
              <w:rPr>
                <w:rFonts w:hint="eastAsia"/>
                <w:szCs w:val="21"/>
              </w:rPr>
              <w:t>上市公司因出现本规则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条第（八）项规定情形其股票交易被实行退市风险警示的，本所将自公司股票交易被实行退市风险警示起二十个交易日届满后次一交易日对该公司股票及其衍生品种实施停牌。</w:t>
            </w:r>
          </w:p>
          <w:p w:rsidR="004A0B26" w:rsidRPr="005A1EB6" w:rsidRDefault="004A0B26" w:rsidP="002B2FFE">
            <w:pPr>
              <w:snapToGrid w:val="0"/>
              <w:spacing w:line="400" w:lineRule="exact"/>
              <w:rPr>
                <w:szCs w:val="21"/>
              </w:rPr>
            </w:pPr>
            <w:r w:rsidRPr="005A1EB6">
              <w:rPr>
                <w:rFonts w:hint="eastAsia"/>
                <w:szCs w:val="21"/>
              </w:rPr>
              <w:t>公司可以在法院作出批准公司重整计划、和解协议，或者终止重整、和解程序的裁定时向本所提出复牌申请。</w:t>
            </w:r>
          </w:p>
          <w:p w:rsidR="004A0B26" w:rsidRPr="005A1EB6" w:rsidRDefault="004A0B26" w:rsidP="002B2FFE">
            <w:pPr>
              <w:snapToGrid w:val="0"/>
              <w:spacing w:line="400" w:lineRule="exact"/>
              <w:rPr>
                <w:szCs w:val="21"/>
              </w:rPr>
            </w:pPr>
            <w:r w:rsidRPr="005A1EB6">
              <w:rPr>
                <w:rFonts w:hint="eastAsia"/>
                <w:szCs w:val="21"/>
              </w:rPr>
              <w:t>本所可以视情况调整该公司股票及其衍生品种的停牌和复牌时间。</w:t>
            </w: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上市公司股票交易因本规则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条第（八）项规定情形被本所实行退市风险警示后，出现以下情形之一的，公司可以向本所申请对其股票交易撤销退市风险警示：</w:t>
            </w:r>
          </w:p>
          <w:p w:rsidR="004A0B26" w:rsidRPr="005A1EB6" w:rsidRDefault="004A0B26" w:rsidP="002B2FFE">
            <w:pPr>
              <w:snapToGrid w:val="0"/>
              <w:spacing w:line="400" w:lineRule="exact"/>
              <w:rPr>
                <w:szCs w:val="21"/>
              </w:rPr>
            </w:pPr>
            <w:r w:rsidRPr="005A1EB6">
              <w:rPr>
                <w:rFonts w:hint="eastAsia"/>
                <w:szCs w:val="21"/>
              </w:rPr>
              <w:t>（一）重整计划执行完毕；</w:t>
            </w:r>
          </w:p>
          <w:p w:rsidR="004A0B26" w:rsidRPr="005A1EB6" w:rsidRDefault="004A0B26" w:rsidP="002B2FFE">
            <w:pPr>
              <w:snapToGrid w:val="0"/>
              <w:spacing w:line="400" w:lineRule="exact"/>
              <w:rPr>
                <w:szCs w:val="21"/>
              </w:rPr>
            </w:pPr>
            <w:r w:rsidRPr="005A1EB6">
              <w:rPr>
                <w:rFonts w:hint="eastAsia"/>
                <w:szCs w:val="21"/>
              </w:rPr>
              <w:t>（二）和解协议执行完毕；</w:t>
            </w:r>
          </w:p>
          <w:p w:rsidR="004A0B26" w:rsidRPr="005A1EB6" w:rsidRDefault="004A0B26" w:rsidP="002B2FFE">
            <w:pPr>
              <w:snapToGrid w:val="0"/>
              <w:spacing w:line="400" w:lineRule="exact"/>
              <w:rPr>
                <w:szCs w:val="21"/>
              </w:rPr>
            </w:pPr>
            <w:r w:rsidRPr="005A1EB6">
              <w:rPr>
                <w:rFonts w:hint="eastAsia"/>
                <w:szCs w:val="21"/>
              </w:rPr>
              <w:t>（三）法院受理破产申请后至破产宣告前，依据《企业破产法》规定情形作出驳回破产申请的裁定，且申请人在法定期限内未上诉的；</w:t>
            </w:r>
          </w:p>
          <w:p w:rsidR="004A0B26" w:rsidRPr="005A1EB6" w:rsidRDefault="004A0B26" w:rsidP="002B2FFE">
            <w:pPr>
              <w:snapToGrid w:val="0"/>
              <w:spacing w:line="400" w:lineRule="exact"/>
              <w:rPr>
                <w:szCs w:val="21"/>
              </w:rPr>
            </w:pPr>
            <w:r w:rsidRPr="005A1EB6">
              <w:rPr>
                <w:rFonts w:hint="eastAsia"/>
                <w:szCs w:val="21"/>
              </w:rPr>
              <w:t>（四）法院受理破产申请后至破产宣告前，依据《企业破产法》第一百零八条规定情形，作出终结破产程序的裁定。</w:t>
            </w:r>
          </w:p>
          <w:p w:rsidR="004A0B26" w:rsidRPr="005A1EB6" w:rsidRDefault="004A0B26" w:rsidP="002B2FFE">
            <w:pPr>
              <w:snapToGrid w:val="0"/>
              <w:spacing w:line="400" w:lineRule="exact"/>
              <w:rPr>
                <w:szCs w:val="21"/>
              </w:rPr>
            </w:pPr>
            <w:r w:rsidRPr="005A1EB6">
              <w:rPr>
                <w:rFonts w:hint="eastAsia"/>
                <w:szCs w:val="21"/>
              </w:rPr>
              <w:t>公司因前款第（一）项、第（二）项情形向本所申请对其股票交易撤销退市风险警示的，应当聘请律师事务所对公司重整计划或者和解协议执行情况出具法律意见书，并向本所提交该法律意见书及其他执行情况说明文件。</w:t>
            </w:r>
          </w:p>
          <w:p w:rsidR="004A0B26" w:rsidRPr="005A1EB6" w:rsidRDefault="004A0B26" w:rsidP="002B2FFE">
            <w:pPr>
              <w:snapToGrid w:val="0"/>
              <w:spacing w:line="400" w:lineRule="exact"/>
              <w:rPr>
                <w:szCs w:val="21"/>
              </w:rPr>
            </w:pPr>
            <w:r w:rsidRPr="005A1EB6">
              <w:rPr>
                <w:rFonts w:hint="eastAsia"/>
                <w:szCs w:val="21"/>
              </w:rPr>
              <w:t xml:space="preserve"> </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（九）出现可能导致公司解散的情形</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九）项规定情形的，应当于知悉当日立即向本所报告，公司股票及其衍生品种于本所知悉该情形之日起停牌，直至公司披露可能被解散及股票交易实行退市风险警示公告的次一交易日开市时复牌。自复牌之日起，本所对公司股票交易实行退市风险警示。</w:t>
            </w:r>
          </w:p>
          <w:p w:rsidR="004A0B26" w:rsidRPr="005A1EB6" w:rsidRDefault="004A0B26" w:rsidP="002B2FFE">
            <w:pPr>
              <w:snapToGrid w:val="0"/>
              <w:spacing w:line="400" w:lineRule="exact"/>
              <w:rPr>
                <w:szCs w:val="21"/>
              </w:rPr>
            </w:pPr>
            <w:r w:rsidRPr="005A1EB6">
              <w:rPr>
                <w:rFonts w:hint="eastAsia"/>
                <w:szCs w:val="21"/>
              </w:rPr>
              <w:t>在其股票交易被实行退市风险警示期间，公司应当至少每月披露一次解散事宜的进展情况，提示解散风险。</w:t>
            </w: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上市公司股票交易因本规则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13.2.1</w:t>
              </w:r>
            </w:smartTag>
            <w:r w:rsidRPr="005A1EB6">
              <w:rPr>
                <w:rFonts w:hint="eastAsia"/>
                <w:szCs w:val="21"/>
              </w:rPr>
              <w:t>条第（九）项规定情形被本所实行退市风险警示后，公司认为该项情形已消除的，可以向本所申请对其股票交易撤销退市风险警示。</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（十）本所认定的其他存在退市风险的情形。</w:t>
            </w:r>
          </w:p>
        </w:tc>
        <w:tc>
          <w:tcPr>
            <w:tcW w:w="4320" w:type="dxa"/>
            <w:shd w:val="clear" w:color="auto" w:fill="auto"/>
          </w:tcPr>
          <w:p w:rsidR="004A0B26" w:rsidRPr="005A1EB6" w:rsidRDefault="004A0B26" w:rsidP="002B2FFE">
            <w:pPr>
              <w:snapToGrid w:val="0"/>
              <w:spacing w:line="400" w:lineRule="exact"/>
              <w:rPr>
                <w:szCs w:val="21"/>
              </w:rPr>
            </w:pP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本所决定撤销退市风险警示的，上市公司应当按照本所要求在撤销退市风险警示的前一个交易日作出公告。</w:t>
            </w:r>
          </w:p>
          <w:p w:rsidR="004A0B26" w:rsidRPr="005A1EB6" w:rsidRDefault="004A0B26" w:rsidP="002B2FFE">
            <w:pPr>
              <w:snapToGrid w:val="0"/>
              <w:spacing w:line="400" w:lineRule="exact"/>
              <w:rPr>
                <w:szCs w:val="21"/>
              </w:rPr>
            </w:pPr>
            <w:r w:rsidRPr="005A1EB6">
              <w:rPr>
                <w:rFonts w:hint="eastAsia"/>
                <w:szCs w:val="21"/>
              </w:rPr>
              <w:t>公司股票及其衍生品种于公告日停牌一天，自复牌之日起本所对公司股票交易撤销退市风险警示。</w:t>
            </w:r>
          </w:p>
          <w:p w:rsidR="004A0B26" w:rsidRPr="005A1EB6" w:rsidRDefault="004A0B26" w:rsidP="002B2FFE">
            <w:pPr>
              <w:snapToGrid w:val="0"/>
              <w:spacing w:line="400" w:lineRule="exact"/>
              <w:rPr>
                <w:szCs w:val="21"/>
              </w:rPr>
            </w:pPr>
            <w:r w:rsidRPr="005A1EB6">
              <w:rPr>
                <w:rFonts w:hint="eastAsia"/>
                <w:szCs w:val="21"/>
              </w:rPr>
              <w:t>本所决定不予撤销退市风险警示的，上市公司应当在收到本所有关书面通知的次一交易日作出公告。</w:t>
            </w:r>
          </w:p>
        </w:tc>
      </w:tr>
      <w:tr w:rsidR="004A0B26" w:rsidRPr="005A1EB6" w:rsidTr="002B2FFE">
        <w:tc>
          <w:tcPr>
            <w:tcW w:w="5220" w:type="dxa"/>
            <w:shd w:val="clear" w:color="auto" w:fill="CCCCCC"/>
          </w:tcPr>
          <w:p w:rsidR="004A0B26" w:rsidRPr="005A1EB6" w:rsidRDefault="004A0B26" w:rsidP="002B2FFE">
            <w:pPr>
              <w:snapToGrid w:val="0"/>
              <w:spacing w:line="400" w:lineRule="exact"/>
              <w:rPr>
                <w:rFonts w:ascii="黑体" w:eastAsia="黑体"/>
                <w:b/>
                <w:szCs w:val="21"/>
              </w:rPr>
            </w:pPr>
            <w:r w:rsidRPr="005A1EB6">
              <w:rPr>
                <w:rFonts w:ascii="黑体" w:eastAsia="黑体" w:hint="eastAsia"/>
                <w:b/>
                <w:szCs w:val="21"/>
              </w:rPr>
              <w:t>二、实行其它风险警示</w:t>
            </w:r>
          </w:p>
        </w:tc>
        <w:tc>
          <w:tcPr>
            <w:tcW w:w="4320" w:type="dxa"/>
            <w:shd w:val="clear" w:color="auto" w:fill="CCCCCC"/>
          </w:tcPr>
          <w:p w:rsidR="004A0B26" w:rsidRPr="005A1EB6" w:rsidRDefault="004A0B26" w:rsidP="002B2FFE">
            <w:pPr>
              <w:snapToGrid w:val="0"/>
              <w:spacing w:line="400" w:lineRule="exact"/>
              <w:jc w:val="center"/>
              <w:rPr>
                <w:rFonts w:ascii="黑体" w:eastAsia="黑体"/>
                <w:b/>
                <w:szCs w:val="21"/>
              </w:rPr>
            </w:pPr>
          </w:p>
        </w:tc>
        <w:tc>
          <w:tcPr>
            <w:tcW w:w="4500" w:type="dxa"/>
            <w:shd w:val="clear" w:color="auto" w:fill="CCCCCC"/>
          </w:tcPr>
          <w:p w:rsidR="004A0B26" w:rsidRPr="005A1EB6" w:rsidRDefault="004A0B26" w:rsidP="002B2FFE">
            <w:pPr>
              <w:snapToGrid w:val="0"/>
              <w:spacing w:line="400" w:lineRule="exact"/>
              <w:jc w:val="center"/>
              <w:rPr>
                <w:rFonts w:ascii="黑体" w:eastAsia="黑体"/>
                <w:b/>
                <w:szCs w:val="21"/>
              </w:rPr>
            </w:pP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（一）公司生产经营活动受到严重影响且预计在三个月以内不能恢复正常；</w:t>
            </w:r>
          </w:p>
        </w:tc>
        <w:tc>
          <w:tcPr>
            <w:tcW w:w="4320" w:type="dxa"/>
            <w:vMerge w:val="restart"/>
            <w:shd w:val="clear" w:color="auto" w:fill="auto"/>
          </w:tcPr>
          <w:p w:rsidR="004A0B26" w:rsidRPr="005A1EB6" w:rsidRDefault="004A0B26" w:rsidP="002B2FFE">
            <w:pPr>
              <w:snapToGrid w:val="0"/>
              <w:spacing w:line="400" w:lineRule="exact"/>
              <w:rPr>
                <w:szCs w:val="21"/>
              </w:rPr>
            </w:pPr>
            <w:r w:rsidRPr="005A1EB6">
              <w:rPr>
                <w:rFonts w:hint="eastAsia"/>
                <w:szCs w:val="21"/>
              </w:rPr>
              <w:t>属于本规则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条第（一）项、第（二）项规定情形的，应当在事实发生后及时向本所报告并提交董事会意见；</w:t>
            </w:r>
          </w:p>
          <w:p w:rsidR="004A0B26" w:rsidRPr="005A1EB6" w:rsidRDefault="004A0B26" w:rsidP="002B2FFE">
            <w:pPr>
              <w:snapToGrid w:val="0"/>
              <w:spacing w:line="400" w:lineRule="exact"/>
              <w:rPr>
                <w:szCs w:val="21"/>
              </w:rPr>
            </w:pPr>
            <w:r w:rsidRPr="005A1EB6">
              <w:rPr>
                <w:rFonts w:hint="eastAsia"/>
                <w:szCs w:val="21"/>
              </w:rPr>
              <w:t>属于本规则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条第（三）项规定情形的，应当在事实发生后及时向本所报告并提交公司报告。</w:t>
            </w:r>
          </w:p>
          <w:p w:rsidR="004A0B26" w:rsidRPr="005A1EB6" w:rsidRDefault="004A0B26" w:rsidP="002B2FFE">
            <w:pPr>
              <w:snapToGrid w:val="0"/>
              <w:spacing w:line="400" w:lineRule="exact"/>
              <w:rPr>
                <w:szCs w:val="21"/>
              </w:rPr>
            </w:pPr>
            <w:r w:rsidRPr="005A1EB6">
              <w:rPr>
                <w:rFonts w:hint="eastAsia"/>
                <w:szCs w:val="21"/>
              </w:rPr>
              <w:t>本所在收到相关材料后决定是否对该公司股票交易实行其他风险警示。</w:t>
            </w:r>
          </w:p>
        </w:tc>
        <w:tc>
          <w:tcPr>
            <w:tcW w:w="4500" w:type="dxa"/>
            <w:vMerge w:val="restart"/>
            <w:shd w:val="clear" w:color="auto" w:fill="auto"/>
          </w:tcPr>
          <w:p w:rsidR="004A0B26" w:rsidRPr="005A1EB6" w:rsidRDefault="004A0B26" w:rsidP="002B2FFE">
            <w:pPr>
              <w:tabs>
                <w:tab w:val="left" w:pos="612"/>
                <w:tab w:val="left" w:pos="762"/>
                <w:tab w:val="left" w:pos="1080"/>
              </w:tabs>
              <w:snapToGrid w:val="0"/>
              <w:spacing w:line="400" w:lineRule="exact"/>
              <w:rPr>
                <w:szCs w:val="21"/>
              </w:rPr>
            </w:pPr>
            <w:r w:rsidRPr="005A1EB6">
              <w:rPr>
                <w:rFonts w:hint="eastAsia"/>
                <w:szCs w:val="21"/>
              </w:rPr>
              <w:t>上市公司认为其出现的本规则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条第（一）项至第（三）项规定情形已消除的，可以向本所申请对其股票交易撤销其他风险警示。</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（二）公司主要银行帐号被冻结；</w:t>
            </w:r>
          </w:p>
        </w:tc>
        <w:tc>
          <w:tcPr>
            <w:tcW w:w="4320" w:type="dxa"/>
            <w:vMerge/>
            <w:shd w:val="clear" w:color="auto" w:fill="auto"/>
          </w:tcPr>
          <w:p w:rsidR="004A0B26" w:rsidRPr="005A1EB6" w:rsidRDefault="004A0B26" w:rsidP="002B2FFE">
            <w:pPr>
              <w:snapToGrid w:val="0"/>
              <w:spacing w:line="400" w:lineRule="exact"/>
              <w:rPr>
                <w:szCs w:val="21"/>
              </w:rPr>
            </w:pPr>
          </w:p>
        </w:tc>
        <w:tc>
          <w:tcPr>
            <w:tcW w:w="4500" w:type="dxa"/>
            <w:vMerge/>
            <w:shd w:val="clear" w:color="auto" w:fill="auto"/>
          </w:tcPr>
          <w:p w:rsidR="004A0B26" w:rsidRPr="005A1EB6" w:rsidRDefault="004A0B26" w:rsidP="002B2FFE">
            <w:pPr>
              <w:snapToGrid w:val="0"/>
              <w:spacing w:line="400" w:lineRule="exact"/>
              <w:rPr>
                <w:szCs w:val="21"/>
              </w:rPr>
            </w:pP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（三）公司董事会无法正常召开会议并形成董事会决议；</w:t>
            </w:r>
          </w:p>
        </w:tc>
        <w:tc>
          <w:tcPr>
            <w:tcW w:w="4320" w:type="dxa"/>
            <w:vMerge/>
            <w:shd w:val="clear" w:color="auto" w:fill="auto"/>
          </w:tcPr>
          <w:p w:rsidR="004A0B26" w:rsidRPr="005A1EB6" w:rsidRDefault="004A0B26" w:rsidP="002B2FFE">
            <w:pPr>
              <w:snapToGrid w:val="0"/>
              <w:spacing w:line="400" w:lineRule="exact"/>
              <w:rPr>
                <w:szCs w:val="21"/>
              </w:rPr>
            </w:pPr>
          </w:p>
        </w:tc>
        <w:tc>
          <w:tcPr>
            <w:tcW w:w="4500" w:type="dxa"/>
            <w:vMerge/>
            <w:shd w:val="clear" w:color="auto" w:fill="auto"/>
          </w:tcPr>
          <w:p w:rsidR="004A0B26" w:rsidRPr="005A1EB6" w:rsidRDefault="004A0B26" w:rsidP="002B2FFE">
            <w:pPr>
              <w:snapToGrid w:val="0"/>
              <w:spacing w:line="400" w:lineRule="exact"/>
              <w:rPr>
                <w:szCs w:val="21"/>
              </w:rPr>
            </w:pP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（四）公司向控股股东或其关联方提供资金或违反法定程序对外提供担保情形严重的；</w:t>
            </w:r>
          </w:p>
          <w:p w:rsidR="004A0B26" w:rsidRPr="005A1EB6" w:rsidRDefault="004A0B26" w:rsidP="002B2FFE">
            <w:pPr>
              <w:snapToGrid w:val="0"/>
              <w:spacing w:line="400" w:lineRule="exact"/>
              <w:rPr>
                <w:szCs w:val="21"/>
              </w:rPr>
            </w:pP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上市公司出现本规则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条第（四）项规定情形的，应当在事实发生之日后及时向本所报告、提交董事会意见并公告，同时披露股票交易可能被实行其他风险警示情形的风险提示公告。</w:t>
            </w:r>
          </w:p>
          <w:p w:rsidR="004A0B26" w:rsidRPr="005A1EB6" w:rsidRDefault="004A0B26" w:rsidP="002B2FFE">
            <w:pPr>
              <w:snapToGrid w:val="0"/>
              <w:spacing w:line="400" w:lineRule="exact"/>
              <w:rPr>
                <w:szCs w:val="21"/>
              </w:rPr>
            </w:pPr>
            <w:r w:rsidRPr="005A1EB6">
              <w:rPr>
                <w:rFonts w:hint="eastAsia"/>
                <w:szCs w:val="21"/>
              </w:rPr>
              <w:t>本所在收到相关材料后决定是否对该公司股票交易实行其他风险警示。</w:t>
            </w:r>
          </w:p>
        </w:tc>
        <w:tc>
          <w:tcPr>
            <w:tcW w:w="4500" w:type="dxa"/>
            <w:vMerge w:val="restart"/>
            <w:shd w:val="clear" w:color="auto" w:fill="auto"/>
          </w:tcPr>
          <w:p w:rsidR="004A0B26" w:rsidRPr="005A1EB6" w:rsidRDefault="004A0B26" w:rsidP="002B2FFE">
            <w:pPr>
              <w:snapToGrid w:val="0"/>
              <w:spacing w:line="400" w:lineRule="exact"/>
              <w:rPr>
                <w:szCs w:val="21"/>
              </w:rPr>
            </w:pPr>
            <w:r w:rsidRPr="005A1EB6">
              <w:rPr>
                <w:rFonts w:hint="eastAsia"/>
                <w:szCs w:val="21"/>
              </w:rPr>
              <w:t>上市公司认为其出现的本规则</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条第（四）项规定情形已消除的，应当及时对外公告，并可以向本所申请对其股票交易撤销其他风险警示：</w:t>
            </w:r>
          </w:p>
          <w:p w:rsidR="004A0B26" w:rsidRPr="005A1EB6" w:rsidRDefault="004A0B26" w:rsidP="002B2FFE">
            <w:pPr>
              <w:snapToGrid w:val="0"/>
              <w:spacing w:line="400" w:lineRule="exact"/>
              <w:rPr>
                <w:szCs w:val="21"/>
              </w:rPr>
            </w:pPr>
            <w:r w:rsidRPr="005A1EB6">
              <w:rPr>
                <w:rFonts w:hint="eastAsia"/>
                <w:szCs w:val="21"/>
              </w:rPr>
              <w:t>（一）公司向控股股东或者其关联人提供资金事项情形已消除，并向本所申请对其股票交易撤销其他风险警示的，应当提交会计师事务所出具的专项审核报告、独立董事出具的专项意见等文件；</w:t>
            </w:r>
          </w:p>
          <w:p w:rsidR="004A0B26" w:rsidRPr="005A1EB6" w:rsidRDefault="004A0B26" w:rsidP="002B2FFE">
            <w:pPr>
              <w:snapToGrid w:val="0"/>
              <w:spacing w:line="400" w:lineRule="exact"/>
              <w:rPr>
                <w:szCs w:val="21"/>
              </w:rPr>
            </w:pPr>
            <w:r w:rsidRPr="005A1EB6">
              <w:rPr>
                <w:rFonts w:hint="eastAsia"/>
                <w:szCs w:val="21"/>
              </w:rPr>
              <w:t>（二）公司违规对外担保事项已得到纠正，并向本所申请对其股票交易撤销其他风险警示的，应当提交律师事务所出具的法律意见书、独立董事出具的专项意见等文件。</w:t>
            </w: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p>
        </w:tc>
        <w:tc>
          <w:tcPr>
            <w:tcW w:w="4320" w:type="dxa"/>
            <w:shd w:val="clear" w:color="auto" w:fill="auto"/>
          </w:tcPr>
          <w:p w:rsidR="004A0B26" w:rsidRPr="005A1EB6" w:rsidRDefault="004A0B26" w:rsidP="002B2FFE">
            <w:pPr>
              <w:snapToGrid w:val="0"/>
              <w:spacing w:line="400" w:lineRule="exact"/>
              <w:rPr>
                <w:szCs w:val="21"/>
              </w:rPr>
            </w:pPr>
          </w:p>
        </w:tc>
        <w:tc>
          <w:tcPr>
            <w:tcW w:w="4500" w:type="dxa"/>
            <w:vMerge/>
            <w:shd w:val="clear" w:color="auto" w:fill="auto"/>
          </w:tcPr>
          <w:p w:rsidR="004A0B26" w:rsidRPr="005A1EB6" w:rsidRDefault="004A0B26" w:rsidP="002B2FFE">
            <w:pPr>
              <w:snapToGrid w:val="0"/>
              <w:spacing w:line="400" w:lineRule="exact"/>
              <w:rPr>
                <w:szCs w:val="21"/>
              </w:rPr>
            </w:pPr>
          </w:p>
        </w:tc>
      </w:tr>
      <w:tr w:rsidR="004A0B26" w:rsidRPr="005A1EB6" w:rsidTr="002B2FFE">
        <w:tc>
          <w:tcPr>
            <w:tcW w:w="5220" w:type="dxa"/>
            <w:shd w:val="clear" w:color="auto" w:fill="auto"/>
          </w:tcPr>
          <w:p w:rsidR="004A0B26" w:rsidRPr="005A1EB6" w:rsidRDefault="004A0B26" w:rsidP="002B2FFE">
            <w:pPr>
              <w:snapToGrid w:val="0"/>
              <w:spacing w:line="400" w:lineRule="exact"/>
              <w:rPr>
                <w:szCs w:val="21"/>
              </w:rPr>
            </w:pPr>
            <w:r w:rsidRPr="005A1EB6">
              <w:rPr>
                <w:rFonts w:hint="eastAsia"/>
                <w:szCs w:val="21"/>
              </w:rPr>
              <w:t>（五）中国证监会或本所认定的其他情形。</w:t>
            </w:r>
          </w:p>
        </w:tc>
        <w:tc>
          <w:tcPr>
            <w:tcW w:w="4320" w:type="dxa"/>
            <w:shd w:val="clear" w:color="auto" w:fill="auto"/>
          </w:tcPr>
          <w:p w:rsidR="004A0B26" w:rsidRPr="005A1EB6" w:rsidRDefault="004A0B26" w:rsidP="002B2FFE">
            <w:pPr>
              <w:snapToGrid w:val="0"/>
              <w:spacing w:line="400" w:lineRule="exact"/>
              <w:rPr>
                <w:szCs w:val="21"/>
              </w:rPr>
            </w:pPr>
            <w:r w:rsidRPr="005A1EB6">
              <w:rPr>
                <w:rFonts w:hint="eastAsia"/>
                <w:szCs w:val="21"/>
              </w:rPr>
              <w:t>属于</w:t>
            </w:r>
            <w:smartTag w:uri="urn:schemas-microsoft-com:office:smarttags" w:element="chsdate">
              <w:smartTagPr>
                <w:attr w:name="IsROCDate" w:val="False"/>
                <w:attr w:name="IsLunarDate" w:val="False"/>
                <w:attr w:name="Day" w:val="30"/>
                <w:attr w:name="Month" w:val="12"/>
                <w:attr w:name="Year" w:val="1899"/>
              </w:smartTagPr>
              <w:r w:rsidRPr="005A1EB6">
                <w:rPr>
                  <w:rFonts w:hint="eastAsia"/>
                  <w:szCs w:val="21"/>
                </w:rPr>
                <w:t>13.3.1</w:t>
              </w:r>
            </w:smartTag>
            <w:r w:rsidRPr="005A1EB6">
              <w:rPr>
                <w:rFonts w:hint="eastAsia"/>
                <w:szCs w:val="21"/>
              </w:rPr>
              <w:t>条第（五）项情形的，应当在事实发生后及时向本所报告并提交公司报告。</w:t>
            </w:r>
          </w:p>
          <w:p w:rsidR="004A0B26" w:rsidRPr="005A1EB6" w:rsidRDefault="004A0B26" w:rsidP="002B2FFE">
            <w:pPr>
              <w:snapToGrid w:val="0"/>
              <w:spacing w:line="400" w:lineRule="exact"/>
              <w:rPr>
                <w:szCs w:val="21"/>
              </w:rPr>
            </w:pPr>
            <w:r w:rsidRPr="005A1EB6">
              <w:rPr>
                <w:rFonts w:hint="eastAsia"/>
                <w:szCs w:val="21"/>
              </w:rPr>
              <w:t>本所在收到相关材料后决定是否对该公司股票交易实行其他风险警示。</w:t>
            </w:r>
          </w:p>
        </w:tc>
        <w:tc>
          <w:tcPr>
            <w:tcW w:w="4500" w:type="dxa"/>
            <w:shd w:val="clear" w:color="auto" w:fill="auto"/>
          </w:tcPr>
          <w:p w:rsidR="004A0B26" w:rsidRPr="005A1EB6" w:rsidRDefault="004A0B26" w:rsidP="002B2FFE">
            <w:pPr>
              <w:snapToGrid w:val="0"/>
              <w:spacing w:line="400" w:lineRule="exact"/>
              <w:rPr>
                <w:szCs w:val="21"/>
              </w:rPr>
            </w:pPr>
            <w:r w:rsidRPr="005A1EB6">
              <w:rPr>
                <w:rFonts w:hint="eastAsia"/>
                <w:szCs w:val="21"/>
              </w:rPr>
              <w:t>本所决定撤销其他风险警示的，上市公司应当按照本所要求在撤销其他风险警示的前一个交易日披露相关公告。</w:t>
            </w:r>
          </w:p>
          <w:p w:rsidR="004A0B26" w:rsidRPr="005A1EB6" w:rsidRDefault="004A0B26" w:rsidP="002B2FFE">
            <w:pPr>
              <w:snapToGrid w:val="0"/>
              <w:spacing w:line="400" w:lineRule="exact"/>
              <w:rPr>
                <w:szCs w:val="21"/>
              </w:rPr>
            </w:pPr>
            <w:r w:rsidRPr="005A1EB6">
              <w:rPr>
                <w:rFonts w:hint="eastAsia"/>
                <w:szCs w:val="21"/>
              </w:rPr>
              <w:t>公告日公司股票及其衍生品种停牌一天，本所自复牌之日起对公司股票交易撤销其他风险警示。</w:t>
            </w:r>
          </w:p>
          <w:p w:rsidR="004A0B26" w:rsidRPr="005A1EB6" w:rsidRDefault="004A0B26" w:rsidP="002B2FFE">
            <w:pPr>
              <w:snapToGrid w:val="0"/>
              <w:spacing w:line="400" w:lineRule="exact"/>
              <w:rPr>
                <w:szCs w:val="21"/>
              </w:rPr>
            </w:pPr>
            <w:r w:rsidRPr="005A1EB6">
              <w:rPr>
                <w:rFonts w:hint="eastAsia"/>
                <w:szCs w:val="21"/>
              </w:rPr>
              <w:t>本所决定不予撤销其他风险警示的，上市公司应当于收到本所书面通知的次一交易日披露相关公告。</w:t>
            </w:r>
          </w:p>
        </w:tc>
      </w:tr>
    </w:tbl>
    <w:p w:rsidR="004A0B26" w:rsidRDefault="004A0B26" w:rsidP="004A0B26">
      <w:pPr>
        <w:rPr>
          <w:rFonts w:ascii="宋体" w:hAnsi="宋体"/>
          <w:sz w:val="24"/>
          <w:szCs w:val="24"/>
        </w:rPr>
        <w:sectPr w:rsidR="004A0B26" w:rsidSect="00323827">
          <w:pgSz w:w="16838" w:h="11906" w:orient="landscape"/>
          <w:pgMar w:top="1797" w:right="1440" w:bottom="1797" w:left="1440" w:header="851" w:footer="992" w:gutter="0"/>
          <w:cols w:space="425"/>
          <w:docGrid w:type="lines" w:linePitch="312"/>
        </w:sectPr>
      </w:pPr>
    </w:p>
    <w:p w:rsidR="004A0B26" w:rsidRDefault="004A0B26" w:rsidP="004A0B26">
      <w:pPr>
        <w:jc w:val="left"/>
        <w:rPr>
          <w:rFonts w:ascii="楷体_GB2312"/>
          <w:b/>
          <w:bCs/>
          <w:sz w:val="24"/>
          <w:szCs w:val="24"/>
        </w:rPr>
      </w:pPr>
      <w:r w:rsidRPr="00F21809">
        <w:rPr>
          <w:rFonts w:ascii="黑体" w:eastAsia="黑体" w:hAnsi="宋体" w:hint="eastAsia"/>
          <w:b/>
          <w:sz w:val="24"/>
          <w:szCs w:val="24"/>
        </w:rPr>
        <w:t>附件</w:t>
      </w:r>
      <w:r w:rsidR="004F74C9">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-493395</wp:posOffset>
                </wp:positionV>
                <wp:extent cx="1257300" cy="592455"/>
                <wp:effectExtent l="0" t="0" r="19050" b="1714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245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4A0B26" w:rsidRDefault="004A0B26" w:rsidP="004A0B26">
                            <w:pPr>
                              <w:jc w:val="center"/>
                              <w:rPr>
                                <w:b/>
                              </w:rPr>
                            </w:pPr>
                            <w:r>
                              <w:rPr>
                                <w:rFonts w:hint="eastAsia"/>
                                <w:b/>
                                <w:szCs w:val="21"/>
                              </w:rPr>
                              <w:t>内部使用</w:t>
                            </w:r>
                          </w:p>
                          <w:p w:rsidR="004A0B26" w:rsidRDefault="004A0B26" w:rsidP="004A0B26">
                            <w:pPr>
                              <w:rPr>
                                <w:b/>
                                <w:sz w:val="15"/>
                              </w:rPr>
                            </w:pPr>
                            <w:r>
                              <w:rPr>
                                <w:rFonts w:hint="eastAsia"/>
                                <w:b/>
                                <w:sz w:val="15"/>
                              </w:rPr>
                              <w:t>敏感级别：</w:t>
                            </w:r>
                            <w:r>
                              <w:rPr>
                                <w:rFonts w:hint="eastAsia"/>
                                <w:b/>
                                <w:sz w:val="15"/>
                                <w:u w:val="single"/>
                              </w:rPr>
                              <w:t>商密</w:t>
                            </w:r>
                            <w:r>
                              <w:rPr>
                                <w:b/>
                                <w:sz w:val="15"/>
                                <w:u w:val="single"/>
                              </w:rPr>
                              <w:t>A</w:t>
                            </w:r>
                            <w:r>
                              <w:rPr>
                                <w:rFonts w:hint="eastAsia"/>
                                <w:b/>
                                <w:sz w:val="15"/>
                                <w:u w:val="single"/>
                              </w:rPr>
                              <w:t>▲长期</w:t>
                            </w:r>
                            <w:r>
                              <w:rPr>
                                <w:b/>
                                <w:sz w:val="15"/>
                                <w:u w:val="single"/>
                              </w:rPr>
                              <w:t xml:space="preserve">     </w:t>
                            </w:r>
                          </w:p>
                          <w:p w:rsidR="004A0B26" w:rsidRDefault="004A0B26" w:rsidP="004A0B26">
                            <w:pPr>
                              <w:rPr>
                                <w:sz w:val="28"/>
                              </w:rPr>
                            </w:pPr>
                            <w:r>
                              <w:rPr>
                                <w:rFonts w:hint="eastAsia"/>
                                <w:b/>
                                <w:sz w:val="15"/>
                              </w:rPr>
                              <w:t>生效时间：〈制表日期〉</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51pt;margin-top:-38.85pt;width:99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" filled="f" fillcolor="red" strokecolor="red" strokeweight="1.5pt">
                <v:textbox inset=",.5mm,,.5mm">
                  <w:txbxContent>
                    <w:p w:rsidR="004A0B26" w:rsidRDefault="004A0B26" w:rsidP="004A0B26">
                      <w:pPr>
                        <w:jc w:val="center"/>
                        <w:rPr>
                          <w:b/>
                        </w:rPr>
                      </w:pPr>
                      <w:r>
                        <w:rPr>
                          <w:rFonts w:hint="eastAsia"/>
                          <w:b/>
                          <w:szCs w:val="21"/>
                        </w:rPr>
                        <w:t>内部使用</w:t>
                      </w:r>
                    </w:p>
                    <w:p w:rsidR="004A0B26" w:rsidRDefault="004A0B26" w:rsidP="004A0B26">
                      <w:pPr>
                        <w:rPr>
                          <w:b/>
                          <w:sz w:val="15"/>
                        </w:rPr>
                      </w:pPr>
                      <w:r>
                        <w:rPr>
                          <w:rFonts w:hint="eastAsia"/>
                          <w:b/>
                          <w:sz w:val="15"/>
                        </w:rPr>
                        <w:t>敏感级别：</w:t>
                      </w:r>
                      <w:r>
                        <w:rPr>
                          <w:rFonts w:hint="eastAsia"/>
                          <w:b/>
                          <w:sz w:val="15"/>
                          <w:u w:val="single"/>
                        </w:rPr>
                        <w:t>商密</w:t>
                      </w:r>
                      <w:r>
                        <w:rPr>
                          <w:b/>
                          <w:sz w:val="15"/>
                          <w:u w:val="single"/>
                        </w:rPr>
                        <w:t>A</w:t>
                      </w:r>
                      <w:r>
                        <w:rPr>
                          <w:rFonts w:hint="eastAsia"/>
                          <w:b/>
                          <w:sz w:val="15"/>
                          <w:u w:val="single"/>
                        </w:rPr>
                        <w:t>▲长期</w:t>
                      </w:r>
                      <w:r>
                        <w:rPr>
                          <w:b/>
                          <w:sz w:val="15"/>
                          <w:u w:val="single"/>
                        </w:rPr>
                        <w:t xml:space="preserve">     </w:t>
                      </w:r>
                    </w:p>
                    <w:p w:rsidR="004A0B26" w:rsidRDefault="004A0B26" w:rsidP="004A0B26">
                      <w:pPr>
                        <w:rPr>
                          <w:sz w:val="28"/>
                        </w:rPr>
                      </w:pPr>
                      <w:r>
                        <w:rPr>
                          <w:rFonts w:hint="eastAsia"/>
                          <w:b/>
                          <w:sz w:val="15"/>
                        </w:rPr>
                        <w:t>生效时间：〈制表日期〉</w:t>
                      </w:r>
                    </w:p>
                  </w:txbxContent>
                </v:textbox>
              </v:shape>
            </w:pict>
          </mc:Fallback>
        </mc:AlternateContent>
      </w:r>
      <w:r>
        <w:rPr>
          <w:rFonts w:ascii="黑体" w:eastAsia="黑体" w:hAnsi="宋体" w:hint="eastAsia"/>
          <w:b/>
          <w:sz w:val="24"/>
          <w:szCs w:val="24"/>
        </w:rPr>
        <w:t>2</w:t>
      </w:r>
    </w:p>
    <w:p w:rsidR="004A0B26" w:rsidRDefault="004A0B26" w:rsidP="004A0B26">
      <w:pPr>
        <w:spacing w:line="480" w:lineRule="auto"/>
        <w:jc w:val="center"/>
        <w:rPr>
          <w:rFonts w:ascii="CG Times"/>
          <w:b/>
          <w:sz w:val="30"/>
          <w:szCs w:val="30"/>
        </w:rPr>
      </w:pPr>
      <w:r>
        <w:rPr>
          <w:rFonts w:hint="eastAsia"/>
          <w:b/>
          <w:sz w:val="30"/>
          <w:szCs w:val="30"/>
        </w:rPr>
        <w:t>上市公司股票交易实施风险警示通知书</w:t>
      </w:r>
    </w:p>
    <w:p w:rsidR="004A0B26" w:rsidRDefault="004A0B26" w:rsidP="004A0B26">
      <w:pPr>
        <w:pStyle w:val="a7"/>
        <w:spacing w:line="360" w:lineRule="auto"/>
        <w:rPr>
          <w:rFonts w:ascii="楷体_GB2312" w:eastAsia="楷体_GB2312"/>
          <w:sz w:val="24"/>
        </w:rPr>
      </w:pPr>
      <w:r>
        <w:rPr>
          <w:rFonts w:ascii="楷体_GB2312" w:eastAsia="楷体_GB2312" w:hint="eastAsia"/>
          <w:sz w:val="24"/>
        </w:rPr>
        <w:t>制表日期：</w:t>
      </w:r>
      <w:r w:rsidRPr="006A6A29">
        <w:rPr>
          <w:rFonts w:ascii="楷体_GB2312" w:eastAsia="楷体_GB2312"/>
          <w:sz w:val="24"/>
        </w:rPr>
        <w:t>0000-00-00</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186"/>
        <w:gridCol w:w="3056"/>
        <w:gridCol w:w="3111"/>
      </w:tblGrid>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公司名称</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公司名称</w:t>
            </w:r>
            <w:r>
              <w:rPr>
                <w:rFonts w:ascii="楷体_GB2312" w:hint="eastAsia"/>
                <w:sz w:val="24"/>
                <w:szCs w:val="24"/>
              </w:rPr>
              <w:t>&gt;</w:t>
            </w: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异常情形的类别</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异常情形类别</w:t>
            </w:r>
            <w:r>
              <w:rPr>
                <w:rFonts w:ascii="楷体_GB2312" w:hint="eastAsia"/>
                <w:sz w:val="24"/>
                <w:szCs w:val="24"/>
              </w:rPr>
              <w:t>&gt;</w:t>
            </w: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实施风险警示的类别</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sidRPr="00E410CD">
              <w:rPr>
                <w:rFonts w:eastAsia="仿宋_GB2312" w:hint="eastAsia"/>
                <w:b/>
                <w:sz w:val="24"/>
              </w:rPr>
              <w:t>⊙退市风险警示（</w:t>
            </w:r>
            <w:r w:rsidRPr="00E410CD">
              <w:rPr>
                <w:rFonts w:eastAsia="仿宋_GB2312" w:hint="eastAsia"/>
                <w:b/>
                <w:sz w:val="24"/>
              </w:rPr>
              <w:t>*ST</w:t>
            </w:r>
            <w:r w:rsidRPr="00E410CD">
              <w:rPr>
                <w:rFonts w:eastAsia="仿宋_GB2312" w:hint="eastAsia"/>
                <w:b/>
                <w:sz w:val="24"/>
              </w:rPr>
              <w:t>）</w:t>
            </w:r>
            <w:r w:rsidRPr="00E410CD">
              <w:rPr>
                <w:rFonts w:eastAsia="仿宋_GB2312" w:hint="eastAsia"/>
                <w:b/>
                <w:sz w:val="24"/>
              </w:rPr>
              <w:t xml:space="preserve">  </w:t>
            </w:r>
            <w:r w:rsidRPr="00E410CD">
              <w:rPr>
                <w:rFonts w:eastAsia="仿宋_GB2312" w:hint="eastAsia"/>
                <w:b/>
                <w:sz w:val="24"/>
              </w:rPr>
              <w:t>○其它</w:t>
            </w:r>
            <w:r>
              <w:rPr>
                <w:rFonts w:eastAsia="仿宋_GB2312" w:hint="eastAsia"/>
                <w:b/>
                <w:sz w:val="24"/>
              </w:rPr>
              <w:t>风险警示</w:t>
            </w:r>
            <w:r w:rsidRPr="00E410CD">
              <w:rPr>
                <w:rFonts w:eastAsia="仿宋_GB2312" w:hint="eastAsia"/>
                <w:b/>
                <w:sz w:val="24"/>
              </w:rPr>
              <w:t>（</w:t>
            </w:r>
            <w:r w:rsidRPr="00E410CD">
              <w:rPr>
                <w:rFonts w:eastAsia="仿宋_GB2312" w:hint="eastAsia"/>
                <w:b/>
                <w:sz w:val="24"/>
              </w:rPr>
              <w:t>ST</w:t>
            </w:r>
            <w:r w:rsidRPr="00E410CD">
              <w:rPr>
                <w:rFonts w:eastAsia="仿宋_GB2312" w:hint="eastAsia"/>
                <w:b/>
                <w:sz w:val="24"/>
              </w:rPr>
              <w:t>）</w:t>
            </w:r>
          </w:p>
        </w:tc>
      </w:tr>
      <w:tr w:rsidR="004A0B26" w:rsidTr="002B2FFE">
        <w:trPr>
          <w:cantSplit/>
          <w:jc w:val="center"/>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4A0B26" w:rsidRPr="00F903F1" w:rsidRDefault="004A0B26" w:rsidP="002B2FFE">
            <w:pPr>
              <w:spacing w:beforeLines="30" w:before="93" w:afterLines="30" w:after="93"/>
              <w:jc w:val="left"/>
              <w:rPr>
                <w:rFonts w:ascii="楷体_GB2312" w:eastAsia="楷体_GB2312" w:hAnsi="CG Times"/>
                <w:b/>
                <w:sz w:val="24"/>
                <w:szCs w:val="24"/>
              </w:rPr>
            </w:pPr>
            <w:r>
              <w:rPr>
                <w:rFonts w:ascii="楷体_GB2312" w:hint="eastAsia"/>
                <w:b/>
                <w:sz w:val="24"/>
                <w:szCs w:val="24"/>
              </w:rPr>
              <w:t>拟实施风险警示的情况</w:t>
            </w:r>
          </w:p>
        </w:tc>
      </w:tr>
      <w:tr w:rsidR="004A0B26" w:rsidTr="002B2FFE">
        <w:trPr>
          <w:cantSplit/>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CG Times"/>
                <w:sz w:val="24"/>
                <w:szCs w:val="24"/>
              </w:rPr>
            </w:pPr>
            <w:r>
              <w:rPr>
                <w:rFonts w:ascii="楷体_GB2312" w:hint="eastAsia"/>
                <w:sz w:val="24"/>
                <w:szCs w:val="24"/>
              </w:rPr>
              <w:t>证券类型</w:t>
            </w:r>
          </w:p>
        </w:tc>
        <w:tc>
          <w:tcPr>
            <w:tcW w:w="1186"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宋体"/>
                <w:sz w:val="24"/>
                <w:szCs w:val="24"/>
              </w:rPr>
            </w:pPr>
            <w:r>
              <w:rPr>
                <w:rFonts w:ascii="楷体_GB2312" w:hAnsi="宋体" w:hint="eastAsia"/>
                <w:sz w:val="24"/>
                <w:szCs w:val="24"/>
              </w:rPr>
              <w:t>证券代码</w:t>
            </w:r>
          </w:p>
        </w:tc>
        <w:tc>
          <w:tcPr>
            <w:tcW w:w="3056"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宋体"/>
                <w:sz w:val="24"/>
                <w:szCs w:val="24"/>
              </w:rPr>
            </w:pPr>
            <w:r>
              <w:rPr>
                <w:rFonts w:ascii="楷体_GB2312" w:hAnsi="宋体" w:hint="eastAsia"/>
                <w:sz w:val="24"/>
                <w:szCs w:val="24"/>
              </w:rPr>
              <w:t>原证券简称</w:t>
            </w:r>
          </w:p>
        </w:tc>
        <w:tc>
          <w:tcPr>
            <w:tcW w:w="3111"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宋体"/>
                <w:sz w:val="24"/>
                <w:szCs w:val="24"/>
              </w:rPr>
            </w:pPr>
            <w:r>
              <w:rPr>
                <w:rFonts w:ascii="楷体_GB2312" w:hint="eastAsia"/>
                <w:sz w:val="24"/>
                <w:szCs w:val="24"/>
              </w:rPr>
              <w:t>拟实施风险警示后证券简称</w:t>
            </w:r>
          </w:p>
        </w:tc>
      </w:tr>
      <w:tr w:rsidR="004A0B26" w:rsidTr="002B2FFE">
        <w:trPr>
          <w:cantSplit/>
          <w:jc w:val="center"/>
        </w:trPr>
        <w:tc>
          <w:tcPr>
            <w:tcW w:w="1402"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11"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jc w:val="center"/>
        </w:trPr>
        <w:tc>
          <w:tcPr>
            <w:tcW w:w="1402"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11"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jc w:val="center"/>
        </w:trPr>
        <w:tc>
          <w:tcPr>
            <w:tcW w:w="1402"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11"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拟实施风险警示的日期</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实施日期</w:t>
            </w:r>
            <w:r>
              <w:rPr>
                <w:rFonts w:ascii="楷体_GB2312" w:hint="eastAsia"/>
                <w:sz w:val="24"/>
                <w:szCs w:val="24"/>
              </w:rPr>
              <w:t>&gt;</w:t>
            </w:r>
          </w:p>
        </w:tc>
      </w:tr>
      <w:tr w:rsidR="004A0B26" w:rsidTr="002B2FFE">
        <w:trPr>
          <w:cantSplit/>
          <w:jc w:val="center"/>
        </w:trPr>
        <w:tc>
          <w:tcPr>
            <w:tcW w:w="8755" w:type="dxa"/>
            <w:gridSpan w:val="4"/>
            <w:tcBorders>
              <w:top w:val="single" w:sz="4" w:space="0" w:color="auto"/>
              <w:left w:val="single" w:sz="4" w:space="0" w:color="auto"/>
              <w:bottom w:val="single" w:sz="4" w:space="0" w:color="auto"/>
              <w:right w:val="single" w:sz="4" w:space="0" w:color="auto"/>
            </w:tcBorders>
            <w:hideMark/>
          </w:tcPr>
          <w:p w:rsidR="004A0B26" w:rsidRDefault="004A0B26" w:rsidP="002B2FFE">
            <w:pPr>
              <w:spacing w:beforeLines="30" w:before="93" w:afterLines="30" w:after="93"/>
              <w:jc w:val="left"/>
              <w:rPr>
                <w:rFonts w:ascii="楷体_GB2312" w:eastAsia="楷体_GB2312" w:hAnsi="Tahoma" w:cs="Tahoma"/>
                <w:sz w:val="24"/>
                <w:szCs w:val="24"/>
              </w:rPr>
            </w:pPr>
            <w:r>
              <w:rPr>
                <w:rFonts w:ascii="楷体_GB2312" w:hAnsi="宋体" w:cs="Tahoma" w:hint="eastAsia"/>
                <w:b/>
                <w:sz w:val="24"/>
              </w:rPr>
              <w:t>公司管理部审核意见</w:t>
            </w:r>
          </w:p>
        </w:tc>
      </w:tr>
      <w:tr w:rsidR="004A0B26" w:rsidTr="002B2FFE">
        <w:trPr>
          <w:cantSplit/>
          <w:jc w:val="center"/>
        </w:trPr>
        <w:tc>
          <w:tcPr>
            <w:tcW w:w="8755" w:type="dxa"/>
            <w:gridSpan w:val="4"/>
            <w:tcBorders>
              <w:top w:val="single" w:sz="4" w:space="0" w:color="auto"/>
              <w:left w:val="single" w:sz="4" w:space="0" w:color="auto"/>
              <w:bottom w:val="single" w:sz="4" w:space="0" w:color="auto"/>
              <w:right w:val="single" w:sz="4" w:space="0" w:color="auto"/>
            </w:tcBorders>
            <w:hideMark/>
          </w:tcPr>
          <w:p w:rsidR="004A0B26" w:rsidRPr="00695B47" w:rsidRDefault="004A0B26" w:rsidP="002B2FFE">
            <w:pPr>
              <w:spacing w:line="480" w:lineRule="exact"/>
              <w:rPr>
                <w:rFonts w:eastAsia="仿宋_GB2312"/>
                <w:b/>
                <w:sz w:val="24"/>
                <w:szCs w:val="24"/>
              </w:rPr>
            </w:pPr>
            <w:r w:rsidRPr="00695B47">
              <w:rPr>
                <w:rFonts w:eastAsia="仿宋_GB2312" w:hint="eastAsia"/>
                <w:b/>
                <w:sz w:val="24"/>
                <w:szCs w:val="24"/>
              </w:rPr>
              <w:t>（</w:t>
            </w:r>
            <w:r w:rsidRPr="006A6A29">
              <w:rPr>
                <w:rFonts w:eastAsia="仿宋_GB2312" w:hint="eastAsia"/>
                <w:b/>
                <w:sz w:val="24"/>
                <w:szCs w:val="24"/>
              </w:rPr>
              <w:t>主审人员</w:t>
            </w:r>
            <w:r w:rsidRPr="00695B47">
              <w:rPr>
                <w:rFonts w:eastAsia="仿宋_GB2312" w:hint="eastAsia"/>
                <w:b/>
                <w:sz w:val="24"/>
                <w:szCs w:val="24"/>
              </w:rPr>
              <w:t>根据具体情况选择填写）</w:t>
            </w:r>
          </w:p>
          <w:p w:rsidR="004A0B26" w:rsidRPr="006A6A29" w:rsidRDefault="004A0B26" w:rsidP="002B2FFE">
            <w:pPr>
              <w:spacing w:line="360" w:lineRule="auto"/>
              <w:ind w:firstLine="570"/>
              <w:rPr>
                <w:rFonts w:ascii="仿宋_GB2312" w:eastAsia="仿宋_GB2312" w:hAnsi="宋体"/>
                <w:sz w:val="18"/>
                <w:szCs w:val="18"/>
              </w:rPr>
            </w:pPr>
            <w:r w:rsidRPr="006A6A29">
              <w:rPr>
                <w:rFonts w:ascii="仿宋_GB2312" w:eastAsia="仿宋_GB2312" w:hAnsi="宋体" w:hint="eastAsia"/>
                <w:sz w:val="18"/>
                <w:szCs w:val="18"/>
              </w:rPr>
              <w:t>上市公司股票交易实行ST或*ST的，“审查意见”填写模板举例如下：</w:t>
            </w:r>
          </w:p>
          <w:p w:rsidR="004A0B26" w:rsidRPr="006A6A29" w:rsidRDefault="004A0B26" w:rsidP="002B2FFE">
            <w:pPr>
              <w:spacing w:line="360" w:lineRule="auto"/>
              <w:ind w:firstLine="570"/>
              <w:rPr>
                <w:rFonts w:ascii="宋体" w:hAnsi="宋体"/>
                <w:sz w:val="18"/>
                <w:szCs w:val="18"/>
              </w:rPr>
            </w:pPr>
            <w:r w:rsidRPr="006A6A29">
              <w:rPr>
                <w:rFonts w:ascii="宋体" w:hAnsi="宋体" w:hint="eastAsia"/>
                <w:sz w:val="18"/>
                <w:szCs w:val="18"/>
              </w:rPr>
              <w:t>公司XXXX年年度报告显示，XXXX、XXXX年公司经审计归属于上市公司股东的净利润分别为-XXX万元、-XXX万元。根据《股票上市规则》第</w:t>
            </w:r>
            <w:smartTag w:uri="urn:schemas-microsoft-com:office:smarttags" w:element="chsdate">
              <w:smartTagPr>
                <w:attr w:name="Year" w:val="1899"/>
                <w:attr w:name="Month" w:val="12"/>
                <w:attr w:name="Day" w:val="30"/>
                <w:attr w:name="IsLunarDate" w:val="False"/>
                <w:attr w:name="IsROCDate" w:val="False"/>
              </w:smartTagPr>
              <w:r w:rsidRPr="006A6A29">
                <w:rPr>
                  <w:rFonts w:ascii="宋体" w:hAnsi="宋体" w:hint="eastAsia"/>
                  <w:sz w:val="18"/>
                  <w:szCs w:val="18"/>
                </w:rPr>
                <w:t>13.2.1</w:t>
              </w:r>
            </w:smartTag>
            <w:r w:rsidRPr="006A6A29">
              <w:rPr>
                <w:rFonts w:ascii="宋体" w:hAnsi="宋体" w:hint="eastAsia"/>
                <w:sz w:val="18"/>
                <w:szCs w:val="18"/>
              </w:rPr>
              <w:t>条第（×）款的规定，拟自XXXX年XX月XX日起对公司股票交易实行退市风险警示。</w:t>
            </w:r>
          </w:p>
          <w:p w:rsidR="004A0B26" w:rsidRDefault="004A0B26" w:rsidP="002B2FFE">
            <w:pPr>
              <w:spacing w:beforeLines="30" w:before="93" w:afterLines="30" w:after="93"/>
              <w:jc w:val="right"/>
              <w:rPr>
                <w:rFonts w:ascii="楷体_GB2312" w:eastAsia="楷体_GB2312" w:hAnsi="宋体" w:cs="宋体"/>
                <w:kern w:val="0"/>
                <w:sz w:val="24"/>
                <w:szCs w:val="24"/>
              </w:rPr>
            </w:pPr>
            <w:r w:rsidRPr="006A6A29">
              <w:rPr>
                <w:rFonts w:ascii="宋体" w:hAnsi="宋体" w:hint="eastAsia"/>
                <w:sz w:val="18"/>
                <w:szCs w:val="18"/>
              </w:rPr>
              <w:t>主审人员：        日期：</w:t>
            </w: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Tahoma" w:cs="Tahoma"/>
                <w:b/>
                <w:sz w:val="24"/>
              </w:rPr>
            </w:pPr>
            <w:r>
              <w:rPr>
                <w:rFonts w:ascii="楷体_GB2312" w:hAnsi="Tahoma" w:cs="Tahoma" w:hint="eastAsia"/>
                <w:b/>
                <w:sz w:val="24"/>
              </w:rPr>
              <w:t>公司管理部审核意见</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right"/>
              <w:rPr>
                <w:rFonts w:ascii="楷体_GB2312" w:eastAsia="楷体_GB2312" w:hAnsi="Tahoma" w:cs="Tahoma"/>
                <w:sz w:val="24"/>
              </w:rPr>
            </w:pP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宋体" w:cs="Tahoma" w:hint="eastAsia"/>
                <w:b/>
                <w:sz w:val="24"/>
                <w:szCs w:val="24"/>
              </w:rPr>
              <w:t>系统运行部签收</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CG Times"/>
                <w:sz w:val="24"/>
                <w:szCs w:val="24"/>
              </w:rPr>
            </w:pP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b/>
                <w:sz w:val="24"/>
                <w:szCs w:val="24"/>
              </w:rPr>
            </w:pPr>
            <w:r>
              <w:rPr>
                <w:rFonts w:ascii="楷体_GB2312" w:hint="eastAsia"/>
                <w:b/>
                <w:sz w:val="24"/>
                <w:szCs w:val="24"/>
              </w:rPr>
              <w:t>会员管理部签收</w:t>
            </w:r>
          </w:p>
          <w:p w:rsidR="004A0B26" w:rsidRDefault="004A0B26" w:rsidP="002B2FFE">
            <w:pPr>
              <w:spacing w:beforeLines="30" w:before="93" w:afterLines="30" w:after="93"/>
              <w:jc w:val="left"/>
              <w:rPr>
                <w:rFonts w:ascii="楷体_GB2312" w:eastAsia="楷体_GB2312" w:hAnsi="CG Times"/>
                <w:b/>
                <w:sz w:val="24"/>
                <w:szCs w:val="24"/>
              </w:rPr>
            </w:pPr>
            <w:r>
              <w:rPr>
                <w:rFonts w:ascii="楷体_GB2312" w:hint="eastAsia"/>
                <w:b/>
                <w:sz w:val="24"/>
                <w:szCs w:val="24"/>
              </w:rPr>
              <w:t>（融资融券标的证券）</w:t>
            </w:r>
          </w:p>
        </w:tc>
        <w:tc>
          <w:tcPr>
            <w:tcW w:w="6167" w:type="dxa"/>
            <w:gridSpan w:val="2"/>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rPr>
                <w:rFonts w:ascii="楷体_GB2312" w:eastAsia="楷体_GB2312" w:hAnsi="宋体"/>
                <w:sz w:val="24"/>
                <w:szCs w:val="24"/>
              </w:rPr>
            </w:pP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楷体" w:cs="Tahoma" w:hint="eastAsia"/>
                <w:b/>
                <w:sz w:val="24"/>
                <w:szCs w:val="24"/>
              </w:rPr>
              <w:t>中国结算深圳分公司</w:t>
            </w:r>
          </w:p>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宋体" w:cs="Tahoma" w:hint="eastAsia"/>
                <w:b/>
                <w:sz w:val="24"/>
                <w:szCs w:val="24"/>
              </w:rPr>
              <w:t>登记存管部签收</w:t>
            </w:r>
          </w:p>
        </w:tc>
        <w:tc>
          <w:tcPr>
            <w:tcW w:w="6167" w:type="dxa"/>
            <w:gridSpan w:val="2"/>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rPr>
                <w:rFonts w:ascii="楷体_GB2312" w:eastAsia="楷体_GB2312" w:hAnsi="CG Times"/>
                <w:sz w:val="24"/>
                <w:szCs w:val="24"/>
              </w:rPr>
            </w:pPr>
          </w:p>
        </w:tc>
      </w:tr>
      <w:tr w:rsidR="004A0B26" w:rsidTr="002B2FFE">
        <w:trPr>
          <w:cantSplit/>
          <w:jc w:val="center"/>
        </w:trPr>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CG Times"/>
                <w:b/>
                <w:sz w:val="24"/>
                <w:szCs w:val="24"/>
              </w:rPr>
            </w:pPr>
            <w:r>
              <w:rPr>
                <w:rFonts w:ascii="楷体_GB2312" w:hint="eastAsia"/>
                <w:b/>
                <w:sz w:val="24"/>
                <w:szCs w:val="24"/>
              </w:rPr>
              <w:t>备</w:t>
            </w:r>
            <w:r>
              <w:rPr>
                <w:rFonts w:ascii="楷体_GB2312" w:hint="eastAsia"/>
                <w:b/>
                <w:sz w:val="24"/>
                <w:szCs w:val="24"/>
              </w:rPr>
              <w:t xml:space="preserve">    </w:t>
            </w:r>
            <w:r>
              <w:rPr>
                <w:rFonts w:ascii="楷体_GB2312" w:hint="eastAsia"/>
                <w:b/>
                <w:sz w:val="24"/>
                <w:szCs w:val="24"/>
              </w:rPr>
              <w:t>注</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宋体"/>
                <w:sz w:val="24"/>
                <w:szCs w:val="24"/>
              </w:rPr>
            </w:pPr>
            <w:r>
              <w:rPr>
                <w:rFonts w:ascii="楷体_GB2312" w:hAnsi="宋体" w:hint="eastAsia"/>
                <w:sz w:val="24"/>
                <w:szCs w:val="24"/>
              </w:rPr>
              <w:t>此表同时用作证券简称变更通知书</w:t>
            </w:r>
          </w:p>
        </w:tc>
      </w:tr>
    </w:tbl>
    <w:p w:rsidR="004A0B26" w:rsidRDefault="004A0B26" w:rsidP="004A0B26">
      <w:pPr>
        <w:rPr>
          <w:rFonts w:ascii="楷体_GB2312" w:eastAsia="楷体_GB2312" w:hAnsi="宋体"/>
          <w:sz w:val="24"/>
          <w:szCs w:val="24"/>
        </w:rPr>
      </w:pPr>
    </w:p>
    <w:p w:rsidR="004A0B26" w:rsidRDefault="004A0B26" w:rsidP="004A0B26">
      <w:pPr>
        <w:rPr>
          <w:rFonts w:ascii="楷体_GB2312" w:eastAsia="楷体_GB2312" w:hAnsi="宋体"/>
          <w:sz w:val="24"/>
          <w:szCs w:val="24"/>
        </w:rPr>
      </w:pPr>
    </w:p>
    <w:p w:rsidR="004A0B26" w:rsidRDefault="004A0B26" w:rsidP="004A0B26">
      <w:pPr>
        <w:rPr>
          <w:rFonts w:ascii="楷体_GB2312" w:eastAsia="楷体_GB2312" w:hAnsi="宋体"/>
          <w:sz w:val="24"/>
          <w:szCs w:val="24"/>
        </w:rPr>
      </w:pPr>
    </w:p>
    <w:p w:rsidR="004A0B26" w:rsidRDefault="004A0B26" w:rsidP="004A0B26">
      <w:pPr>
        <w:rPr>
          <w:rFonts w:ascii="楷体_GB2312" w:eastAsia="楷体_GB2312" w:hAnsi="宋体"/>
          <w:sz w:val="24"/>
          <w:szCs w:val="24"/>
        </w:rPr>
      </w:pPr>
    </w:p>
    <w:p w:rsidR="004A0B26" w:rsidRPr="00F903F1" w:rsidRDefault="004A0B26" w:rsidP="004A0B26">
      <w:pPr>
        <w:rPr>
          <w:rFonts w:ascii="楷体_GB2312" w:eastAsia="楷体_GB2312" w:hAnsi="宋体"/>
          <w:sz w:val="24"/>
          <w:szCs w:val="24"/>
        </w:rPr>
      </w:pPr>
      <w:r w:rsidRPr="00F21809">
        <w:rPr>
          <w:rFonts w:ascii="黑体" w:eastAsia="黑体" w:hAnsi="宋体" w:hint="eastAsia"/>
          <w:b/>
          <w:sz w:val="24"/>
          <w:szCs w:val="24"/>
        </w:rPr>
        <w:t>附件</w:t>
      </w:r>
      <w:r>
        <w:rPr>
          <w:rFonts w:ascii="黑体" w:eastAsia="黑体" w:hAnsi="宋体" w:hint="eastAsia"/>
          <w:b/>
          <w:sz w:val="24"/>
          <w:szCs w:val="24"/>
        </w:rPr>
        <w:t>3</w:t>
      </w:r>
    </w:p>
    <w:p w:rsidR="004A0B26" w:rsidRDefault="004A0B26" w:rsidP="004A0B26">
      <w:pPr>
        <w:spacing w:line="480" w:lineRule="auto"/>
        <w:jc w:val="center"/>
        <w:rPr>
          <w:rFonts w:eastAsia="黑体"/>
          <w:b/>
          <w:sz w:val="28"/>
        </w:rPr>
      </w:pPr>
      <w:r>
        <w:rPr>
          <w:rFonts w:eastAsia="黑体" w:hint="eastAsia"/>
          <w:b/>
          <w:sz w:val="28"/>
        </w:rPr>
        <w:t>实行风险警示后续业务流程表</w:t>
      </w:r>
    </w:p>
    <w:p w:rsidR="004A0B26" w:rsidRPr="001345ED" w:rsidRDefault="004A0B26" w:rsidP="004A0B26">
      <w:pPr>
        <w:spacing w:line="480" w:lineRule="auto"/>
        <w:ind w:leftChars="-314" w:left="1" w:hangingChars="275" w:hanging="660"/>
        <w:rPr>
          <w:sz w:val="24"/>
        </w:rPr>
      </w:pPr>
      <w:r>
        <w:rPr>
          <w:rFonts w:hint="eastAsia"/>
          <w:sz w:val="24"/>
        </w:rPr>
        <w:t>制表日期：</w:t>
      </w:r>
      <w:r>
        <w:rPr>
          <w:rFonts w:ascii="Arial Unicode MS" w:hAnsi="Arial Unicode MS" w:cs="Arial Unicode MS" w:hint="eastAsia"/>
          <w:sz w:val="24"/>
        </w:rPr>
        <w:t>0</w:t>
      </w:r>
      <w:r>
        <w:rPr>
          <w:rFonts w:ascii="Arial Unicode MS" w:eastAsia="Arial Unicode MS" w:hAnsi="Arial Unicode MS" w:cs="Arial Unicode MS" w:hint="eastAsia"/>
          <w:sz w:val="24"/>
        </w:rPr>
        <w:t>00</w:t>
      </w:r>
      <w:r>
        <w:rPr>
          <w:rFonts w:ascii="Arial Unicode MS" w:hAnsi="Arial Unicode MS" w:cs="Arial Unicode MS" w:hint="eastAsia"/>
          <w:sz w:val="24"/>
        </w:rPr>
        <w:t>0</w:t>
      </w:r>
      <w:r>
        <w:rPr>
          <w:rFonts w:ascii="Arial Unicode MS" w:eastAsia="Arial Unicode MS" w:hAnsi="Arial Unicode MS" w:cs="Arial Unicode MS" w:hint="eastAsia"/>
          <w:sz w:val="24"/>
        </w:rPr>
        <w:t>-</w:t>
      </w:r>
      <w:r>
        <w:rPr>
          <w:rFonts w:ascii="Arial Unicode MS" w:hAnsi="Arial Unicode MS" w:cs="Arial Unicode MS" w:hint="eastAsia"/>
          <w:sz w:val="24"/>
        </w:rPr>
        <w:t>00</w:t>
      </w:r>
      <w:r>
        <w:rPr>
          <w:rFonts w:ascii="Arial Unicode MS" w:eastAsia="Arial Unicode MS" w:hAnsi="Arial Unicode MS" w:cs="Arial Unicode MS" w:hint="eastAsia"/>
          <w:sz w:val="24"/>
        </w:rPr>
        <w:t>-</w:t>
      </w:r>
      <w:r>
        <w:rPr>
          <w:rFonts w:ascii="Arial Unicode MS" w:hAnsi="Arial Unicode MS" w:cs="Arial Unicode MS" w:hint="eastAsia"/>
          <w:sz w:val="24"/>
        </w:rPr>
        <w:t>00</w:t>
      </w:r>
    </w:p>
    <w:tbl>
      <w:tblPr>
        <w:tblW w:w="97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071"/>
        <w:gridCol w:w="239"/>
        <w:gridCol w:w="1740"/>
        <w:gridCol w:w="570"/>
        <w:gridCol w:w="690"/>
        <w:gridCol w:w="1622"/>
      </w:tblGrid>
      <w:tr w:rsidR="004A0B26" w:rsidTr="002B2FFE">
        <w:trPr>
          <w:cantSplit/>
        </w:trPr>
        <w:tc>
          <w:tcPr>
            <w:tcW w:w="2790" w:type="dxa"/>
            <w:tcBorders>
              <w:bottom w:val="single" w:sz="4" w:space="0" w:color="auto"/>
            </w:tcBorders>
            <w:shd w:val="clear" w:color="auto" w:fill="auto"/>
            <w:vAlign w:val="center"/>
          </w:tcPr>
          <w:p w:rsidR="004A0B26" w:rsidRDefault="004A0B26" w:rsidP="002B2FFE">
            <w:pPr>
              <w:spacing w:line="480" w:lineRule="exact"/>
              <w:jc w:val="center"/>
              <w:rPr>
                <w:rFonts w:ascii="仿宋_GB2312" w:eastAsia="仿宋_GB2312"/>
                <w:b/>
                <w:sz w:val="24"/>
              </w:rPr>
            </w:pPr>
            <w:r>
              <w:rPr>
                <w:rFonts w:ascii="仿宋_GB2312" w:eastAsia="仿宋_GB2312" w:hint="eastAsia"/>
                <w:b/>
                <w:sz w:val="24"/>
              </w:rPr>
              <w:t>公司名称</w:t>
            </w:r>
          </w:p>
        </w:tc>
        <w:tc>
          <w:tcPr>
            <w:tcW w:w="6932" w:type="dxa"/>
            <w:gridSpan w:val="6"/>
            <w:tcBorders>
              <w:bottom w:val="single" w:sz="4" w:space="0" w:color="auto"/>
            </w:tcBorders>
            <w:shd w:val="clear" w:color="auto" w:fill="auto"/>
            <w:vAlign w:val="center"/>
          </w:tcPr>
          <w:p w:rsidR="004A0B26" w:rsidRDefault="004A0B26" w:rsidP="002B2FFE">
            <w:pPr>
              <w:spacing w:line="560" w:lineRule="exact"/>
              <w:jc w:val="center"/>
              <w:rPr>
                <w:rFonts w:ascii="宋体" w:hAnsi="宋体"/>
                <w:sz w:val="24"/>
              </w:rPr>
            </w:pPr>
          </w:p>
        </w:tc>
      </w:tr>
      <w:tr w:rsidR="004A0B26" w:rsidTr="002B2FFE">
        <w:trPr>
          <w:cantSplit/>
          <w:trHeight w:val="563"/>
        </w:trPr>
        <w:tc>
          <w:tcPr>
            <w:tcW w:w="2790" w:type="dxa"/>
            <w:vMerge w:val="restart"/>
            <w:shd w:val="clear" w:color="auto" w:fill="auto"/>
            <w:vAlign w:val="center"/>
          </w:tcPr>
          <w:p w:rsidR="004A0B26" w:rsidRDefault="004A0B26" w:rsidP="002B2FFE">
            <w:pPr>
              <w:spacing w:line="480" w:lineRule="exact"/>
              <w:jc w:val="center"/>
              <w:rPr>
                <w:rFonts w:eastAsia="仿宋_GB2312"/>
                <w:b/>
                <w:sz w:val="24"/>
              </w:rPr>
            </w:pPr>
            <w:r>
              <w:rPr>
                <w:rFonts w:eastAsia="仿宋_GB2312" w:hint="eastAsia"/>
                <w:b/>
                <w:sz w:val="24"/>
              </w:rPr>
              <w:t>证券代码</w:t>
            </w:r>
          </w:p>
        </w:tc>
        <w:tc>
          <w:tcPr>
            <w:tcW w:w="2310" w:type="dxa"/>
            <w:gridSpan w:val="2"/>
            <w:shd w:val="clear" w:color="auto" w:fill="auto"/>
            <w:vAlign w:val="center"/>
          </w:tcPr>
          <w:p w:rsidR="004A0B26" w:rsidRPr="00AF03C4" w:rsidRDefault="004A0B26" w:rsidP="002B2FFE">
            <w:pPr>
              <w:spacing w:line="480" w:lineRule="exact"/>
              <w:jc w:val="center"/>
              <w:rPr>
                <w:rFonts w:eastAsia="仿宋_GB2312"/>
                <w:b/>
                <w:sz w:val="24"/>
              </w:rPr>
            </w:pPr>
            <w:r w:rsidRPr="00AF03C4">
              <w:rPr>
                <w:rFonts w:eastAsia="仿宋_GB2312" w:hint="eastAsia"/>
                <w:b/>
                <w:sz w:val="24"/>
              </w:rPr>
              <w:t>A</w:t>
            </w:r>
            <w:r w:rsidRPr="00AF03C4">
              <w:rPr>
                <w:rFonts w:eastAsia="仿宋_GB2312" w:hint="eastAsia"/>
                <w:b/>
                <w:sz w:val="24"/>
              </w:rPr>
              <w:t>股</w:t>
            </w:r>
          </w:p>
        </w:tc>
        <w:tc>
          <w:tcPr>
            <w:tcW w:w="2310" w:type="dxa"/>
            <w:gridSpan w:val="2"/>
            <w:shd w:val="clear" w:color="auto" w:fill="auto"/>
            <w:vAlign w:val="center"/>
          </w:tcPr>
          <w:p w:rsidR="004A0B26" w:rsidRPr="00AF03C4" w:rsidRDefault="004A0B26" w:rsidP="002B2FFE">
            <w:pPr>
              <w:spacing w:line="480" w:lineRule="exact"/>
              <w:jc w:val="center"/>
              <w:rPr>
                <w:rFonts w:eastAsia="仿宋_GB2312"/>
                <w:b/>
                <w:sz w:val="24"/>
              </w:rPr>
            </w:pPr>
            <w:r w:rsidRPr="00AF03C4">
              <w:rPr>
                <w:rFonts w:eastAsia="仿宋_GB2312" w:hint="eastAsia"/>
                <w:b/>
                <w:sz w:val="24"/>
              </w:rPr>
              <w:t>B</w:t>
            </w:r>
            <w:r w:rsidRPr="00AF03C4">
              <w:rPr>
                <w:rFonts w:eastAsia="仿宋_GB2312" w:hint="eastAsia"/>
                <w:b/>
                <w:sz w:val="24"/>
              </w:rPr>
              <w:t>股</w:t>
            </w:r>
          </w:p>
        </w:tc>
        <w:tc>
          <w:tcPr>
            <w:tcW w:w="2312" w:type="dxa"/>
            <w:gridSpan w:val="2"/>
            <w:shd w:val="clear" w:color="auto" w:fill="auto"/>
            <w:vAlign w:val="center"/>
          </w:tcPr>
          <w:p w:rsidR="004A0B26" w:rsidRPr="00AF03C4" w:rsidRDefault="004A0B26" w:rsidP="002B2FFE">
            <w:pPr>
              <w:spacing w:line="480" w:lineRule="exact"/>
              <w:jc w:val="center"/>
              <w:rPr>
                <w:rFonts w:eastAsia="仿宋_GB2312"/>
                <w:b/>
                <w:sz w:val="24"/>
              </w:rPr>
            </w:pPr>
            <w:r w:rsidRPr="00AF03C4">
              <w:rPr>
                <w:rFonts w:eastAsia="仿宋_GB2312" w:hint="eastAsia"/>
                <w:b/>
                <w:sz w:val="24"/>
              </w:rPr>
              <w:t>衍生品种</w:t>
            </w:r>
          </w:p>
        </w:tc>
      </w:tr>
      <w:tr w:rsidR="004A0B26" w:rsidTr="002B2FFE">
        <w:trPr>
          <w:cantSplit/>
          <w:trHeight w:val="562"/>
        </w:trPr>
        <w:tc>
          <w:tcPr>
            <w:tcW w:w="2790" w:type="dxa"/>
            <w:vMerge/>
            <w:shd w:val="clear" w:color="auto" w:fill="auto"/>
            <w:vAlign w:val="center"/>
          </w:tcPr>
          <w:p w:rsidR="004A0B26" w:rsidRDefault="004A0B26" w:rsidP="002B2FFE">
            <w:pPr>
              <w:spacing w:line="480" w:lineRule="exact"/>
              <w:jc w:val="center"/>
              <w:rPr>
                <w:rFonts w:eastAsia="仿宋_GB2312"/>
                <w:b/>
                <w:sz w:val="24"/>
              </w:rPr>
            </w:pPr>
          </w:p>
        </w:tc>
        <w:tc>
          <w:tcPr>
            <w:tcW w:w="2310" w:type="dxa"/>
            <w:gridSpan w:val="2"/>
            <w:shd w:val="clear" w:color="auto" w:fill="auto"/>
            <w:vAlign w:val="center"/>
          </w:tcPr>
          <w:p w:rsidR="004A0B26" w:rsidRPr="00AF03C4" w:rsidRDefault="004A0B26" w:rsidP="002B2FFE">
            <w:pPr>
              <w:spacing w:line="480" w:lineRule="exact"/>
              <w:jc w:val="center"/>
              <w:rPr>
                <w:rFonts w:eastAsia="仿宋_GB2312"/>
                <w:b/>
                <w:sz w:val="24"/>
              </w:rPr>
            </w:pPr>
          </w:p>
        </w:tc>
        <w:tc>
          <w:tcPr>
            <w:tcW w:w="2310" w:type="dxa"/>
            <w:gridSpan w:val="2"/>
            <w:shd w:val="clear" w:color="auto" w:fill="auto"/>
            <w:vAlign w:val="center"/>
          </w:tcPr>
          <w:p w:rsidR="004A0B26" w:rsidRPr="00AF03C4" w:rsidRDefault="004A0B26" w:rsidP="002B2FFE">
            <w:pPr>
              <w:spacing w:line="480" w:lineRule="exact"/>
              <w:jc w:val="center"/>
              <w:rPr>
                <w:rFonts w:eastAsia="仿宋_GB2312"/>
                <w:b/>
                <w:sz w:val="24"/>
              </w:rPr>
            </w:pPr>
          </w:p>
        </w:tc>
        <w:tc>
          <w:tcPr>
            <w:tcW w:w="2312" w:type="dxa"/>
            <w:gridSpan w:val="2"/>
            <w:shd w:val="clear" w:color="auto" w:fill="auto"/>
            <w:vAlign w:val="center"/>
          </w:tcPr>
          <w:p w:rsidR="004A0B26" w:rsidRPr="00AF03C4" w:rsidRDefault="004A0B26" w:rsidP="002B2FFE">
            <w:pPr>
              <w:spacing w:line="480" w:lineRule="exact"/>
              <w:jc w:val="center"/>
              <w:rPr>
                <w:rFonts w:eastAsia="仿宋_GB2312"/>
                <w:b/>
                <w:sz w:val="24"/>
              </w:rPr>
            </w:pPr>
          </w:p>
        </w:tc>
      </w:tr>
      <w:tr w:rsidR="004A0B26" w:rsidTr="002B2FFE">
        <w:trPr>
          <w:cantSplit/>
          <w:trHeight w:val="495"/>
        </w:trPr>
        <w:tc>
          <w:tcPr>
            <w:tcW w:w="2790" w:type="dxa"/>
            <w:shd w:val="clear" w:color="auto" w:fill="auto"/>
            <w:vAlign w:val="center"/>
          </w:tcPr>
          <w:p w:rsidR="004A0B26" w:rsidRDefault="004A0B26" w:rsidP="002B2FFE">
            <w:pPr>
              <w:spacing w:line="480" w:lineRule="exact"/>
              <w:jc w:val="center"/>
              <w:rPr>
                <w:rFonts w:ascii="仿宋_GB2312" w:eastAsia="仿宋_GB2312"/>
                <w:b/>
                <w:sz w:val="24"/>
              </w:rPr>
            </w:pPr>
            <w:r>
              <w:rPr>
                <w:rFonts w:ascii="仿宋_GB2312" w:eastAsia="仿宋_GB2312" w:hint="eastAsia"/>
                <w:b/>
                <w:sz w:val="24"/>
              </w:rPr>
              <w:t>异常情形类别</w:t>
            </w:r>
          </w:p>
        </w:tc>
        <w:tc>
          <w:tcPr>
            <w:tcW w:w="6932" w:type="dxa"/>
            <w:gridSpan w:val="6"/>
            <w:shd w:val="clear" w:color="auto" w:fill="auto"/>
            <w:vAlign w:val="center"/>
          </w:tcPr>
          <w:p w:rsidR="004A0B26" w:rsidRPr="00AF03C4" w:rsidRDefault="004A0B26" w:rsidP="002B2FFE">
            <w:pPr>
              <w:spacing w:line="480" w:lineRule="exact"/>
              <w:jc w:val="center"/>
              <w:rPr>
                <w:rFonts w:eastAsia="仿宋_GB2312"/>
                <w:b/>
                <w:sz w:val="24"/>
              </w:rPr>
            </w:pPr>
          </w:p>
        </w:tc>
      </w:tr>
      <w:tr w:rsidR="004A0B26" w:rsidTr="002B2FFE">
        <w:trPr>
          <w:cantSplit/>
          <w:trHeight w:val="558"/>
        </w:trPr>
        <w:tc>
          <w:tcPr>
            <w:tcW w:w="2790" w:type="dxa"/>
            <w:tcBorders>
              <w:top w:val="single" w:sz="4" w:space="0" w:color="auto"/>
              <w:bottom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实行风险警示类别</w:t>
            </w:r>
          </w:p>
        </w:tc>
        <w:tc>
          <w:tcPr>
            <w:tcW w:w="6932" w:type="dxa"/>
            <w:gridSpan w:val="6"/>
            <w:tcBorders>
              <w:top w:val="single" w:sz="4" w:space="0" w:color="auto"/>
              <w:bottom w:val="single" w:sz="12" w:space="0" w:color="auto"/>
            </w:tcBorders>
            <w:shd w:val="clear" w:color="auto" w:fill="auto"/>
            <w:vAlign w:val="center"/>
          </w:tcPr>
          <w:p w:rsidR="004A0B26" w:rsidRPr="00AF03C4" w:rsidRDefault="004A0B26" w:rsidP="002B2FFE">
            <w:pPr>
              <w:spacing w:line="480" w:lineRule="exact"/>
              <w:jc w:val="center"/>
              <w:rPr>
                <w:rFonts w:eastAsia="仿宋_GB2312"/>
                <w:b/>
                <w:sz w:val="24"/>
              </w:rPr>
            </w:pPr>
            <w:r w:rsidRPr="00AF03C4">
              <w:rPr>
                <w:rFonts w:eastAsia="仿宋_GB2312" w:hint="eastAsia"/>
                <w:b/>
                <w:sz w:val="24"/>
              </w:rPr>
              <w:t>⊙</w:t>
            </w:r>
            <w:r>
              <w:rPr>
                <w:rFonts w:eastAsia="仿宋_GB2312" w:hint="eastAsia"/>
                <w:b/>
                <w:sz w:val="24"/>
              </w:rPr>
              <w:t>实行</w:t>
            </w:r>
            <w:r w:rsidRPr="00AF03C4">
              <w:rPr>
                <w:rFonts w:eastAsia="仿宋_GB2312" w:hint="eastAsia"/>
                <w:b/>
                <w:sz w:val="24"/>
              </w:rPr>
              <w:t>退市风险警示（</w:t>
            </w:r>
            <w:r w:rsidRPr="00AF03C4">
              <w:rPr>
                <w:rFonts w:eastAsia="仿宋_GB2312" w:hint="eastAsia"/>
                <w:b/>
                <w:sz w:val="24"/>
              </w:rPr>
              <w:t>*ST</w:t>
            </w:r>
            <w:r w:rsidRPr="00AF03C4">
              <w:rPr>
                <w:rFonts w:eastAsia="仿宋_GB2312" w:hint="eastAsia"/>
                <w:b/>
                <w:sz w:val="24"/>
              </w:rPr>
              <w:t>）</w:t>
            </w:r>
            <w:r w:rsidRPr="00AF03C4">
              <w:rPr>
                <w:rFonts w:eastAsia="仿宋_GB2312" w:hint="eastAsia"/>
                <w:b/>
                <w:sz w:val="24"/>
              </w:rPr>
              <w:t xml:space="preserve">  </w:t>
            </w:r>
            <w:r w:rsidRPr="00AF03C4">
              <w:rPr>
                <w:rFonts w:eastAsia="仿宋_GB2312" w:hint="eastAsia"/>
                <w:b/>
                <w:sz w:val="24"/>
              </w:rPr>
              <w:t>○</w:t>
            </w:r>
            <w:r>
              <w:rPr>
                <w:rFonts w:eastAsia="仿宋_GB2312" w:hint="eastAsia"/>
                <w:b/>
                <w:sz w:val="24"/>
              </w:rPr>
              <w:t>实行</w:t>
            </w:r>
            <w:r w:rsidRPr="00AF03C4">
              <w:rPr>
                <w:rFonts w:eastAsia="仿宋_GB2312" w:hint="eastAsia"/>
                <w:b/>
                <w:sz w:val="24"/>
              </w:rPr>
              <w:t>其它</w:t>
            </w:r>
            <w:r>
              <w:rPr>
                <w:rFonts w:eastAsia="仿宋_GB2312" w:hint="eastAsia"/>
                <w:b/>
                <w:sz w:val="24"/>
              </w:rPr>
              <w:t>风险警示</w:t>
            </w:r>
            <w:r w:rsidRPr="00AF03C4">
              <w:rPr>
                <w:rFonts w:eastAsia="仿宋_GB2312" w:hint="eastAsia"/>
                <w:b/>
                <w:sz w:val="24"/>
              </w:rPr>
              <w:t>（</w:t>
            </w:r>
            <w:r w:rsidRPr="00AF03C4">
              <w:rPr>
                <w:rFonts w:eastAsia="仿宋_GB2312" w:hint="eastAsia"/>
                <w:b/>
                <w:sz w:val="24"/>
              </w:rPr>
              <w:t>ST</w:t>
            </w:r>
            <w:r w:rsidRPr="00AF03C4">
              <w:rPr>
                <w:rFonts w:eastAsia="仿宋_GB2312" w:hint="eastAsia"/>
                <w:b/>
                <w:sz w:val="24"/>
              </w:rPr>
              <w:t>）</w:t>
            </w:r>
          </w:p>
        </w:tc>
      </w:tr>
      <w:tr w:rsidR="004A0B26" w:rsidTr="002B2FFE">
        <w:trPr>
          <w:cantSplit/>
        </w:trPr>
        <w:tc>
          <w:tcPr>
            <w:tcW w:w="9722" w:type="dxa"/>
            <w:gridSpan w:val="7"/>
            <w:tcBorders>
              <w:top w:val="single" w:sz="12" w:space="0" w:color="auto"/>
              <w:left w:val="single" w:sz="12" w:space="0" w:color="auto"/>
              <w:right w:val="single" w:sz="12" w:space="0" w:color="auto"/>
            </w:tcBorders>
            <w:shd w:val="clear" w:color="auto" w:fill="auto"/>
            <w:vAlign w:val="center"/>
          </w:tcPr>
          <w:p w:rsidR="004A0B26" w:rsidRPr="00F64912" w:rsidRDefault="004A0B26" w:rsidP="002B2FFE">
            <w:pPr>
              <w:spacing w:line="560" w:lineRule="exact"/>
              <w:rPr>
                <w:rFonts w:ascii="Arial Unicode MS" w:hAnsi="Arial Unicode MS" w:cs="Arial Unicode MS"/>
                <w:sz w:val="24"/>
              </w:rPr>
            </w:pPr>
            <w:r w:rsidRPr="009955B5">
              <w:rPr>
                <w:rFonts w:eastAsia="仿宋_GB2312" w:hint="eastAsia"/>
                <w:b/>
                <w:sz w:val="24"/>
              </w:rPr>
              <w:t>后续业务流程（监管人员根据本表录入系统“个人工作备忘”）</w:t>
            </w:r>
          </w:p>
        </w:tc>
      </w:tr>
      <w:tr w:rsidR="004A0B26" w:rsidTr="002B2FFE">
        <w:trPr>
          <w:cantSplit/>
        </w:trPr>
        <w:tc>
          <w:tcPr>
            <w:tcW w:w="6840" w:type="dxa"/>
            <w:gridSpan w:val="4"/>
            <w:tcBorders>
              <w:left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业务操作</w:t>
            </w:r>
          </w:p>
        </w:tc>
        <w:tc>
          <w:tcPr>
            <w:tcW w:w="1260" w:type="dxa"/>
            <w:gridSpan w:val="2"/>
            <w:shd w:val="clear" w:color="auto" w:fill="auto"/>
            <w:vAlign w:val="center"/>
          </w:tcPr>
          <w:p w:rsidR="004A0B26" w:rsidRPr="00F64912" w:rsidRDefault="004A0B26" w:rsidP="002B2FFE">
            <w:pPr>
              <w:spacing w:line="560" w:lineRule="exact"/>
              <w:jc w:val="center"/>
              <w:rPr>
                <w:rFonts w:ascii="Arial Unicode MS" w:hAnsi="Arial Unicode MS" w:cs="Arial Unicode MS"/>
                <w:sz w:val="24"/>
              </w:rPr>
            </w:pPr>
            <w:r w:rsidRPr="009955B5">
              <w:rPr>
                <w:rFonts w:eastAsia="仿宋_GB2312" w:hint="eastAsia"/>
                <w:b/>
                <w:sz w:val="24"/>
              </w:rPr>
              <w:t>规定期限</w:t>
            </w:r>
          </w:p>
        </w:tc>
        <w:tc>
          <w:tcPr>
            <w:tcW w:w="1622" w:type="dxa"/>
            <w:tcBorders>
              <w:right w:val="single" w:sz="12" w:space="0" w:color="auto"/>
            </w:tcBorders>
            <w:shd w:val="clear" w:color="auto" w:fill="auto"/>
            <w:vAlign w:val="center"/>
          </w:tcPr>
          <w:p w:rsidR="004A0B26" w:rsidRPr="00F64912" w:rsidRDefault="004A0B26" w:rsidP="002B2FFE">
            <w:pPr>
              <w:spacing w:line="560" w:lineRule="exact"/>
              <w:jc w:val="center"/>
              <w:rPr>
                <w:rFonts w:ascii="Arial Unicode MS" w:hAnsi="Arial Unicode MS" w:cs="Arial Unicode MS"/>
                <w:sz w:val="24"/>
              </w:rPr>
            </w:pPr>
            <w:r w:rsidRPr="009955B5">
              <w:rPr>
                <w:rFonts w:eastAsia="仿宋_GB2312" w:hint="eastAsia"/>
                <w:b/>
                <w:sz w:val="24"/>
              </w:rPr>
              <w:t>操作日期</w:t>
            </w:r>
          </w:p>
        </w:tc>
      </w:tr>
      <w:tr w:rsidR="004A0B26" w:rsidTr="002B2FFE">
        <w:trPr>
          <w:cantSplit/>
        </w:trPr>
        <w:tc>
          <w:tcPr>
            <w:tcW w:w="6840" w:type="dxa"/>
            <w:gridSpan w:val="4"/>
            <w:tcBorders>
              <w:left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实行风险警示首日（</w:t>
            </w:r>
            <w:r>
              <w:rPr>
                <w:rFonts w:eastAsia="仿宋_GB2312" w:hint="eastAsia"/>
                <w:b/>
                <w:sz w:val="24"/>
              </w:rPr>
              <w:t>T</w:t>
            </w:r>
            <w:r>
              <w:rPr>
                <w:rFonts w:eastAsia="仿宋_GB2312" w:hint="eastAsia"/>
                <w:b/>
                <w:sz w:val="24"/>
              </w:rPr>
              <w:t>日）</w:t>
            </w:r>
          </w:p>
        </w:tc>
        <w:tc>
          <w:tcPr>
            <w:tcW w:w="1260" w:type="dxa"/>
            <w:gridSpan w:val="2"/>
            <w:shd w:val="clear" w:color="auto" w:fill="auto"/>
            <w:vAlign w:val="center"/>
          </w:tcPr>
          <w:p w:rsidR="004A0B26" w:rsidRDefault="004A0B26" w:rsidP="002B2FFE">
            <w:pPr>
              <w:spacing w:line="560" w:lineRule="exact"/>
              <w:jc w:val="center"/>
              <w:rPr>
                <w:rFonts w:ascii="Arial Unicode MS" w:eastAsia="Arial Unicode MS" w:hAnsi="Arial Unicode MS" w:cs="Arial Unicode MS"/>
                <w:sz w:val="24"/>
              </w:rPr>
            </w:pPr>
          </w:p>
        </w:tc>
        <w:tc>
          <w:tcPr>
            <w:tcW w:w="1622" w:type="dxa"/>
            <w:tcBorders>
              <w:right w:val="single" w:sz="12" w:space="0" w:color="auto"/>
            </w:tcBorders>
            <w:shd w:val="clear" w:color="auto" w:fill="auto"/>
            <w:vAlign w:val="center"/>
          </w:tcPr>
          <w:p w:rsidR="004A0B26" w:rsidRDefault="004A0B26" w:rsidP="002B2FFE">
            <w:pPr>
              <w:spacing w:line="560" w:lineRule="exact"/>
              <w:jc w:val="center"/>
              <w:rPr>
                <w:rFonts w:ascii="Arial Unicode MS" w:eastAsia="Arial Unicode MS" w:hAnsi="Arial Unicode MS" w:cs="Arial Unicode MS"/>
                <w:sz w:val="24"/>
              </w:rPr>
            </w:pPr>
          </w:p>
        </w:tc>
      </w:tr>
      <w:tr w:rsidR="004A0B26" w:rsidTr="002B2FFE">
        <w:trPr>
          <w:cantSplit/>
        </w:trPr>
        <w:tc>
          <w:tcPr>
            <w:tcW w:w="6840" w:type="dxa"/>
            <w:gridSpan w:val="4"/>
            <w:tcBorders>
              <w:left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规定期限后停牌处理（</w:t>
            </w:r>
            <w:r>
              <w:rPr>
                <w:rFonts w:eastAsia="仿宋_GB2312" w:hint="eastAsia"/>
                <w:b/>
                <w:sz w:val="24"/>
              </w:rPr>
              <w:t>T</w:t>
            </w:r>
            <w:r>
              <w:rPr>
                <w:rFonts w:eastAsia="仿宋_GB2312" w:hint="eastAsia"/>
                <w:b/>
                <w:sz w:val="24"/>
              </w:rPr>
              <w:t>＋规定期限日－</w:t>
            </w:r>
            <w:r>
              <w:rPr>
                <w:rFonts w:eastAsia="仿宋_GB2312" w:hint="eastAsia"/>
                <w:b/>
                <w:sz w:val="24"/>
              </w:rPr>
              <w:t>1</w:t>
            </w:r>
            <w:r>
              <w:rPr>
                <w:rFonts w:eastAsia="仿宋_GB2312" w:hint="eastAsia"/>
                <w:b/>
                <w:sz w:val="24"/>
              </w:rPr>
              <w:t>交易日）</w:t>
            </w:r>
          </w:p>
        </w:tc>
        <w:tc>
          <w:tcPr>
            <w:tcW w:w="1260" w:type="dxa"/>
            <w:gridSpan w:val="2"/>
            <w:shd w:val="clear" w:color="auto" w:fill="auto"/>
            <w:vAlign w:val="center"/>
          </w:tcPr>
          <w:p w:rsidR="004A0B26" w:rsidRPr="00F64912" w:rsidRDefault="004A0B26" w:rsidP="002B2FFE">
            <w:pPr>
              <w:spacing w:line="480" w:lineRule="exact"/>
              <w:rPr>
                <w:rFonts w:eastAsia="仿宋_GB2312"/>
                <w:b/>
                <w:sz w:val="24"/>
              </w:rPr>
            </w:pPr>
          </w:p>
        </w:tc>
        <w:tc>
          <w:tcPr>
            <w:tcW w:w="1622" w:type="dxa"/>
            <w:tcBorders>
              <w:right w:val="single" w:sz="12" w:space="0" w:color="auto"/>
            </w:tcBorders>
            <w:shd w:val="clear" w:color="auto" w:fill="auto"/>
            <w:vAlign w:val="center"/>
          </w:tcPr>
          <w:p w:rsidR="004A0B26" w:rsidRPr="00F64912" w:rsidRDefault="004A0B26" w:rsidP="002B2FFE">
            <w:pPr>
              <w:spacing w:line="480" w:lineRule="exact"/>
              <w:rPr>
                <w:rFonts w:eastAsia="仿宋_GB2312"/>
                <w:b/>
                <w:sz w:val="24"/>
              </w:rPr>
            </w:pPr>
          </w:p>
        </w:tc>
      </w:tr>
      <w:tr w:rsidR="004A0B26" w:rsidTr="002B2FFE">
        <w:trPr>
          <w:cantSplit/>
        </w:trPr>
        <w:tc>
          <w:tcPr>
            <w:tcW w:w="6840" w:type="dxa"/>
            <w:gridSpan w:val="4"/>
            <w:tcBorders>
              <w:left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暂停上市处理最后日（</w:t>
            </w:r>
            <w:r>
              <w:rPr>
                <w:rFonts w:eastAsia="仿宋_GB2312" w:hint="eastAsia"/>
                <w:b/>
                <w:sz w:val="24"/>
              </w:rPr>
              <w:t>T</w:t>
            </w:r>
            <w:r>
              <w:rPr>
                <w:rFonts w:eastAsia="仿宋_GB2312" w:hint="eastAsia"/>
                <w:b/>
                <w:sz w:val="24"/>
              </w:rPr>
              <w:t>＋规定期限日－</w:t>
            </w:r>
            <w:r>
              <w:rPr>
                <w:rFonts w:eastAsia="仿宋_GB2312" w:hint="eastAsia"/>
                <w:b/>
                <w:sz w:val="24"/>
              </w:rPr>
              <w:t>1</w:t>
            </w:r>
            <w:r>
              <w:rPr>
                <w:rFonts w:eastAsia="仿宋_GB2312" w:hint="eastAsia"/>
                <w:b/>
                <w:sz w:val="24"/>
              </w:rPr>
              <w:t>交易日＋</w:t>
            </w:r>
            <w:r>
              <w:rPr>
                <w:rFonts w:eastAsia="仿宋_GB2312" w:hint="eastAsia"/>
                <w:b/>
                <w:sz w:val="24"/>
              </w:rPr>
              <w:t>15</w:t>
            </w:r>
            <w:r>
              <w:rPr>
                <w:rFonts w:eastAsia="仿宋_GB2312" w:hint="eastAsia"/>
                <w:b/>
                <w:sz w:val="24"/>
              </w:rPr>
              <w:t>交易日）</w:t>
            </w:r>
          </w:p>
        </w:tc>
        <w:tc>
          <w:tcPr>
            <w:tcW w:w="1260" w:type="dxa"/>
            <w:gridSpan w:val="2"/>
            <w:shd w:val="clear" w:color="auto" w:fill="auto"/>
            <w:vAlign w:val="center"/>
          </w:tcPr>
          <w:p w:rsidR="004A0B26" w:rsidRDefault="004A0B26" w:rsidP="002B2FFE">
            <w:pPr>
              <w:spacing w:line="480" w:lineRule="exact"/>
              <w:rPr>
                <w:rFonts w:eastAsia="仿宋_GB2312"/>
                <w:b/>
                <w:sz w:val="24"/>
              </w:rPr>
            </w:pPr>
          </w:p>
        </w:tc>
        <w:tc>
          <w:tcPr>
            <w:tcW w:w="1622" w:type="dxa"/>
            <w:tcBorders>
              <w:right w:val="single" w:sz="12" w:space="0" w:color="auto"/>
            </w:tcBorders>
            <w:shd w:val="clear" w:color="auto" w:fill="auto"/>
            <w:vAlign w:val="center"/>
          </w:tcPr>
          <w:p w:rsidR="004A0B26" w:rsidRDefault="004A0B26" w:rsidP="002B2FFE">
            <w:pPr>
              <w:spacing w:line="480" w:lineRule="exact"/>
              <w:rPr>
                <w:rFonts w:eastAsia="仿宋_GB2312"/>
                <w:b/>
                <w:sz w:val="24"/>
              </w:rPr>
            </w:pPr>
          </w:p>
        </w:tc>
      </w:tr>
      <w:tr w:rsidR="004A0B26" w:rsidTr="002B2FFE">
        <w:trPr>
          <w:cantSplit/>
          <w:trHeight w:val="1029"/>
        </w:trPr>
        <w:tc>
          <w:tcPr>
            <w:tcW w:w="4861" w:type="dxa"/>
            <w:gridSpan w:val="2"/>
            <w:tcBorders>
              <w:left w:val="single" w:sz="12" w:space="0" w:color="auto"/>
              <w:bottom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监管人员签字</w:t>
            </w:r>
          </w:p>
        </w:tc>
        <w:tc>
          <w:tcPr>
            <w:tcW w:w="4861" w:type="dxa"/>
            <w:gridSpan w:val="5"/>
            <w:tcBorders>
              <w:bottom w:val="single" w:sz="12" w:space="0" w:color="auto"/>
              <w:right w:val="single" w:sz="12" w:space="0" w:color="auto"/>
            </w:tcBorders>
            <w:shd w:val="clear" w:color="auto" w:fill="auto"/>
            <w:vAlign w:val="center"/>
          </w:tcPr>
          <w:p w:rsidR="004A0B26" w:rsidRDefault="004A0B26" w:rsidP="002B2FFE">
            <w:pPr>
              <w:spacing w:line="480" w:lineRule="exact"/>
              <w:rPr>
                <w:rFonts w:eastAsia="仿宋_GB2312"/>
                <w:b/>
                <w:sz w:val="24"/>
              </w:rPr>
            </w:pPr>
            <w:r>
              <w:rPr>
                <w:rFonts w:eastAsia="仿宋_GB2312" w:hint="eastAsia"/>
                <w:b/>
                <w:sz w:val="24"/>
              </w:rPr>
              <w:t>复核人员签字</w:t>
            </w:r>
          </w:p>
        </w:tc>
      </w:tr>
    </w:tbl>
    <w:p w:rsidR="004A0B26" w:rsidRDefault="004A0B26" w:rsidP="004A0B26">
      <w:pPr>
        <w:rPr>
          <w:rFonts w:ascii="黑体" w:eastAsia="黑体" w:hAnsi="宋体"/>
          <w:b/>
          <w:sz w:val="24"/>
          <w:szCs w:val="24"/>
        </w:rPr>
      </w:pPr>
    </w:p>
    <w:p w:rsidR="004A0B26" w:rsidRDefault="004A0B26" w:rsidP="004A0B26">
      <w:pPr>
        <w:jc w:val="left"/>
        <w:rPr>
          <w:rFonts w:ascii="黑体" w:eastAsia="黑体" w:hAnsi="宋体"/>
          <w:b/>
          <w:sz w:val="24"/>
          <w:szCs w:val="24"/>
        </w:rPr>
      </w:pPr>
      <w:r>
        <w:rPr>
          <w:rFonts w:ascii="黑体" w:eastAsia="黑体" w:hAnsi="宋体"/>
          <w:b/>
          <w:sz w:val="24"/>
          <w:szCs w:val="24"/>
        </w:rPr>
        <w:br w:type="page"/>
      </w:r>
      <w:r w:rsidR="004F74C9">
        <w:rPr>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99060</wp:posOffset>
                </wp:positionV>
                <wp:extent cx="1257300" cy="592455"/>
                <wp:effectExtent l="0" t="0" r="19050" b="17145"/>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245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4A0B26" w:rsidRPr="00500AB0" w:rsidRDefault="004A0B26" w:rsidP="004A0B26">
                            <w:pPr>
                              <w:jc w:val="center"/>
                              <w:rPr>
                                <w:b/>
                              </w:rPr>
                            </w:pPr>
                            <w:r w:rsidRPr="00500AB0">
                              <w:rPr>
                                <w:rFonts w:hint="eastAsia"/>
                                <w:b/>
                              </w:rPr>
                              <w:t>内部使用</w:t>
                            </w:r>
                          </w:p>
                          <w:p w:rsidR="004A0B26" w:rsidRPr="00500AB0" w:rsidRDefault="004A0B26" w:rsidP="004A0B26">
                            <w:pPr>
                              <w:rPr>
                                <w:b/>
                                <w:sz w:val="15"/>
                              </w:rPr>
                            </w:pPr>
                            <w:r w:rsidRPr="00500AB0">
                              <w:rPr>
                                <w:rFonts w:hint="eastAsia"/>
                                <w:b/>
                                <w:sz w:val="15"/>
                              </w:rPr>
                              <w:t>敏感级别：</w:t>
                            </w:r>
                            <w:r w:rsidRPr="00500AB0">
                              <w:rPr>
                                <w:rFonts w:hint="eastAsia"/>
                                <w:b/>
                                <w:sz w:val="15"/>
                                <w:u w:val="single"/>
                              </w:rPr>
                              <w:t>商密</w:t>
                            </w:r>
                            <w:r w:rsidRPr="00500AB0">
                              <w:rPr>
                                <w:b/>
                                <w:sz w:val="15"/>
                                <w:u w:val="single"/>
                              </w:rPr>
                              <w:t>A</w:t>
                            </w:r>
                            <w:r w:rsidRPr="00500AB0">
                              <w:rPr>
                                <w:rFonts w:hint="eastAsia"/>
                                <w:b/>
                                <w:sz w:val="15"/>
                                <w:u w:val="single"/>
                              </w:rPr>
                              <w:t>▲长期</w:t>
                            </w:r>
                            <w:r w:rsidRPr="00500AB0">
                              <w:rPr>
                                <w:rFonts w:hint="eastAsia"/>
                                <w:b/>
                                <w:sz w:val="15"/>
                                <w:u w:val="single"/>
                              </w:rPr>
                              <w:t xml:space="preserve">     </w:t>
                            </w:r>
                          </w:p>
                          <w:p w:rsidR="004A0B26" w:rsidRDefault="004A0B26" w:rsidP="004A0B26">
                            <w:r w:rsidRPr="00500AB0">
                              <w:rPr>
                                <w:rFonts w:hint="eastAsia"/>
                                <w:b/>
                                <w:sz w:val="15"/>
                              </w:rPr>
                              <w:t>生效时间：</w:t>
                            </w:r>
                            <w:r>
                              <w:rPr>
                                <w:rFonts w:hint="eastAsia"/>
                                <w:b/>
                                <w:sz w:val="15"/>
                              </w:rPr>
                              <w:t>同“制表日期”</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351pt;margin-top:7.8pt;width:99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" filled="f" fillcolor="red" strokecolor="red" strokeweight="1.5pt">
                <v:textbox inset=",.5mm,,.5mm">
                  <w:txbxContent>
                    <w:p w:rsidR="004A0B26" w:rsidRPr="00500AB0" w:rsidRDefault="004A0B26" w:rsidP="004A0B26">
                      <w:pPr>
                        <w:jc w:val="center"/>
                        <w:rPr>
                          <w:b/>
                        </w:rPr>
                      </w:pPr>
                      <w:r w:rsidRPr="00500AB0">
                        <w:rPr>
                          <w:rFonts w:hint="eastAsia"/>
                          <w:b/>
                        </w:rPr>
                        <w:t>内部使用</w:t>
                      </w:r>
                    </w:p>
                    <w:p w:rsidR="004A0B26" w:rsidRPr="00500AB0" w:rsidRDefault="004A0B26" w:rsidP="004A0B26">
                      <w:pPr>
                        <w:rPr>
                          <w:b/>
                          <w:sz w:val="15"/>
                        </w:rPr>
                      </w:pPr>
                      <w:r w:rsidRPr="00500AB0">
                        <w:rPr>
                          <w:rFonts w:hint="eastAsia"/>
                          <w:b/>
                          <w:sz w:val="15"/>
                        </w:rPr>
                        <w:t>敏感级别：</w:t>
                      </w:r>
                      <w:r w:rsidRPr="00500AB0">
                        <w:rPr>
                          <w:rFonts w:hint="eastAsia"/>
                          <w:b/>
                          <w:sz w:val="15"/>
                          <w:u w:val="single"/>
                        </w:rPr>
                        <w:t>商密</w:t>
                      </w:r>
                      <w:r w:rsidRPr="00500AB0">
                        <w:rPr>
                          <w:b/>
                          <w:sz w:val="15"/>
                          <w:u w:val="single"/>
                        </w:rPr>
                        <w:t>A</w:t>
                      </w:r>
                      <w:r w:rsidRPr="00500AB0">
                        <w:rPr>
                          <w:rFonts w:hint="eastAsia"/>
                          <w:b/>
                          <w:sz w:val="15"/>
                          <w:u w:val="single"/>
                        </w:rPr>
                        <w:t>▲长期</w:t>
                      </w:r>
                      <w:r w:rsidRPr="00500AB0">
                        <w:rPr>
                          <w:rFonts w:hint="eastAsia"/>
                          <w:b/>
                          <w:sz w:val="15"/>
                          <w:u w:val="single"/>
                        </w:rPr>
                        <w:t xml:space="preserve">     </w:t>
                      </w:r>
                    </w:p>
                    <w:p w:rsidR="004A0B26" w:rsidRDefault="004A0B26" w:rsidP="004A0B26">
                      <w:r w:rsidRPr="00500AB0">
                        <w:rPr>
                          <w:rFonts w:hint="eastAsia"/>
                          <w:b/>
                          <w:sz w:val="15"/>
                        </w:rPr>
                        <w:t>生效时间：</w:t>
                      </w:r>
                      <w:r>
                        <w:rPr>
                          <w:rFonts w:hint="eastAsia"/>
                          <w:b/>
                          <w:sz w:val="15"/>
                        </w:rPr>
                        <w:t>同“制表日期”</w:t>
                      </w:r>
                    </w:p>
                  </w:txbxContent>
                </v:textbox>
              </v:shape>
            </w:pict>
          </mc:Fallback>
        </mc:AlternateContent>
      </w:r>
      <w:r w:rsidRPr="00F21809">
        <w:rPr>
          <w:rFonts w:ascii="黑体" w:eastAsia="黑体" w:hAnsi="宋体" w:hint="eastAsia"/>
          <w:b/>
          <w:sz w:val="24"/>
          <w:szCs w:val="24"/>
        </w:rPr>
        <w:t>附件</w:t>
      </w:r>
      <w:r>
        <w:rPr>
          <w:rFonts w:ascii="黑体" w:eastAsia="黑体" w:hAnsi="宋体" w:hint="eastAsia"/>
          <w:b/>
          <w:sz w:val="24"/>
          <w:szCs w:val="24"/>
        </w:rPr>
        <w:t>4</w:t>
      </w:r>
    </w:p>
    <w:p w:rsidR="004A0B26" w:rsidRDefault="004A0B26" w:rsidP="004A0B26">
      <w:pPr>
        <w:jc w:val="center"/>
        <w:rPr>
          <w:b/>
          <w:sz w:val="30"/>
          <w:szCs w:val="30"/>
        </w:rPr>
      </w:pPr>
      <w:r>
        <w:rPr>
          <w:rFonts w:hint="eastAsia"/>
          <w:b/>
          <w:sz w:val="30"/>
          <w:szCs w:val="30"/>
        </w:rPr>
        <w:t>上市公司股票交易撤销风险警示通知书</w:t>
      </w:r>
    </w:p>
    <w:p w:rsidR="004A0B26" w:rsidRDefault="004A0B26" w:rsidP="004A0B26">
      <w:pPr>
        <w:pStyle w:val="a7"/>
        <w:spacing w:line="360" w:lineRule="auto"/>
        <w:rPr>
          <w:rFonts w:ascii="楷体_GB2312" w:eastAsia="楷体_GB2312"/>
          <w:sz w:val="24"/>
        </w:rPr>
      </w:pPr>
      <w:r>
        <w:rPr>
          <w:rFonts w:ascii="楷体_GB2312" w:eastAsia="楷体_GB2312" w:hint="eastAsia"/>
          <w:sz w:val="24"/>
        </w:rPr>
        <w:t>制表日期：</w:t>
      </w:r>
      <w:r w:rsidRPr="006A6A29">
        <w:rPr>
          <w:rFonts w:ascii="楷体_GB2312" w:eastAsia="楷体_GB2312"/>
          <w:sz w:val="24"/>
        </w:rPr>
        <w:t>0000-00-00</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309"/>
        <w:gridCol w:w="2855"/>
        <w:gridCol w:w="3183"/>
      </w:tblGrid>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b/>
                <w:sz w:val="24"/>
                <w:szCs w:val="24"/>
              </w:rPr>
            </w:pPr>
            <w:r>
              <w:rPr>
                <w:rFonts w:ascii="楷体_GB2312" w:hint="eastAsia"/>
                <w:sz w:val="24"/>
                <w:szCs w:val="24"/>
              </w:rPr>
              <w:t>公司名称</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公司中文名称</w:t>
            </w:r>
            <w:r>
              <w:rPr>
                <w:rFonts w:ascii="楷体_GB2312" w:hint="eastAsia"/>
                <w:sz w:val="24"/>
                <w:szCs w:val="24"/>
              </w:rPr>
              <w:t>&gt;</w:t>
            </w: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被实施风险警示的原因</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异常情形类别</w:t>
            </w:r>
            <w:r>
              <w:rPr>
                <w:rFonts w:ascii="楷体_GB2312" w:hint="eastAsia"/>
                <w:sz w:val="24"/>
                <w:szCs w:val="24"/>
              </w:rPr>
              <w:t>&gt;</w:t>
            </w: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实施风险警示的起始日期</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int="eastAsia"/>
                <w:sz w:val="24"/>
                <w:szCs w:val="24"/>
              </w:rPr>
              <w:t>实施日期</w:t>
            </w:r>
            <w:r>
              <w:rPr>
                <w:rFonts w:ascii="楷体_GB2312" w:hint="eastAsia"/>
                <w:sz w:val="24"/>
                <w:szCs w:val="24"/>
              </w:rPr>
              <w:t>&gt;</w:t>
            </w: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撤销前风险警示的类别</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bCs/>
                <w:sz w:val="24"/>
                <w:szCs w:val="24"/>
              </w:rPr>
            </w:pPr>
            <w:r w:rsidRPr="00E410CD">
              <w:rPr>
                <w:rFonts w:eastAsia="仿宋_GB2312" w:hint="eastAsia"/>
                <w:b/>
                <w:sz w:val="24"/>
              </w:rPr>
              <w:t>⊙退市风险警示（</w:t>
            </w:r>
            <w:r w:rsidRPr="00E410CD">
              <w:rPr>
                <w:rFonts w:eastAsia="仿宋_GB2312" w:hint="eastAsia"/>
                <w:b/>
                <w:sz w:val="24"/>
              </w:rPr>
              <w:t>*ST</w:t>
            </w:r>
            <w:r w:rsidRPr="00E410CD">
              <w:rPr>
                <w:rFonts w:eastAsia="仿宋_GB2312" w:hint="eastAsia"/>
                <w:b/>
                <w:sz w:val="24"/>
              </w:rPr>
              <w:t>）</w:t>
            </w:r>
            <w:r w:rsidRPr="00E410CD">
              <w:rPr>
                <w:rFonts w:eastAsia="仿宋_GB2312" w:hint="eastAsia"/>
                <w:b/>
                <w:sz w:val="24"/>
              </w:rPr>
              <w:t xml:space="preserve">  </w:t>
            </w:r>
            <w:r w:rsidRPr="00E410CD">
              <w:rPr>
                <w:rFonts w:eastAsia="仿宋_GB2312" w:hint="eastAsia"/>
                <w:b/>
                <w:sz w:val="24"/>
              </w:rPr>
              <w:t>○其它</w:t>
            </w:r>
            <w:r>
              <w:rPr>
                <w:rFonts w:eastAsia="仿宋_GB2312" w:hint="eastAsia"/>
                <w:b/>
                <w:sz w:val="24"/>
              </w:rPr>
              <w:t>风险警示</w:t>
            </w:r>
            <w:r w:rsidRPr="00E410CD">
              <w:rPr>
                <w:rFonts w:eastAsia="仿宋_GB2312" w:hint="eastAsia"/>
                <w:b/>
                <w:sz w:val="24"/>
              </w:rPr>
              <w:t>（</w:t>
            </w:r>
            <w:r w:rsidRPr="00E410CD">
              <w:rPr>
                <w:rFonts w:eastAsia="仿宋_GB2312" w:hint="eastAsia"/>
                <w:b/>
                <w:sz w:val="24"/>
              </w:rPr>
              <w:t>ST</w:t>
            </w:r>
            <w:r w:rsidRPr="00E410CD">
              <w:rPr>
                <w:rFonts w:eastAsia="仿宋_GB2312" w:hint="eastAsia"/>
                <w:b/>
                <w:sz w:val="24"/>
              </w:rPr>
              <w:t>）</w:t>
            </w: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撤销后的证券交易情况</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bCs/>
                <w:sz w:val="24"/>
                <w:szCs w:val="24"/>
              </w:rPr>
            </w:pPr>
            <w:r w:rsidRPr="00E410CD">
              <w:rPr>
                <w:rFonts w:eastAsia="仿宋_GB2312" w:hint="eastAsia"/>
                <w:b/>
                <w:sz w:val="24"/>
              </w:rPr>
              <w:t>⊙实行其它</w:t>
            </w:r>
            <w:r>
              <w:rPr>
                <w:rFonts w:eastAsia="仿宋_GB2312" w:hint="eastAsia"/>
                <w:b/>
                <w:sz w:val="24"/>
              </w:rPr>
              <w:t>风险警示</w:t>
            </w:r>
            <w:r w:rsidRPr="00E410CD">
              <w:rPr>
                <w:rFonts w:eastAsia="仿宋_GB2312" w:hint="eastAsia"/>
                <w:b/>
                <w:sz w:val="24"/>
              </w:rPr>
              <w:t>（</w:t>
            </w:r>
            <w:r w:rsidRPr="00E410CD">
              <w:rPr>
                <w:rFonts w:eastAsia="仿宋_GB2312" w:hint="eastAsia"/>
                <w:b/>
                <w:sz w:val="24"/>
              </w:rPr>
              <w:t>ST</w:t>
            </w:r>
            <w:r w:rsidRPr="00E410CD">
              <w:rPr>
                <w:rFonts w:eastAsia="仿宋_GB2312" w:hint="eastAsia"/>
                <w:b/>
                <w:sz w:val="24"/>
              </w:rPr>
              <w:t>）</w:t>
            </w:r>
            <w:r w:rsidRPr="00E410CD">
              <w:rPr>
                <w:rFonts w:eastAsia="仿宋_GB2312" w:hint="eastAsia"/>
                <w:b/>
                <w:sz w:val="24"/>
              </w:rPr>
              <w:t xml:space="preserve">  </w:t>
            </w:r>
            <w:r w:rsidRPr="00E410CD">
              <w:rPr>
                <w:rFonts w:eastAsia="仿宋_GB2312" w:hint="eastAsia"/>
                <w:b/>
                <w:sz w:val="24"/>
              </w:rPr>
              <w:t>○正常交易</w:t>
            </w:r>
          </w:p>
        </w:tc>
      </w:tr>
      <w:tr w:rsidR="004A0B26" w:rsidTr="002B2FFE">
        <w:trPr>
          <w:cantSplit/>
          <w:jc w:val="center"/>
        </w:trPr>
        <w:tc>
          <w:tcPr>
            <w:tcW w:w="8756" w:type="dxa"/>
            <w:gridSpan w:val="4"/>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b/>
                <w:sz w:val="24"/>
                <w:szCs w:val="24"/>
              </w:rPr>
            </w:pPr>
            <w:r>
              <w:rPr>
                <w:rFonts w:ascii="楷体_GB2312" w:hint="eastAsia"/>
                <w:b/>
                <w:sz w:val="24"/>
                <w:szCs w:val="24"/>
              </w:rPr>
              <w:t>拟撤销风险警示的情况</w:t>
            </w:r>
          </w:p>
        </w:tc>
      </w:tr>
      <w:tr w:rsidR="004A0B26" w:rsidTr="002B2FFE">
        <w:trPr>
          <w:cantSplit/>
          <w:trHeight w:val="493"/>
          <w:jc w:val="center"/>
        </w:trPr>
        <w:tc>
          <w:tcPr>
            <w:tcW w:w="1409"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CG Times"/>
                <w:sz w:val="24"/>
                <w:szCs w:val="24"/>
              </w:rPr>
            </w:pPr>
            <w:r>
              <w:rPr>
                <w:rFonts w:ascii="楷体_GB2312" w:hint="eastAsia"/>
                <w:sz w:val="24"/>
                <w:szCs w:val="24"/>
              </w:rPr>
              <w:t>证券类型</w:t>
            </w:r>
          </w:p>
        </w:tc>
        <w:tc>
          <w:tcPr>
            <w:tcW w:w="1309"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CG Times"/>
                <w:sz w:val="24"/>
                <w:szCs w:val="24"/>
              </w:rPr>
            </w:pPr>
            <w:r>
              <w:rPr>
                <w:rFonts w:ascii="楷体_GB2312" w:hint="eastAsia"/>
                <w:sz w:val="24"/>
                <w:szCs w:val="24"/>
              </w:rPr>
              <w:t>证券代码</w:t>
            </w:r>
          </w:p>
        </w:tc>
        <w:tc>
          <w:tcPr>
            <w:tcW w:w="2855"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CG Times"/>
                <w:sz w:val="24"/>
                <w:szCs w:val="24"/>
              </w:rPr>
            </w:pPr>
            <w:r>
              <w:rPr>
                <w:rFonts w:ascii="楷体_GB2312" w:hint="eastAsia"/>
                <w:sz w:val="24"/>
                <w:szCs w:val="24"/>
              </w:rPr>
              <w:t>原证券简称</w:t>
            </w:r>
          </w:p>
        </w:tc>
        <w:tc>
          <w:tcPr>
            <w:tcW w:w="3183" w:type="dxa"/>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center"/>
              <w:rPr>
                <w:rFonts w:ascii="楷体_GB2312" w:eastAsia="楷体_GB2312" w:hAnsi="CG Times"/>
                <w:sz w:val="24"/>
                <w:szCs w:val="24"/>
              </w:rPr>
            </w:pPr>
            <w:r>
              <w:rPr>
                <w:rFonts w:ascii="楷体_GB2312" w:hint="eastAsia"/>
                <w:sz w:val="24"/>
                <w:szCs w:val="24"/>
              </w:rPr>
              <w:t>拟撤销风险警示后证券简称</w:t>
            </w:r>
          </w:p>
        </w:tc>
      </w:tr>
      <w:tr w:rsidR="004A0B26" w:rsidTr="002B2FFE">
        <w:trPr>
          <w:cantSplit/>
          <w:trHeight w:val="415"/>
          <w:jc w:val="center"/>
        </w:trPr>
        <w:tc>
          <w:tcPr>
            <w:tcW w:w="14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2855"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trHeight w:val="323"/>
          <w:jc w:val="center"/>
        </w:trPr>
        <w:tc>
          <w:tcPr>
            <w:tcW w:w="14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2855"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trHeight w:val="400"/>
          <w:jc w:val="center"/>
        </w:trPr>
        <w:tc>
          <w:tcPr>
            <w:tcW w:w="14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CG Time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2855"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拟撤销风险警示的日期</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CG Times"/>
                <w:sz w:val="24"/>
                <w:szCs w:val="24"/>
              </w:rPr>
            </w:pPr>
            <w:r>
              <w:rPr>
                <w:rFonts w:ascii="楷体_GB2312" w:hint="eastAsia"/>
                <w:sz w:val="24"/>
                <w:szCs w:val="24"/>
              </w:rPr>
              <w:t>&lt;</w:t>
            </w:r>
            <w:r>
              <w:rPr>
                <w:rFonts w:ascii="楷体_GB2312" w:hAnsi="宋体" w:hint="eastAsia"/>
                <w:sz w:val="24"/>
                <w:szCs w:val="24"/>
              </w:rPr>
              <w:t>撤销日期</w:t>
            </w:r>
            <w:r>
              <w:rPr>
                <w:rFonts w:ascii="楷体_GB2312" w:hint="eastAsia"/>
                <w:sz w:val="24"/>
                <w:szCs w:val="24"/>
              </w:rPr>
              <w:t>&gt;</w:t>
            </w:r>
          </w:p>
        </w:tc>
      </w:tr>
      <w:tr w:rsidR="004A0B26" w:rsidTr="002B2FFE">
        <w:trPr>
          <w:cantSplit/>
          <w:jc w:val="center"/>
        </w:trPr>
        <w:tc>
          <w:tcPr>
            <w:tcW w:w="8756" w:type="dxa"/>
            <w:gridSpan w:val="4"/>
            <w:tcBorders>
              <w:top w:val="single" w:sz="4" w:space="0" w:color="auto"/>
              <w:left w:val="single" w:sz="4" w:space="0" w:color="auto"/>
              <w:bottom w:val="single" w:sz="4" w:space="0" w:color="auto"/>
              <w:right w:val="single" w:sz="4" w:space="0" w:color="auto"/>
            </w:tcBorders>
            <w:hideMark/>
          </w:tcPr>
          <w:p w:rsidR="004A0B26" w:rsidRDefault="004A0B26" w:rsidP="002B2FFE">
            <w:pPr>
              <w:spacing w:beforeLines="30" w:before="93" w:afterLines="30" w:after="93"/>
              <w:rPr>
                <w:rFonts w:ascii="楷体_GB2312" w:eastAsia="楷体_GB2312" w:hAnsi="Tahoma" w:cs="Tahoma"/>
                <w:sz w:val="24"/>
                <w:szCs w:val="24"/>
              </w:rPr>
            </w:pPr>
            <w:r>
              <w:rPr>
                <w:rFonts w:ascii="楷体_GB2312" w:hAnsi="宋体" w:cs="Tahoma" w:hint="eastAsia"/>
                <w:b/>
                <w:sz w:val="24"/>
              </w:rPr>
              <w:t>公司管理部审核意见</w:t>
            </w:r>
          </w:p>
        </w:tc>
      </w:tr>
      <w:tr w:rsidR="004A0B26" w:rsidTr="002B2FFE">
        <w:trPr>
          <w:cantSplit/>
          <w:trHeight w:val="2951"/>
          <w:jc w:val="center"/>
        </w:trPr>
        <w:tc>
          <w:tcPr>
            <w:tcW w:w="8756" w:type="dxa"/>
            <w:gridSpan w:val="4"/>
            <w:tcBorders>
              <w:top w:val="single" w:sz="4" w:space="0" w:color="auto"/>
              <w:left w:val="single" w:sz="4" w:space="0" w:color="auto"/>
              <w:bottom w:val="single" w:sz="4" w:space="0" w:color="auto"/>
              <w:right w:val="single" w:sz="4" w:space="0" w:color="auto"/>
            </w:tcBorders>
            <w:vAlign w:val="center"/>
            <w:hideMark/>
          </w:tcPr>
          <w:p w:rsidR="004A0B26" w:rsidRPr="00695B47" w:rsidRDefault="004A0B26" w:rsidP="002B2FFE">
            <w:pPr>
              <w:spacing w:line="480" w:lineRule="exact"/>
              <w:rPr>
                <w:rFonts w:eastAsia="仿宋_GB2312"/>
                <w:b/>
                <w:sz w:val="24"/>
                <w:szCs w:val="24"/>
              </w:rPr>
            </w:pPr>
            <w:r w:rsidRPr="00695B47">
              <w:rPr>
                <w:rFonts w:eastAsia="仿宋_GB2312" w:hint="eastAsia"/>
                <w:b/>
                <w:sz w:val="24"/>
                <w:szCs w:val="24"/>
              </w:rPr>
              <w:t>（</w:t>
            </w:r>
            <w:r w:rsidRPr="006A6A29">
              <w:rPr>
                <w:rFonts w:eastAsia="仿宋_GB2312" w:hint="eastAsia"/>
                <w:b/>
                <w:sz w:val="24"/>
                <w:szCs w:val="24"/>
              </w:rPr>
              <w:t>主审人员</w:t>
            </w:r>
            <w:r w:rsidRPr="00695B47">
              <w:rPr>
                <w:rFonts w:eastAsia="仿宋_GB2312" w:hint="eastAsia"/>
                <w:b/>
                <w:sz w:val="24"/>
                <w:szCs w:val="24"/>
              </w:rPr>
              <w:t>根据具体情况选择填写）</w:t>
            </w:r>
          </w:p>
          <w:p w:rsidR="004A0B26" w:rsidRPr="006A6A29" w:rsidRDefault="004A0B26" w:rsidP="002B2FFE">
            <w:pPr>
              <w:ind w:firstLine="570"/>
              <w:rPr>
                <w:rFonts w:ascii="仿宋_GB2312" w:eastAsia="仿宋_GB2312" w:hAnsi="宋体"/>
                <w:sz w:val="18"/>
                <w:szCs w:val="18"/>
              </w:rPr>
            </w:pPr>
            <w:r w:rsidRPr="006A6A29">
              <w:rPr>
                <w:rFonts w:ascii="仿宋_GB2312" w:eastAsia="仿宋_GB2312" w:hAnsi="宋体" w:hint="eastAsia"/>
                <w:sz w:val="18"/>
                <w:szCs w:val="18"/>
              </w:rPr>
              <w:t>通常情况下，上市公司申请撤销股票交易ST或*ST的，“审查意见”填写模板举例如下：</w:t>
            </w:r>
          </w:p>
          <w:p w:rsidR="004A0B26" w:rsidRPr="006A6A29" w:rsidRDefault="004A0B26" w:rsidP="002B2FFE">
            <w:pPr>
              <w:ind w:firstLine="570"/>
              <w:rPr>
                <w:rFonts w:ascii="仿宋_GB2312" w:eastAsia="仿宋_GB2312" w:hAnsi="宋体"/>
                <w:sz w:val="18"/>
                <w:szCs w:val="18"/>
              </w:rPr>
            </w:pPr>
            <w:r w:rsidRPr="006A6A29">
              <w:rPr>
                <w:rFonts w:ascii="仿宋_GB2312" w:eastAsia="仿宋_GB2312" w:hAnsi="宋体" w:hint="eastAsia"/>
                <w:sz w:val="18"/>
                <w:szCs w:val="18"/>
              </w:rPr>
              <w:t>案例一（撤销ST）</w:t>
            </w:r>
          </w:p>
          <w:p w:rsidR="004A0B26" w:rsidRPr="006A6A29" w:rsidRDefault="004A0B26" w:rsidP="002B2FFE">
            <w:pPr>
              <w:ind w:firstLine="570"/>
              <w:rPr>
                <w:rFonts w:ascii="宋体" w:hAnsi="宋体"/>
                <w:sz w:val="18"/>
                <w:szCs w:val="18"/>
              </w:rPr>
            </w:pPr>
            <w:r w:rsidRPr="006A6A29">
              <w:rPr>
                <w:rFonts w:ascii="宋体" w:hAnsi="宋体" w:hint="eastAsia"/>
                <w:sz w:val="18"/>
                <w:szCs w:val="18"/>
              </w:rPr>
              <w:t>公司2009年年报显示，经审计的归属于上市公司股东的净利润为XXX万元，扣除非经常性损益后归属于上市公司股东的净利润为XXX万元；主营业务正常运营；不存在应当继续实行其他风险警示的情形。根据《股票上市规则》第13.X.X条规定，经公司申请，拟自XXXX年XX月XX日起撤销对公司股票交易实行的其他风险警示。</w:t>
            </w:r>
          </w:p>
          <w:p w:rsidR="004A0B26" w:rsidRDefault="004A0B26" w:rsidP="002B2FFE">
            <w:pPr>
              <w:ind w:firstLineChars="1900" w:firstLine="3420"/>
              <w:rPr>
                <w:rFonts w:ascii="楷体_GB2312" w:eastAsia="楷体_GB2312" w:hAnsi="宋体" w:cs="宋体"/>
                <w:kern w:val="0"/>
                <w:sz w:val="24"/>
                <w:szCs w:val="24"/>
              </w:rPr>
            </w:pPr>
            <w:r w:rsidRPr="006A6A29">
              <w:rPr>
                <w:rFonts w:ascii="宋体" w:hAnsi="宋体" w:hint="eastAsia"/>
                <w:sz w:val="18"/>
                <w:szCs w:val="18"/>
              </w:rPr>
              <w:t>主审人员：     日期：</w:t>
            </w: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Tahoma" w:cs="Tahoma"/>
                <w:b/>
                <w:sz w:val="24"/>
              </w:rPr>
            </w:pPr>
            <w:r>
              <w:rPr>
                <w:rFonts w:ascii="楷体_GB2312" w:hAnsi="Tahoma" w:cs="Tahoma" w:hint="eastAsia"/>
                <w:b/>
                <w:sz w:val="24"/>
              </w:rPr>
              <w:t>公司管理部审核意见</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right"/>
              <w:rPr>
                <w:rFonts w:ascii="楷体_GB2312" w:eastAsia="楷体_GB2312" w:hAnsi="Tahoma" w:cs="Tahoma"/>
                <w:sz w:val="24"/>
              </w:rPr>
            </w:pP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Tahoma" w:cs="Tahoma"/>
                <w:b/>
                <w:sz w:val="24"/>
                <w:szCs w:val="24"/>
              </w:rPr>
            </w:pPr>
            <w:r>
              <w:rPr>
                <w:rFonts w:ascii="楷体_GB2312" w:hAnsi="宋体" w:cs="Tahoma" w:hint="eastAsia"/>
                <w:b/>
                <w:sz w:val="24"/>
                <w:szCs w:val="24"/>
              </w:rPr>
              <w:t>总经理室意见</w:t>
            </w:r>
          </w:p>
        </w:tc>
        <w:tc>
          <w:tcPr>
            <w:tcW w:w="6038" w:type="dxa"/>
            <w:gridSpan w:val="2"/>
            <w:tcBorders>
              <w:top w:val="single" w:sz="4" w:space="0" w:color="auto"/>
              <w:left w:val="single" w:sz="4" w:space="0" w:color="auto"/>
              <w:bottom w:val="single" w:sz="4" w:space="0" w:color="auto"/>
              <w:right w:val="single" w:sz="4" w:space="0" w:color="auto"/>
            </w:tcBorders>
            <w:hideMark/>
          </w:tcPr>
          <w:p w:rsidR="004A0B26" w:rsidRDefault="004A0B26" w:rsidP="002B2FFE">
            <w:pPr>
              <w:spacing w:beforeLines="30" w:before="93" w:afterLines="30" w:after="93"/>
              <w:rPr>
                <w:rFonts w:ascii="楷体_GB2312" w:eastAsia="楷体_GB2312" w:hAnsi="Tahoma" w:cs="Tahoma"/>
                <w:sz w:val="24"/>
                <w:szCs w:val="24"/>
              </w:rPr>
            </w:pPr>
          </w:p>
        </w:tc>
      </w:tr>
      <w:tr w:rsidR="004A0B26" w:rsidTr="002B2FFE">
        <w:trPr>
          <w:cantSplit/>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宋体" w:cs="Tahoma" w:hint="eastAsia"/>
                <w:b/>
                <w:sz w:val="24"/>
                <w:szCs w:val="24"/>
              </w:rPr>
              <w:t>系统运行部签收</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trHeight w:val="732"/>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楷体" w:cs="Tahoma" w:hint="eastAsia"/>
                <w:b/>
                <w:sz w:val="24"/>
                <w:szCs w:val="24"/>
              </w:rPr>
              <w:t>中国结算深圳分公司</w:t>
            </w:r>
          </w:p>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宋体" w:cs="Tahoma" w:hint="eastAsia"/>
                <w:b/>
                <w:sz w:val="24"/>
                <w:szCs w:val="24"/>
              </w:rPr>
              <w:t>登记存管部签收</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sz w:val="24"/>
                <w:szCs w:val="24"/>
              </w:rPr>
            </w:pPr>
          </w:p>
        </w:tc>
      </w:tr>
      <w:tr w:rsidR="004A0B26" w:rsidTr="002B2FFE">
        <w:trPr>
          <w:cantSplit/>
          <w:trHeight w:val="377"/>
          <w:jc w:val="center"/>
        </w:trPr>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jc w:val="left"/>
              <w:rPr>
                <w:rFonts w:ascii="楷体_GB2312" w:eastAsia="楷体_GB2312" w:hAnsi="宋体" w:cs="Tahoma"/>
                <w:b/>
                <w:sz w:val="24"/>
                <w:szCs w:val="24"/>
              </w:rPr>
            </w:pPr>
            <w:r>
              <w:rPr>
                <w:rFonts w:ascii="楷体_GB2312" w:hAnsi="宋体" w:cs="Tahoma" w:hint="eastAsia"/>
                <w:b/>
                <w:sz w:val="24"/>
                <w:szCs w:val="24"/>
              </w:rPr>
              <w:t>备</w:t>
            </w:r>
            <w:r>
              <w:rPr>
                <w:rFonts w:ascii="楷体_GB2312" w:hAnsi="宋体" w:cs="Tahoma" w:hint="eastAsia"/>
                <w:b/>
                <w:sz w:val="24"/>
                <w:szCs w:val="24"/>
              </w:rPr>
              <w:t xml:space="preserve">    </w:t>
            </w:r>
            <w:r>
              <w:rPr>
                <w:rFonts w:ascii="楷体_GB2312" w:hAnsi="宋体" w:cs="Tahoma" w:hint="eastAsia"/>
                <w:b/>
                <w:sz w:val="24"/>
                <w:szCs w:val="24"/>
              </w:rPr>
              <w:t>注</w:t>
            </w:r>
          </w:p>
        </w:tc>
        <w:tc>
          <w:tcPr>
            <w:tcW w:w="6038" w:type="dxa"/>
            <w:gridSpan w:val="2"/>
            <w:tcBorders>
              <w:top w:val="single" w:sz="4" w:space="0" w:color="auto"/>
              <w:left w:val="single" w:sz="4" w:space="0" w:color="auto"/>
              <w:bottom w:val="single" w:sz="4" w:space="0" w:color="auto"/>
              <w:right w:val="single" w:sz="4" w:space="0" w:color="auto"/>
            </w:tcBorders>
            <w:vAlign w:val="center"/>
            <w:hideMark/>
          </w:tcPr>
          <w:p w:rsidR="004A0B26" w:rsidRDefault="004A0B26" w:rsidP="002B2FFE">
            <w:pPr>
              <w:spacing w:beforeLines="30" w:before="93" w:afterLines="30" w:after="93"/>
              <w:rPr>
                <w:rFonts w:ascii="楷体_GB2312" w:eastAsia="楷体_GB2312" w:hAnsi="宋体" w:cs="Tahoma"/>
                <w:sz w:val="24"/>
                <w:szCs w:val="24"/>
              </w:rPr>
            </w:pPr>
            <w:r>
              <w:rPr>
                <w:rFonts w:ascii="楷体_GB2312" w:hAnsi="宋体" w:cs="Tahoma" w:hint="eastAsia"/>
                <w:sz w:val="24"/>
                <w:szCs w:val="24"/>
              </w:rPr>
              <w:t>此表同时用作证券简称变更通知书</w:t>
            </w:r>
          </w:p>
        </w:tc>
      </w:tr>
    </w:tbl>
    <w:p w:rsidR="004A0B26" w:rsidRPr="00A82DD1" w:rsidRDefault="004A0B26" w:rsidP="004A0B26">
      <w:pPr>
        <w:rPr>
          <w:rFonts w:eastAsia="黑体"/>
          <w:b/>
          <w:sz w:val="28"/>
        </w:rPr>
      </w:pPr>
    </w:p>
    <w:p w:rsidR="004A0B26" w:rsidRDefault="004A0B26" w:rsidP="004A0B26">
      <w:pPr>
        <w:rPr>
          <w:rFonts w:eastAsia="黑体"/>
          <w:b/>
          <w:noProof/>
          <w:sz w:val="28"/>
        </w:rPr>
      </w:pPr>
      <w:r w:rsidRPr="00764FF8">
        <w:rPr>
          <w:rFonts w:eastAsia="黑体" w:hint="eastAsia"/>
          <w:b/>
          <w:noProof/>
          <w:sz w:val="28"/>
        </w:rPr>
        <w:t>附件</w:t>
      </w:r>
      <w:r w:rsidRPr="00764FF8">
        <w:rPr>
          <w:rFonts w:eastAsia="黑体" w:hint="eastAsia"/>
          <w:b/>
          <w:noProof/>
          <w:sz w:val="28"/>
        </w:rPr>
        <w:t xml:space="preserve">5  </w:t>
      </w:r>
      <w:r w:rsidRPr="00764FF8">
        <w:rPr>
          <w:rFonts w:eastAsia="黑体" w:hint="eastAsia"/>
          <w:b/>
          <w:noProof/>
          <w:sz w:val="28"/>
        </w:rPr>
        <w:t>流程图</w:t>
      </w:r>
    </w:p>
    <w:p w:rsidR="004A0B26" w:rsidRPr="00764FF8" w:rsidRDefault="004A0B26" w:rsidP="004A0B26">
      <w:pPr>
        <w:rPr>
          <w:rFonts w:eastAsia="黑体"/>
          <w:b/>
          <w:noProof/>
          <w:sz w:val="24"/>
          <w:szCs w:val="24"/>
        </w:rPr>
      </w:pPr>
      <w:r>
        <w:rPr>
          <w:rFonts w:eastAsia="黑体" w:hint="eastAsia"/>
          <w:b/>
          <w:noProof/>
          <w:sz w:val="24"/>
          <w:szCs w:val="24"/>
        </w:rPr>
        <w:t>实行风险警示</w:t>
      </w:r>
    </w:p>
    <w:p w:rsidR="004A0B26" w:rsidRDefault="004A0B26" w:rsidP="004A0B26">
      <w:r>
        <w:object w:dxaOrig="12514" w:dyaOrig="1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36.6pt" o:ole="">
            <v:imagedata r:id="rId12" o:title=""/>
          </v:shape>
          <o:OLEObject Type="Embed" ProgID="Visio.Drawing.11" ShapeID="_x0000_i1025" DrawAspect="Content" ObjectID="_1426416158" r:id="rId13"/>
        </w:object>
      </w:r>
    </w:p>
    <w:p w:rsidR="004A0B26" w:rsidRDefault="004A0B26" w:rsidP="004A0B26">
      <w:r>
        <w:br w:type="page"/>
      </w:r>
      <w:r w:rsidRPr="00764FF8">
        <w:rPr>
          <w:rFonts w:eastAsia="黑体" w:hint="eastAsia"/>
          <w:b/>
          <w:noProof/>
          <w:sz w:val="24"/>
          <w:szCs w:val="24"/>
        </w:rPr>
        <w:t>撤销</w:t>
      </w:r>
      <w:r>
        <w:rPr>
          <w:rFonts w:eastAsia="黑体" w:hint="eastAsia"/>
          <w:b/>
          <w:noProof/>
          <w:sz w:val="24"/>
          <w:szCs w:val="24"/>
        </w:rPr>
        <w:t>风险警示</w:t>
      </w:r>
    </w:p>
    <w:p w:rsidR="004A0B26" w:rsidRPr="00764FF8" w:rsidRDefault="004A0B26" w:rsidP="004A0B26">
      <w:pPr>
        <w:rPr>
          <w:rFonts w:eastAsia="黑体"/>
          <w:b/>
          <w:noProof/>
          <w:sz w:val="28"/>
        </w:rPr>
      </w:pPr>
      <w:r>
        <w:object w:dxaOrig="12514" w:dyaOrig="16609">
          <v:shape id="_x0000_i1026" type="#_x0000_t75" style="width:415pt;height:550.85pt" o:ole="">
            <v:imagedata r:id="rId14" o:title=""/>
          </v:shape>
          <o:OLEObject Type="Embed" ProgID="Visio.Drawing.11" ShapeID="_x0000_i1026" DrawAspect="Content" ObjectID="_1426416159" r:id="rId15"/>
        </w:object>
      </w:r>
    </w:p>
    <w:p w:rsidR="004A0B26" w:rsidRPr="000847FC" w:rsidRDefault="004A0B26" w:rsidP="004A0B26"/>
    <w:p w:rsidR="004A0B26" w:rsidRPr="00692FE8" w:rsidRDefault="004A0B26" w:rsidP="004A0B26"/>
    <w:p w:rsidR="004A0B26" w:rsidRPr="000847FC" w:rsidRDefault="004A0B26" w:rsidP="004A0B26"/>
    <w:p w:rsidR="00B54162" w:rsidRDefault="004B17C8">
      <w:r>
        <w:rPr>
          <w:rFonts w:hint="eastAsia"/>
        </w:rPr>
        <w:t xml:space="preserve"> </w:t>
      </w:r>
    </w:p>
    <w:sectPr w:rsidR="00B54162" w:rsidSect="00B54162">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15" w:rsidRDefault="00030615" w:rsidP="004B17C8">
      <w:r>
        <w:separator/>
      </w:r>
    </w:p>
  </w:endnote>
  <w:endnote w:type="continuationSeparator" w:id="0">
    <w:p w:rsidR="00030615" w:rsidRDefault="00030615" w:rsidP="004B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26" w:rsidRDefault="004A0B26" w:rsidP="003238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0B26" w:rsidRDefault="004A0B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26" w:rsidRDefault="004A0B26" w:rsidP="003238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74C9">
      <w:rPr>
        <w:rStyle w:val="a5"/>
        <w:noProof/>
      </w:rPr>
      <w:t>1</w:t>
    </w:r>
    <w:r>
      <w:rPr>
        <w:rStyle w:val="a5"/>
      </w:rPr>
      <w:fldChar w:fldCharType="end"/>
    </w:r>
  </w:p>
  <w:p w:rsidR="004A0B26" w:rsidRDefault="004A0B2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F5" w:rsidRDefault="00FA6DF5">
    <w:pPr>
      <w:pStyle w:val="a4"/>
      <w:jc w:val="center"/>
    </w:pPr>
    <w:r>
      <w:fldChar w:fldCharType="begin"/>
    </w:r>
    <w:r>
      <w:instrText>PAGE   \* MERGEFORMAT</w:instrText>
    </w:r>
    <w:r>
      <w:fldChar w:fldCharType="separate"/>
    </w:r>
    <w:r w:rsidR="00106822" w:rsidRPr="00106822">
      <w:rPr>
        <w:noProof/>
        <w:lang w:val="zh-CN"/>
      </w:rPr>
      <w:t>23</w:t>
    </w:r>
    <w:r>
      <w:fldChar w:fldCharType="end"/>
    </w:r>
  </w:p>
  <w:p w:rsidR="00FA6DF5" w:rsidRDefault="00FA6D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15" w:rsidRDefault="00030615" w:rsidP="004B17C8">
      <w:r>
        <w:separator/>
      </w:r>
    </w:p>
  </w:footnote>
  <w:footnote w:type="continuationSeparator" w:id="0">
    <w:p w:rsidR="00030615" w:rsidRDefault="00030615" w:rsidP="004B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20F"/>
    <w:multiLevelType w:val="hybridMultilevel"/>
    <w:tmpl w:val="C8283F1E"/>
    <w:lvl w:ilvl="0" w:tplc="C33C73DC">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6DB32EA"/>
    <w:multiLevelType w:val="hybridMultilevel"/>
    <w:tmpl w:val="CE56643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C8"/>
    <w:rsid w:val="000023A7"/>
    <w:rsid w:val="00003FCE"/>
    <w:rsid w:val="00003FE8"/>
    <w:rsid w:val="00006FA0"/>
    <w:rsid w:val="00011A1A"/>
    <w:rsid w:val="00015FC5"/>
    <w:rsid w:val="00021419"/>
    <w:rsid w:val="000229C7"/>
    <w:rsid w:val="00023C3A"/>
    <w:rsid w:val="00026964"/>
    <w:rsid w:val="00027B38"/>
    <w:rsid w:val="00030605"/>
    <w:rsid w:val="00030615"/>
    <w:rsid w:val="0003260E"/>
    <w:rsid w:val="00034AEA"/>
    <w:rsid w:val="000366A5"/>
    <w:rsid w:val="00036A14"/>
    <w:rsid w:val="00040B2F"/>
    <w:rsid w:val="00044A8C"/>
    <w:rsid w:val="0005006B"/>
    <w:rsid w:val="00051FEA"/>
    <w:rsid w:val="00052FF3"/>
    <w:rsid w:val="0005357D"/>
    <w:rsid w:val="00053FED"/>
    <w:rsid w:val="00060359"/>
    <w:rsid w:val="00061AA5"/>
    <w:rsid w:val="00064089"/>
    <w:rsid w:val="000646BE"/>
    <w:rsid w:val="00065486"/>
    <w:rsid w:val="000661FC"/>
    <w:rsid w:val="00066257"/>
    <w:rsid w:val="00066BC7"/>
    <w:rsid w:val="00067BB1"/>
    <w:rsid w:val="00070895"/>
    <w:rsid w:val="00070A32"/>
    <w:rsid w:val="00072626"/>
    <w:rsid w:val="000744BD"/>
    <w:rsid w:val="00074DE4"/>
    <w:rsid w:val="0007604E"/>
    <w:rsid w:val="00080888"/>
    <w:rsid w:val="00082DF7"/>
    <w:rsid w:val="00084925"/>
    <w:rsid w:val="00084FEF"/>
    <w:rsid w:val="00086617"/>
    <w:rsid w:val="00087A9D"/>
    <w:rsid w:val="00091EEB"/>
    <w:rsid w:val="00096E58"/>
    <w:rsid w:val="000A1F5D"/>
    <w:rsid w:val="000A48B9"/>
    <w:rsid w:val="000A4BB9"/>
    <w:rsid w:val="000B11B8"/>
    <w:rsid w:val="000B142B"/>
    <w:rsid w:val="000B1603"/>
    <w:rsid w:val="000B1BC9"/>
    <w:rsid w:val="000B295A"/>
    <w:rsid w:val="000B29B0"/>
    <w:rsid w:val="000B29CA"/>
    <w:rsid w:val="000B51E9"/>
    <w:rsid w:val="000B6872"/>
    <w:rsid w:val="000B6C77"/>
    <w:rsid w:val="000C3C39"/>
    <w:rsid w:val="000C79F7"/>
    <w:rsid w:val="000D054D"/>
    <w:rsid w:val="000D087B"/>
    <w:rsid w:val="000D1159"/>
    <w:rsid w:val="000D16AF"/>
    <w:rsid w:val="000D1E25"/>
    <w:rsid w:val="000D2D5F"/>
    <w:rsid w:val="000D2E26"/>
    <w:rsid w:val="000D42F6"/>
    <w:rsid w:val="000D49BA"/>
    <w:rsid w:val="000D7389"/>
    <w:rsid w:val="000D7B91"/>
    <w:rsid w:val="000E0713"/>
    <w:rsid w:val="000E0F5E"/>
    <w:rsid w:val="000E2353"/>
    <w:rsid w:val="000F0630"/>
    <w:rsid w:val="000F0879"/>
    <w:rsid w:val="000F1B7C"/>
    <w:rsid w:val="000F1E8E"/>
    <w:rsid w:val="000F47BB"/>
    <w:rsid w:val="000F5D9F"/>
    <w:rsid w:val="000F6D7C"/>
    <w:rsid w:val="00100333"/>
    <w:rsid w:val="001005EF"/>
    <w:rsid w:val="0010088E"/>
    <w:rsid w:val="00101300"/>
    <w:rsid w:val="0010159E"/>
    <w:rsid w:val="00103971"/>
    <w:rsid w:val="0010446D"/>
    <w:rsid w:val="00106822"/>
    <w:rsid w:val="00107CE5"/>
    <w:rsid w:val="00107E66"/>
    <w:rsid w:val="00110D8D"/>
    <w:rsid w:val="001117CC"/>
    <w:rsid w:val="00112DBD"/>
    <w:rsid w:val="00114AFB"/>
    <w:rsid w:val="001174D4"/>
    <w:rsid w:val="0012026B"/>
    <w:rsid w:val="00122A98"/>
    <w:rsid w:val="00124218"/>
    <w:rsid w:val="001258C2"/>
    <w:rsid w:val="00130F83"/>
    <w:rsid w:val="00131293"/>
    <w:rsid w:val="001314C8"/>
    <w:rsid w:val="00134C70"/>
    <w:rsid w:val="0013635E"/>
    <w:rsid w:val="0014003C"/>
    <w:rsid w:val="0014012B"/>
    <w:rsid w:val="00140C6C"/>
    <w:rsid w:val="00140EF7"/>
    <w:rsid w:val="0014218F"/>
    <w:rsid w:val="0014229F"/>
    <w:rsid w:val="00144626"/>
    <w:rsid w:val="00144DE8"/>
    <w:rsid w:val="001455C6"/>
    <w:rsid w:val="00150BC7"/>
    <w:rsid w:val="0015198E"/>
    <w:rsid w:val="00153A5C"/>
    <w:rsid w:val="001551B2"/>
    <w:rsid w:val="00155459"/>
    <w:rsid w:val="00160749"/>
    <w:rsid w:val="00160E25"/>
    <w:rsid w:val="00161582"/>
    <w:rsid w:val="00162012"/>
    <w:rsid w:val="001624FB"/>
    <w:rsid w:val="0016251A"/>
    <w:rsid w:val="00165339"/>
    <w:rsid w:val="00165B57"/>
    <w:rsid w:val="00166D8B"/>
    <w:rsid w:val="00166EBB"/>
    <w:rsid w:val="00171795"/>
    <w:rsid w:val="00171C2B"/>
    <w:rsid w:val="00171EBC"/>
    <w:rsid w:val="0017668F"/>
    <w:rsid w:val="00176A80"/>
    <w:rsid w:val="00176EB4"/>
    <w:rsid w:val="001820BF"/>
    <w:rsid w:val="001835E3"/>
    <w:rsid w:val="0018379A"/>
    <w:rsid w:val="0018670A"/>
    <w:rsid w:val="00187D9D"/>
    <w:rsid w:val="001923E2"/>
    <w:rsid w:val="00192B5D"/>
    <w:rsid w:val="00193FEE"/>
    <w:rsid w:val="00194381"/>
    <w:rsid w:val="00194957"/>
    <w:rsid w:val="00195315"/>
    <w:rsid w:val="0019614B"/>
    <w:rsid w:val="00196430"/>
    <w:rsid w:val="001A1030"/>
    <w:rsid w:val="001A11A1"/>
    <w:rsid w:val="001A3ABA"/>
    <w:rsid w:val="001A5877"/>
    <w:rsid w:val="001B0BE9"/>
    <w:rsid w:val="001B0DF0"/>
    <w:rsid w:val="001B0E14"/>
    <w:rsid w:val="001B595E"/>
    <w:rsid w:val="001C1AAB"/>
    <w:rsid w:val="001C34DE"/>
    <w:rsid w:val="001C459D"/>
    <w:rsid w:val="001C4AB4"/>
    <w:rsid w:val="001C54E4"/>
    <w:rsid w:val="001C685E"/>
    <w:rsid w:val="001C6D60"/>
    <w:rsid w:val="001D2395"/>
    <w:rsid w:val="001D267F"/>
    <w:rsid w:val="001D275B"/>
    <w:rsid w:val="001D32A9"/>
    <w:rsid w:val="001D398E"/>
    <w:rsid w:val="001D43DF"/>
    <w:rsid w:val="001D5115"/>
    <w:rsid w:val="001D5D6A"/>
    <w:rsid w:val="001D6DF3"/>
    <w:rsid w:val="001E2460"/>
    <w:rsid w:val="001E2B4B"/>
    <w:rsid w:val="001E3CAC"/>
    <w:rsid w:val="001E40AF"/>
    <w:rsid w:val="001E548B"/>
    <w:rsid w:val="001E5759"/>
    <w:rsid w:val="001E6AA1"/>
    <w:rsid w:val="001F0D3F"/>
    <w:rsid w:val="001F1B66"/>
    <w:rsid w:val="001F627C"/>
    <w:rsid w:val="001F7E04"/>
    <w:rsid w:val="002006EB"/>
    <w:rsid w:val="00201157"/>
    <w:rsid w:val="00201FD5"/>
    <w:rsid w:val="00202C3A"/>
    <w:rsid w:val="002035E9"/>
    <w:rsid w:val="00203E22"/>
    <w:rsid w:val="00204C18"/>
    <w:rsid w:val="002057A2"/>
    <w:rsid w:val="00207395"/>
    <w:rsid w:val="00207FA2"/>
    <w:rsid w:val="00210E8B"/>
    <w:rsid w:val="00211045"/>
    <w:rsid w:val="00214026"/>
    <w:rsid w:val="002179C6"/>
    <w:rsid w:val="00217AC4"/>
    <w:rsid w:val="002201B3"/>
    <w:rsid w:val="00220397"/>
    <w:rsid w:val="00223D14"/>
    <w:rsid w:val="002255C4"/>
    <w:rsid w:val="00227343"/>
    <w:rsid w:val="002275D5"/>
    <w:rsid w:val="002307EE"/>
    <w:rsid w:val="00231983"/>
    <w:rsid w:val="00231EF1"/>
    <w:rsid w:val="002325A8"/>
    <w:rsid w:val="002325C0"/>
    <w:rsid w:val="002358DA"/>
    <w:rsid w:val="00243B5B"/>
    <w:rsid w:val="00245F85"/>
    <w:rsid w:val="00253081"/>
    <w:rsid w:val="00253B91"/>
    <w:rsid w:val="0025435F"/>
    <w:rsid w:val="002549E8"/>
    <w:rsid w:val="00256D1D"/>
    <w:rsid w:val="002573C2"/>
    <w:rsid w:val="00262B5B"/>
    <w:rsid w:val="00262C3F"/>
    <w:rsid w:val="00265672"/>
    <w:rsid w:val="00267A8F"/>
    <w:rsid w:val="002707D0"/>
    <w:rsid w:val="00270CFF"/>
    <w:rsid w:val="0027629B"/>
    <w:rsid w:val="0027695E"/>
    <w:rsid w:val="00276B9E"/>
    <w:rsid w:val="00277C69"/>
    <w:rsid w:val="00277DF7"/>
    <w:rsid w:val="00277EFA"/>
    <w:rsid w:val="00283C2E"/>
    <w:rsid w:val="00285D8E"/>
    <w:rsid w:val="00287DAE"/>
    <w:rsid w:val="0029049F"/>
    <w:rsid w:val="00290E2B"/>
    <w:rsid w:val="00291B5A"/>
    <w:rsid w:val="002928B2"/>
    <w:rsid w:val="002938EA"/>
    <w:rsid w:val="00294CB8"/>
    <w:rsid w:val="00295BCA"/>
    <w:rsid w:val="00296A65"/>
    <w:rsid w:val="00297377"/>
    <w:rsid w:val="00297E78"/>
    <w:rsid w:val="002A086D"/>
    <w:rsid w:val="002A0BC5"/>
    <w:rsid w:val="002A21DD"/>
    <w:rsid w:val="002A2678"/>
    <w:rsid w:val="002A344A"/>
    <w:rsid w:val="002A5E22"/>
    <w:rsid w:val="002B16BC"/>
    <w:rsid w:val="002B2405"/>
    <w:rsid w:val="002B32A7"/>
    <w:rsid w:val="002B4D23"/>
    <w:rsid w:val="002B54DD"/>
    <w:rsid w:val="002B55EE"/>
    <w:rsid w:val="002C07D0"/>
    <w:rsid w:val="002C12DF"/>
    <w:rsid w:val="002C1DAD"/>
    <w:rsid w:val="002C1E69"/>
    <w:rsid w:val="002C6365"/>
    <w:rsid w:val="002C7DD0"/>
    <w:rsid w:val="002D329B"/>
    <w:rsid w:val="002D5E9C"/>
    <w:rsid w:val="002D699C"/>
    <w:rsid w:val="002D7708"/>
    <w:rsid w:val="002E01D9"/>
    <w:rsid w:val="002E18FC"/>
    <w:rsid w:val="002E2633"/>
    <w:rsid w:val="002E2B9F"/>
    <w:rsid w:val="002E4B7C"/>
    <w:rsid w:val="002E50F0"/>
    <w:rsid w:val="002E6D84"/>
    <w:rsid w:val="002E7237"/>
    <w:rsid w:val="002F0EF7"/>
    <w:rsid w:val="002F13CA"/>
    <w:rsid w:val="002F2E87"/>
    <w:rsid w:val="002F5123"/>
    <w:rsid w:val="002F5128"/>
    <w:rsid w:val="002F54C3"/>
    <w:rsid w:val="003012A6"/>
    <w:rsid w:val="00302083"/>
    <w:rsid w:val="0030235D"/>
    <w:rsid w:val="00302B84"/>
    <w:rsid w:val="003031FA"/>
    <w:rsid w:val="003061C9"/>
    <w:rsid w:val="003075D5"/>
    <w:rsid w:val="00313601"/>
    <w:rsid w:val="00314EB8"/>
    <w:rsid w:val="003150AA"/>
    <w:rsid w:val="00316F22"/>
    <w:rsid w:val="00322724"/>
    <w:rsid w:val="00322BC1"/>
    <w:rsid w:val="0032373B"/>
    <w:rsid w:val="003257D9"/>
    <w:rsid w:val="0032748B"/>
    <w:rsid w:val="00330FA8"/>
    <w:rsid w:val="00331916"/>
    <w:rsid w:val="00334100"/>
    <w:rsid w:val="00340444"/>
    <w:rsid w:val="00341940"/>
    <w:rsid w:val="00341C03"/>
    <w:rsid w:val="003432E5"/>
    <w:rsid w:val="0034414F"/>
    <w:rsid w:val="00344DBC"/>
    <w:rsid w:val="00345425"/>
    <w:rsid w:val="00345ABA"/>
    <w:rsid w:val="00350510"/>
    <w:rsid w:val="003525DC"/>
    <w:rsid w:val="003545BC"/>
    <w:rsid w:val="00354F21"/>
    <w:rsid w:val="003554E6"/>
    <w:rsid w:val="00355AC9"/>
    <w:rsid w:val="003564B2"/>
    <w:rsid w:val="00362342"/>
    <w:rsid w:val="003649D9"/>
    <w:rsid w:val="003669CB"/>
    <w:rsid w:val="00367A2A"/>
    <w:rsid w:val="00367AA5"/>
    <w:rsid w:val="00370462"/>
    <w:rsid w:val="00371994"/>
    <w:rsid w:val="003720AC"/>
    <w:rsid w:val="003725FD"/>
    <w:rsid w:val="00372FAD"/>
    <w:rsid w:val="00374188"/>
    <w:rsid w:val="00374608"/>
    <w:rsid w:val="003756B3"/>
    <w:rsid w:val="00377F89"/>
    <w:rsid w:val="003825B7"/>
    <w:rsid w:val="00384B6F"/>
    <w:rsid w:val="00384C5A"/>
    <w:rsid w:val="003857A9"/>
    <w:rsid w:val="00390BF6"/>
    <w:rsid w:val="003927B4"/>
    <w:rsid w:val="0039309F"/>
    <w:rsid w:val="00394136"/>
    <w:rsid w:val="00394827"/>
    <w:rsid w:val="0039545A"/>
    <w:rsid w:val="003958FF"/>
    <w:rsid w:val="003A0FBA"/>
    <w:rsid w:val="003A3647"/>
    <w:rsid w:val="003A5DDD"/>
    <w:rsid w:val="003A7024"/>
    <w:rsid w:val="003A70B3"/>
    <w:rsid w:val="003A78E4"/>
    <w:rsid w:val="003B095C"/>
    <w:rsid w:val="003B1F1B"/>
    <w:rsid w:val="003B21AD"/>
    <w:rsid w:val="003B3759"/>
    <w:rsid w:val="003B3DCA"/>
    <w:rsid w:val="003B3E6F"/>
    <w:rsid w:val="003B4851"/>
    <w:rsid w:val="003B646A"/>
    <w:rsid w:val="003B653B"/>
    <w:rsid w:val="003C21A2"/>
    <w:rsid w:val="003C2904"/>
    <w:rsid w:val="003C2E37"/>
    <w:rsid w:val="003C6965"/>
    <w:rsid w:val="003C74DD"/>
    <w:rsid w:val="003D059B"/>
    <w:rsid w:val="003D3315"/>
    <w:rsid w:val="003E267E"/>
    <w:rsid w:val="003E4B5D"/>
    <w:rsid w:val="003E5383"/>
    <w:rsid w:val="003E6772"/>
    <w:rsid w:val="003F4AD4"/>
    <w:rsid w:val="003F5719"/>
    <w:rsid w:val="003F6C6C"/>
    <w:rsid w:val="003F71FC"/>
    <w:rsid w:val="003F76A2"/>
    <w:rsid w:val="0040149F"/>
    <w:rsid w:val="00401E63"/>
    <w:rsid w:val="00403578"/>
    <w:rsid w:val="0041033F"/>
    <w:rsid w:val="004109C2"/>
    <w:rsid w:val="00414996"/>
    <w:rsid w:val="00414DB7"/>
    <w:rsid w:val="00414E54"/>
    <w:rsid w:val="00416EDC"/>
    <w:rsid w:val="004223F8"/>
    <w:rsid w:val="004229FC"/>
    <w:rsid w:val="004240D0"/>
    <w:rsid w:val="00424173"/>
    <w:rsid w:val="0042595C"/>
    <w:rsid w:val="00426CE8"/>
    <w:rsid w:val="00431F0D"/>
    <w:rsid w:val="00432ECE"/>
    <w:rsid w:val="0043362A"/>
    <w:rsid w:val="00433CE2"/>
    <w:rsid w:val="00434C05"/>
    <w:rsid w:val="004351E2"/>
    <w:rsid w:val="0043628F"/>
    <w:rsid w:val="00436DBE"/>
    <w:rsid w:val="00441C75"/>
    <w:rsid w:val="004426DD"/>
    <w:rsid w:val="00443078"/>
    <w:rsid w:val="0044410D"/>
    <w:rsid w:val="004464F5"/>
    <w:rsid w:val="004478BA"/>
    <w:rsid w:val="0045155C"/>
    <w:rsid w:val="00453C6E"/>
    <w:rsid w:val="004576EF"/>
    <w:rsid w:val="00460155"/>
    <w:rsid w:val="0046421C"/>
    <w:rsid w:val="00465806"/>
    <w:rsid w:val="00465965"/>
    <w:rsid w:val="004662FB"/>
    <w:rsid w:val="0047042A"/>
    <w:rsid w:val="00472B6D"/>
    <w:rsid w:val="00473CC0"/>
    <w:rsid w:val="00476E4C"/>
    <w:rsid w:val="00476F16"/>
    <w:rsid w:val="0047775B"/>
    <w:rsid w:val="0048363E"/>
    <w:rsid w:val="00483C7B"/>
    <w:rsid w:val="00483D15"/>
    <w:rsid w:val="00485A34"/>
    <w:rsid w:val="00485C3C"/>
    <w:rsid w:val="00485CF6"/>
    <w:rsid w:val="00487176"/>
    <w:rsid w:val="004919BB"/>
    <w:rsid w:val="0049446F"/>
    <w:rsid w:val="0049520D"/>
    <w:rsid w:val="004A0B26"/>
    <w:rsid w:val="004A136F"/>
    <w:rsid w:val="004A1AFA"/>
    <w:rsid w:val="004A1D61"/>
    <w:rsid w:val="004A3A9A"/>
    <w:rsid w:val="004A3BCC"/>
    <w:rsid w:val="004B0B85"/>
    <w:rsid w:val="004B17C8"/>
    <w:rsid w:val="004B1E00"/>
    <w:rsid w:val="004B380D"/>
    <w:rsid w:val="004B429C"/>
    <w:rsid w:val="004B4446"/>
    <w:rsid w:val="004B7631"/>
    <w:rsid w:val="004C0927"/>
    <w:rsid w:val="004C18D5"/>
    <w:rsid w:val="004C225E"/>
    <w:rsid w:val="004C2D6C"/>
    <w:rsid w:val="004C45F6"/>
    <w:rsid w:val="004C713D"/>
    <w:rsid w:val="004C7991"/>
    <w:rsid w:val="004D1DC0"/>
    <w:rsid w:val="004D46B3"/>
    <w:rsid w:val="004E3500"/>
    <w:rsid w:val="004E50B5"/>
    <w:rsid w:val="004E5DCC"/>
    <w:rsid w:val="004F06A8"/>
    <w:rsid w:val="004F0B1C"/>
    <w:rsid w:val="004F0C09"/>
    <w:rsid w:val="004F3125"/>
    <w:rsid w:val="004F49F5"/>
    <w:rsid w:val="004F5274"/>
    <w:rsid w:val="004F5B6F"/>
    <w:rsid w:val="004F6E0D"/>
    <w:rsid w:val="004F74C9"/>
    <w:rsid w:val="00501BB1"/>
    <w:rsid w:val="0050294A"/>
    <w:rsid w:val="005045D1"/>
    <w:rsid w:val="005125C2"/>
    <w:rsid w:val="005126D7"/>
    <w:rsid w:val="00515AA3"/>
    <w:rsid w:val="0051630C"/>
    <w:rsid w:val="00516342"/>
    <w:rsid w:val="00520F48"/>
    <w:rsid w:val="0052108A"/>
    <w:rsid w:val="005237B0"/>
    <w:rsid w:val="00523903"/>
    <w:rsid w:val="0052630A"/>
    <w:rsid w:val="0053009B"/>
    <w:rsid w:val="0053114B"/>
    <w:rsid w:val="00531B90"/>
    <w:rsid w:val="00534151"/>
    <w:rsid w:val="0053445D"/>
    <w:rsid w:val="005358BE"/>
    <w:rsid w:val="00535D90"/>
    <w:rsid w:val="005409C9"/>
    <w:rsid w:val="00540DF3"/>
    <w:rsid w:val="0054279D"/>
    <w:rsid w:val="00543414"/>
    <w:rsid w:val="00545097"/>
    <w:rsid w:val="00547741"/>
    <w:rsid w:val="00547CDD"/>
    <w:rsid w:val="00551845"/>
    <w:rsid w:val="0055229A"/>
    <w:rsid w:val="00553BD6"/>
    <w:rsid w:val="0055466A"/>
    <w:rsid w:val="0055493E"/>
    <w:rsid w:val="00555126"/>
    <w:rsid w:val="005558FB"/>
    <w:rsid w:val="00556448"/>
    <w:rsid w:val="00557F84"/>
    <w:rsid w:val="005601C7"/>
    <w:rsid w:val="00561FF0"/>
    <w:rsid w:val="00562E7B"/>
    <w:rsid w:val="00564FB2"/>
    <w:rsid w:val="00565743"/>
    <w:rsid w:val="00566B05"/>
    <w:rsid w:val="00566C5A"/>
    <w:rsid w:val="00566E5A"/>
    <w:rsid w:val="005670D4"/>
    <w:rsid w:val="00567240"/>
    <w:rsid w:val="00567460"/>
    <w:rsid w:val="00570435"/>
    <w:rsid w:val="005717CE"/>
    <w:rsid w:val="005725F1"/>
    <w:rsid w:val="00573E14"/>
    <w:rsid w:val="00574817"/>
    <w:rsid w:val="005748E2"/>
    <w:rsid w:val="005764E2"/>
    <w:rsid w:val="00577373"/>
    <w:rsid w:val="00582841"/>
    <w:rsid w:val="00582B74"/>
    <w:rsid w:val="00583839"/>
    <w:rsid w:val="00584411"/>
    <w:rsid w:val="00585730"/>
    <w:rsid w:val="00590943"/>
    <w:rsid w:val="00590D31"/>
    <w:rsid w:val="00594180"/>
    <w:rsid w:val="00594D7A"/>
    <w:rsid w:val="00594DCE"/>
    <w:rsid w:val="00594E18"/>
    <w:rsid w:val="005959BF"/>
    <w:rsid w:val="005A132F"/>
    <w:rsid w:val="005A6A1B"/>
    <w:rsid w:val="005B20E3"/>
    <w:rsid w:val="005B27E5"/>
    <w:rsid w:val="005B2D30"/>
    <w:rsid w:val="005B329A"/>
    <w:rsid w:val="005B7B54"/>
    <w:rsid w:val="005B7E32"/>
    <w:rsid w:val="005C0159"/>
    <w:rsid w:val="005C0E71"/>
    <w:rsid w:val="005C29E7"/>
    <w:rsid w:val="005C2E26"/>
    <w:rsid w:val="005C4C80"/>
    <w:rsid w:val="005C6F2C"/>
    <w:rsid w:val="005D04DB"/>
    <w:rsid w:val="005D48B3"/>
    <w:rsid w:val="005D4C94"/>
    <w:rsid w:val="005D6877"/>
    <w:rsid w:val="005E0B6A"/>
    <w:rsid w:val="005E205B"/>
    <w:rsid w:val="005E2DF9"/>
    <w:rsid w:val="005E3CBE"/>
    <w:rsid w:val="005E4094"/>
    <w:rsid w:val="005E421B"/>
    <w:rsid w:val="005E444B"/>
    <w:rsid w:val="005E44C6"/>
    <w:rsid w:val="005E6463"/>
    <w:rsid w:val="005F0963"/>
    <w:rsid w:val="005F1462"/>
    <w:rsid w:val="005F1E09"/>
    <w:rsid w:val="005F2617"/>
    <w:rsid w:val="005F3C2C"/>
    <w:rsid w:val="005F4652"/>
    <w:rsid w:val="005F5F64"/>
    <w:rsid w:val="0060028A"/>
    <w:rsid w:val="00600BD3"/>
    <w:rsid w:val="00603154"/>
    <w:rsid w:val="00604DD4"/>
    <w:rsid w:val="006050D9"/>
    <w:rsid w:val="00605438"/>
    <w:rsid w:val="00606297"/>
    <w:rsid w:val="00606FDD"/>
    <w:rsid w:val="00610882"/>
    <w:rsid w:val="0061286A"/>
    <w:rsid w:val="00612AD7"/>
    <w:rsid w:val="00612DB7"/>
    <w:rsid w:val="006135EF"/>
    <w:rsid w:val="0061544D"/>
    <w:rsid w:val="00615DF7"/>
    <w:rsid w:val="006174E5"/>
    <w:rsid w:val="0062155C"/>
    <w:rsid w:val="00621931"/>
    <w:rsid w:val="00621EBE"/>
    <w:rsid w:val="00623C80"/>
    <w:rsid w:val="00627A4D"/>
    <w:rsid w:val="00632C98"/>
    <w:rsid w:val="00633BFD"/>
    <w:rsid w:val="006343F4"/>
    <w:rsid w:val="00636265"/>
    <w:rsid w:val="00640541"/>
    <w:rsid w:val="0064093A"/>
    <w:rsid w:val="00640D2B"/>
    <w:rsid w:val="00642B67"/>
    <w:rsid w:val="00642C04"/>
    <w:rsid w:val="00643A92"/>
    <w:rsid w:val="006444F1"/>
    <w:rsid w:val="00652109"/>
    <w:rsid w:val="00652BC4"/>
    <w:rsid w:val="00655FB2"/>
    <w:rsid w:val="00657477"/>
    <w:rsid w:val="006617B0"/>
    <w:rsid w:val="00662DBF"/>
    <w:rsid w:val="00663269"/>
    <w:rsid w:val="0066394A"/>
    <w:rsid w:val="00664546"/>
    <w:rsid w:val="00667303"/>
    <w:rsid w:val="0067218E"/>
    <w:rsid w:val="0067262B"/>
    <w:rsid w:val="00674A11"/>
    <w:rsid w:val="00675524"/>
    <w:rsid w:val="00676B29"/>
    <w:rsid w:val="006778F1"/>
    <w:rsid w:val="00680571"/>
    <w:rsid w:val="00681231"/>
    <w:rsid w:val="0068459F"/>
    <w:rsid w:val="00690153"/>
    <w:rsid w:val="006924C3"/>
    <w:rsid w:val="00693502"/>
    <w:rsid w:val="00694C45"/>
    <w:rsid w:val="0069504B"/>
    <w:rsid w:val="00696108"/>
    <w:rsid w:val="006970E6"/>
    <w:rsid w:val="00697655"/>
    <w:rsid w:val="006A13E6"/>
    <w:rsid w:val="006A1FF5"/>
    <w:rsid w:val="006A2322"/>
    <w:rsid w:val="006A2E90"/>
    <w:rsid w:val="006A4BE7"/>
    <w:rsid w:val="006A69B1"/>
    <w:rsid w:val="006A6A63"/>
    <w:rsid w:val="006A75C2"/>
    <w:rsid w:val="006A7A90"/>
    <w:rsid w:val="006B087C"/>
    <w:rsid w:val="006B289C"/>
    <w:rsid w:val="006B29B6"/>
    <w:rsid w:val="006B4D48"/>
    <w:rsid w:val="006B5B35"/>
    <w:rsid w:val="006B6DAF"/>
    <w:rsid w:val="006B75BE"/>
    <w:rsid w:val="006B7A05"/>
    <w:rsid w:val="006C14D6"/>
    <w:rsid w:val="006C14EF"/>
    <w:rsid w:val="006C1A81"/>
    <w:rsid w:val="006C2377"/>
    <w:rsid w:val="006C549E"/>
    <w:rsid w:val="006C71CE"/>
    <w:rsid w:val="006C7CDA"/>
    <w:rsid w:val="006C7D19"/>
    <w:rsid w:val="006D1020"/>
    <w:rsid w:val="006D13CB"/>
    <w:rsid w:val="006D2868"/>
    <w:rsid w:val="006D2AF6"/>
    <w:rsid w:val="006D2D07"/>
    <w:rsid w:val="006D386B"/>
    <w:rsid w:val="006D3FB1"/>
    <w:rsid w:val="006D5264"/>
    <w:rsid w:val="006D773A"/>
    <w:rsid w:val="006E2048"/>
    <w:rsid w:val="006E407F"/>
    <w:rsid w:val="006E5AFC"/>
    <w:rsid w:val="006E66BC"/>
    <w:rsid w:val="006E7AE1"/>
    <w:rsid w:val="006F06AF"/>
    <w:rsid w:val="006F1CA7"/>
    <w:rsid w:val="006F1FA5"/>
    <w:rsid w:val="006F227C"/>
    <w:rsid w:val="006F4855"/>
    <w:rsid w:val="006F5421"/>
    <w:rsid w:val="006F5C02"/>
    <w:rsid w:val="006F6962"/>
    <w:rsid w:val="006F7C6D"/>
    <w:rsid w:val="00700149"/>
    <w:rsid w:val="0070089A"/>
    <w:rsid w:val="00701AF2"/>
    <w:rsid w:val="0070764E"/>
    <w:rsid w:val="00707D89"/>
    <w:rsid w:val="00717697"/>
    <w:rsid w:val="00722EE4"/>
    <w:rsid w:val="00732A64"/>
    <w:rsid w:val="007340A1"/>
    <w:rsid w:val="00734DEF"/>
    <w:rsid w:val="00734EC3"/>
    <w:rsid w:val="00740A34"/>
    <w:rsid w:val="007422FC"/>
    <w:rsid w:val="00742DA4"/>
    <w:rsid w:val="00750978"/>
    <w:rsid w:val="00750D2A"/>
    <w:rsid w:val="00751CDD"/>
    <w:rsid w:val="007532D0"/>
    <w:rsid w:val="007539B1"/>
    <w:rsid w:val="00755CC0"/>
    <w:rsid w:val="00755E39"/>
    <w:rsid w:val="007574BA"/>
    <w:rsid w:val="00761128"/>
    <w:rsid w:val="0076137E"/>
    <w:rsid w:val="00762EBB"/>
    <w:rsid w:val="0076437E"/>
    <w:rsid w:val="007647F7"/>
    <w:rsid w:val="0076577C"/>
    <w:rsid w:val="00766272"/>
    <w:rsid w:val="0076680C"/>
    <w:rsid w:val="007670F3"/>
    <w:rsid w:val="007712DB"/>
    <w:rsid w:val="00772E2D"/>
    <w:rsid w:val="00773BD1"/>
    <w:rsid w:val="00777FAC"/>
    <w:rsid w:val="0078052F"/>
    <w:rsid w:val="00781258"/>
    <w:rsid w:val="00782C48"/>
    <w:rsid w:val="007862B0"/>
    <w:rsid w:val="0078693A"/>
    <w:rsid w:val="00786CD7"/>
    <w:rsid w:val="00790B48"/>
    <w:rsid w:val="00791172"/>
    <w:rsid w:val="0079232F"/>
    <w:rsid w:val="0079508E"/>
    <w:rsid w:val="007A099E"/>
    <w:rsid w:val="007A1738"/>
    <w:rsid w:val="007A1B3D"/>
    <w:rsid w:val="007A2229"/>
    <w:rsid w:val="007A2243"/>
    <w:rsid w:val="007A3A71"/>
    <w:rsid w:val="007A3DDB"/>
    <w:rsid w:val="007A546B"/>
    <w:rsid w:val="007A672F"/>
    <w:rsid w:val="007A692C"/>
    <w:rsid w:val="007A76C6"/>
    <w:rsid w:val="007A7B46"/>
    <w:rsid w:val="007B0D0F"/>
    <w:rsid w:val="007B1138"/>
    <w:rsid w:val="007B1A20"/>
    <w:rsid w:val="007B4780"/>
    <w:rsid w:val="007B51CE"/>
    <w:rsid w:val="007B552D"/>
    <w:rsid w:val="007B7F77"/>
    <w:rsid w:val="007C1C4D"/>
    <w:rsid w:val="007C24AB"/>
    <w:rsid w:val="007C2832"/>
    <w:rsid w:val="007C294B"/>
    <w:rsid w:val="007C52CF"/>
    <w:rsid w:val="007C6760"/>
    <w:rsid w:val="007C6AD9"/>
    <w:rsid w:val="007C6EC0"/>
    <w:rsid w:val="007C7671"/>
    <w:rsid w:val="007D04F3"/>
    <w:rsid w:val="007D16FA"/>
    <w:rsid w:val="007D2CF9"/>
    <w:rsid w:val="007D380A"/>
    <w:rsid w:val="007D3842"/>
    <w:rsid w:val="007D4048"/>
    <w:rsid w:val="007D404C"/>
    <w:rsid w:val="007D65F2"/>
    <w:rsid w:val="007D6923"/>
    <w:rsid w:val="007E124B"/>
    <w:rsid w:val="007E1D35"/>
    <w:rsid w:val="007E3FED"/>
    <w:rsid w:val="007E464B"/>
    <w:rsid w:val="007E4EAF"/>
    <w:rsid w:val="007E521E"/>
    <w:rsid w:val="007E5525"/>
    <w:rsid w:val="007F1499"/>
    <w:rsid w:val="007F221F"/>
    <w:rsid w:val="007F4007"/>
    <w:rsid w:val="007F4818"/>
    <w:rsid w:val="0080071F"/>
    <w:rsid w:val="00803737"/>
    <w:rsid w:val="00803840"/>
    <w:rsid w:val="00805B67"/>
    <w:rsid w:val="00811458"/>
    <w:rsid w:val="00811805"/>
    <w:rsid w:val="00811ADE"/>
    <w:rsid w:val="00812713"/>
    <w:rsid w:val="00813838"/>
    <w:rsid w:val="008148B6"/>
    <w:rsid w:val="008151D0"/>
    <w:rsid w:val="00821233"/>
    <w:rsid w:val="00821EA7"/>
    <w:rsid w:val="00823906"/>
    <w:rsid w:val="0082393B"/>
    <w:rsid w:val="008268A2"/>
    <w:rsid w:val="00832457"/>
    <w:rsid w:val="00834889"/>
    <w:rsid w:val="00844C1E"/>
    <w:rsid w:val="0085167B"/>
    <w:rsid w:val="00853B30"/>
    <w:rsid w:val="008619C0"/>
    <w:rsid w:val="008634D0"/>
    <w:rsid w:val="0086574D"/>
    <w:rsid w:val="008658AC"/>
    <w:rsid w:val="00867DD1"/>
    <w:rsid w:val="008739B5"/>
    <w:rsid w:val="00873BB5"/>
    <w:rsid w:val="0087463B"/>
    <w:rsid w:val="0087612B"/>
    <w:rsid w:val="00877A0B"/>
    <w:rsid w:val="00880B35"/>
    <w:rsid w:val="0088251A"/>
    <w:rsid w:val="00883717"/>
    <w:rsid w:val="00884EB7"/>
    <w:rsid w:val="00890AC3"/>
    <w:rsid w:val="00891D18"/>
    <w:rsid w:val="00893502"/>
    <w:rsid w:val="00894799"/>
    <w:rsid w:val="008957B2"/>
    <w:rsid w:val="008A47D5"/>
    <w:rsid w:val="008A7F49"/>
    <w:rsid w:val="008B0D6C"/>
    <w:rsid w:val="008B2BA5"/>
    <w:rsid w:val="008B3B09"/>
    <w:rsid w:val="008B4998"/>
    <w:rsid w:val="008B6505"/>
    <w:rsid w:val="008B7B08"/>
    <w:rsid w:val="008C13C2"/>
    <w:rsid w:val="008C1C06"/>
    <w:rsid w:val="008C35F7"/>
    <w:rsid w:val="008C3635"/>
    <w:rsid w:val="008C3AE7"/>
    <w:rsid w:val="008D396A"/>
    <w:rsid w:val="008D4795"/>
    <w:rsid w:val="008D5350"/>
    <w:rsid w:val="008D671E"/>
    <w:rsid w:val="008E0B25"/>
    <w:rsid w:val="008E4FEB"/>
    <w:rsid w:val="008E7EB5"/>
    <w:rsid w:val="008F04EC"/>
    <w:rsid w:val="008F04F2"/>
    <w:rsid w:val="008F0C00"/>
    <w:rsid w:val="008F13EC"/>
    <w:rsid w:val="008F31D5"/>
    <w:rsid w:val="008F3D67"/>
    <w:rsid w:val="008F3E50"/>
    <w:rsid w:val="008F7939"/>
    <w:rsid w:val="008F7D0E"/>
    <w:rsid w:val="009008F5"/>
    <w:rsid w:val="00901857"/>
    <w:rsid w:val="0090360A"/>
    <w:rsid w:val="00904F32"/>
    <w:rsid w:val="0090659C"/>
    <w:rsid w:val="0090664F"/>
    <w:rsid w:val="00907B33"/>
    <w:rsid w:val="00912B3F"/>
    <w:rsid w:val="00912D2A"/>
    <w:rsid w:val="00914523"/>
    <w:rsid w:val="00914A3A"/>
    <w:rsid w:val="00916B37"/>
    <w:rsid w:val="00916E8E"/>
    <w:rsid w:val="00926706"/>
    <w:rsid w:val="009311B8"/>
    <w:rsid w:val="009316BE"/>
    <w:rsid w:val="00931C3D"/>
    <w:rsid w:val="00932B84"/>
    <w:rsid w:val="0093389A"/>
    <w:rsid w:val="00933C54"/>
    <w:rsid w:val="00934041"/>
    <w:rsid w:val="00935AB1"/>
    <w:rsid w:val="00935C93"/>
    <w:rsid w:val="00942E1F"/>
    <w:rsid w:val="0095174B"/>
    <w:rsid w:val="009528FD"/>
    <w:rsid w:val="00954046"/>
    <w:rsid w:val="0095631D"/>
    <w:rsid w:val="009578EC"/>
    <w:rsid w:val="0096426A"/>
    <w:rsid w:val="009666AB"/>
    <w:rsid w:val="009672C9"/>
    <w:rsid w:val="009702BE"/>
    <w:rsid w:val="00970322"/>
    <w:rsid w:val="00970A39"/>
    <w:rsid w:val="00971058"/>
    <w:rsid w:val="0097387B"/>
    <w:rsid w:val="00974C2E"/>
    <w:rsid w:val="009750F4"/>
    <w:rsid w:val="00977075"/>
    <w:rsid w:val="00977861"/>
    <w:rsid w:val="00977C2B"/>
    <w:rsid w:val="00980583"/>
    <w:rsid w:val="00982534"/>
    <w:rsid w:val="00984BB6"/>
    <w:rsid w:val="0098637F"/>
    <w:rsid w:val="00987021"/>
    <w:rsid w:val="00987F55"/>
    <w:rsid w:val="0099167E"/>
    <w:rsid w:val="009923B4"/>
    <w:rsid w:val="009925F7"/>
    <w:rsid w:val="00993252"/>
    <w:rsid w:val="00994469"/>
    <w:rsid w:val="00995FD6"/>
    <w:rsid w:val="00996CCE"/>
    <w:rsid w:val="00997FA3"/>
    <w:rsid w:val="009A095A"/>
    <w:rsid w:val="009A0BB9"/>
    <w:rsid w:val="009A10C0"/>
    <w:rsid w:val="009A27FC"/>
    <w:rsid w:val="009A361D"/>
    <w:rsid w:val="009A3CDA"/>
    <w:rsid w:val="009A4950"/>
    <w:rsid w:val="009A5BBA"/>
    <w:rsid w:val="009A6377"/>
    <w:rsid w:val="009B0CD6"/>
    <w:rsid w:val="009B0F6F"/>
    <w:rsid w:val="009B1925"/>
    <w:rsid w:val="009B19C3"/>
    <w:rsid w:val="009B42D3"/>
    <w:rsid w:val="009B4B3D"/>
    <w:rsid w:val="009B6045"/>
    <w:rsid w:val="009B6E58"/>
    <w:rsid w:val="009C0D94"/>
    <w:rsid w:val="009C0F02"/>
    <w:rsid w:val="009C1226"/>
    <w:rsid w:val="009C1C7A"/>
    <w:rsid w:val="009C3687"/>
    <w:rsid w:val="009C3FD1"/>
    <w:rsid w:val="009C4339"/>
    <w:rsid w:val="009C560D"/>
    <w:rsid w:val="009C6C68"/>
    <w:rsid w:val="009C7579"/>
    <w:rsid w:val="009D2D9B"/>
    <w:rsid w:val="009D3820"/>
    <w:rsid w:val="009D44E1"/>
    <w:rsid w:val="009D53FA"/>
    <w:rsid w:val="009E3C96"/>
    <w:rsid w:val="009E5CB6"/>
    <w:rsid w:val="009E7C8F"/>
    <w:rsid w:val="009F11C3"/>
    <w:rsid w:val="009F198C"/>
    <w:rsid w:val="009F23C4"/>
    <w:rsid w:val="009F3046"/>
    <w:rsid w:val="009F5091"/>
    <w:rsid w:val="009F628D"/>
    <w:rsid w:val="009F785A"/>
    <w:rsid w:val="00A00966"/>
    <w:rsid w:val="00A00B92"/>
    <w:rsid w:val="00A01A78"/>
    <w:rsid w:val="00A0412D"/>
    <w:rsid w:val="00A05802"/>
    <w:rsid w:val="00A06F10"/>
    <w:rsid w:val="00A10480"/>
    <w:rsid w:val="00A109B5"/>
    <w:rsid w:val="00A14076"/>
    <w:rsid w:val="00A14DCC"/>
    <w:rsid w:val="00A163A3"/>
    <w:rsid w:val="00A176AF"/>
    <w:rsid w:val="00A20AE1"/>
    <w:rsid w:val="00A21E97"/>
    <w:rsid w:val="00A227C4"/>
    <w:rsid w:val="00A22A0F"/>
    <w:rsid w:val="00A2330C"/>
    <w:rsid w:val="00A25529"/>
    <w:rsid w:val="00A26BF7"/>
    <w:rsid w:val="00A27424"/>
    <w:rsid w:val="00A30BB7"/>
    <w:rsid w:val="00A33E80"/>
    <w:rsid w:val="00A34A25"/>
    <w:rsid w:val="00A35450"/>
    <w:rsid w:val="00A35963"/>
    <w:rsid w:val="00A36B1C"/>
    <w:rsid w:val="00A402A9"/>
    <w:rsid w:val="00A404B0"/>
    <w:rsid w:val="00A436ED"/>
    <w:rsid w:val="00A4446A"/>
    <w:rsid w:val="00A4452B"/>
    <w:rsid w:val="00A452AB"/>
    <w:rsid w:val="00A5001A"/>
    <w:rsid w:val="00A523CF"/>
    <w:rsid w:val="00A54ED0"/>
    <w:rsid w:val="00A5557D"/>
    <w:rsid w:val="00A563E5"/>
    <w:rsid w:val="00A57679"/>
    <w:rsid w:val="00A60A44"/>
    <w:rsid w:val="00A63FA7"/>
    <w:rsid w:val="00A63FA9"/>
    <w:rsid w:val="00A6470B"/>
    <w:rsid w:val="00A6570F"/>
    <w:rsid w:val="00A66DA6"/>
    <w:rsid w:val="00A71CB2"/>
    <w:rsid w:val="00A73183"/>
    <w:rsid w:val="00A80E63"/>
    <w:rsid w:val="00A82B1E"/>
    <w:rsid w:val="00A8383C"/>
    <w:rsid w:val="00A843F5"/>
    <w:rsid w:val="00A854E6"/>
    <w:rsid w:val="00A8629E"/>
    <w:rsid w:val="00A86910"/>
    <w:rsid w:val="00A87A51"/>
    <w:rsid w:val="00A90068"/>
    <w:rsid w:val="00A921F3"/>
    <w:rsid w:val="00A92298"/>
    <w:rsid w:val="00A94873"/>
    <w:rsid w:val="00A95EEB"/>
    <w:rsid w:val="00A960A6"/>
    <w:rsid w:val="00A96626"/>
    <w:rsid w:val="00A968F9"/>
    <w:rsid w:val="00A97865"/>
    <w:rsid w:val="00AA0B03"/>
    <w:rsid w:val="00AA2F01"/>
    <w:rsid w:val="00AA31D9"/>
    <w:rsid w:val="00AA3453"/>
    <w:rsid w:val="00AA40A7"/>
    <w:rsid w:val="00AA7E46"/>
    <w:rsid w:val="00AB087D"/>
    <w:rsid w:val="00AB16CD"/>
    <w:rsid w:val="00AB3B98"/>
    <w:rsid w:val="00AB4B2C"/>
    <w:rsid w:val="00AB51D9"/>
    <w:rsid w:val="00AB546A"/>
    <w:rsid w:val="00AB58E7"/>
    <w:rsid w:val="00AB6764"/>
    <w:rsid w:val="00AC10C2"/>
    <w:rsid w:val="00AC277B"/>
    <w:rsid w:val="00AC284F"/>
    <w:rsid w:val="00AC4119"/>
    <w:rsid w:val="00AC4B45"/>
    <w:rsid w:val="00AC5805"/>
    <w:rsid w:val="00AC6410"/>
    <w:rsid w:val="00AC6749"/>
    <w:rsid w:val="00AC7609"/>
    <w:rsid w:val="00AD0410"/>
    <w:rsid w:val="00AD2B4A"/>
    <w:rsid w:val="00AD3643"/>
    <w:rsid w:val="00AD4F46"/>
    <w:rsid w:val="00AD5F8C"/>
    <w:rsid w:val="00AD6F86"/>
    <w:rsid w:val="00AE23B2"/>
    <w:rsid w:val="00AE4494"/>
    <w:rsid w:val="00AE6EDC"/>
    <w:rsid w:val="00AF23BC"/>
    <w:rsid w:val="00AF255F"/>
    <w:rsid w:val="00AF27E5"/>
    <w:rsid w:val="00AF4412"/>
    <w:rsid w:val="00AF4C34"/>
    <w:rsid w:val="00B00C45"/>
    <w:rsid w:val="00B01213"/>
    <w:rsid w:val="00B01FBC"/>
    <w:rsid w:val="00B0274B"/>
    <w:rsid w:val="00B02E33"/>
    <w:rsid w:val="00B03706"/>
    <w:rsid w:val="00B04149"/>
    <w:rsid w:val="00B041F5"/>
    <w:rsid w:val="00B053CF"/>
    <w:rsid w:val="00B05416"/>
    <w:rsid w:val="00B07B40"/>
    <w:rsid w:val="00B07F13"/>
    <w:rsid w:val="00B10D36"/>
    <w:rsid w:val="00B10FBF"/>
    <w:rsid w:val="00B11994"/>
    <w:rsid w:val="00B11E96"/>
    <w:rsid w:val="00B13994"/>
    <w:rsid w:val="00B1422A"/>
    <w:rsid w:val="00B17134"/>
    <w:rsid w:val="00B2191E"/>
    <w:rsid w:val="00B21CA6"/>
    <w:rsid w:val="00B23B6B"/>
    <w:rsid w:val="00B23D90"/>
    <w:rsid w:val="00B2424B"/>
    <w:rsid w:val="00B24919"/>
    <w:rsid w:val="00B26BDA"/>
    <w:rsid w:val="00B2795F"/>
    <w:rsid w:val="00B309FC"/>
    <w:rsid w:val="00B30B04"/>
    <w:rsid w:val="00B30ECD"/>
    <w:rsid w:val="00B31BCB"/>
    <w:rsid w:val="00B336C5"/>
    <w:rsid w:val="00B34132"/>
    <w:rsid w:val="00B341D4"/>
    <w:rsid w:val="00B349B4"/>
    <w:rsid w:val="00B357CF"/>
    <w:rsid w:val="00B377C3"/>
    <w:rsid w:val="00B40D13"/>
    <w:rsid w:val="00B4194A"/>
    <w:rsid w:val="00B4217B"/>
    <w:rsid w:val="00B44C34"/>
    <w:rsid w:val="00B47E31"/>
    <w:rsid w:val="00B51699"/>
    <w:rsid w:val="00B54162"/>
    <w:rsid w:val="00B5420D"/>
    <w:rsid w:val="00B5575D"/>
    <w:rsid w:val="00B55A1C"/>
    <w:rsid w:val="00B57A52"/>
    <w:rsid w:val="00B63094"/>
    <w:rsid w:val="00B640D6"/>
    <w:rsid w:val="00B64280"/>
    <w:rsid w:val="00B6466B"/>
    <w:rsid w:val="00B65211"/>
    <w:rsid w:val="00B66686"/>
    <w:rsid w:val="00B7002D"/>
    <w:rsid w:val="00B7057B"/>
    <w:rsid w:val="00B707F2"/>
    <w:rsid w:val="00B70C55"/>
    <w:rsid w:val="00B70E0B"/>
    <w:rsid w:val="00B71E83"/>
    <w:rsid w:val="00B7208B"/>
    <w:rsid w:val="00B7298F"/>
    <w:rsid w:val="00B72C25"/>
    <w:rsid w:val="00B73426"/>
    <w:rsid w:val="00B748EF"/>
    <w:rsid w:val="00B750C0"/>
    <w:rsid w:val="00B76A2B"/>
    <w:rsid w:val="00B77268"/>
    <w:rsid w:val="00B80CB3"/>
    <w:rsid w:val="00B828B5"/>
    <w:rsid w:val="00B82E78"/>
    <w:rsid w:val="00B8552E"/>
    <w:rsid w:val="00B868E9"/>
    <w:rsid w:val="00B86F91"/>
    <w:rsid w:val="00B873AD"/>
    <w:rsid w:val="00B87EDE"/>
    <w:rsid w:val="00B90403"/>
    <w:rsid w:val="00B90F93"/>
    <w:rsid w:val="00B92746"/>
    <w:rsid w:val="00B93AF4"/>
    <w:rsid w:val="00B93D95"/>
    <w:rsid w:val="00B945D0"/>
    <w:rsid w:val="00BA080C"/>
    <w:rsid w:val="00BA081F"/>
    <w:rsid w:val="00BA0E1C"/>
    <w:rsid w:val="00BA20DD"/>
    <w:rsid w:val="00BB028E"/>
    <w:rsid w:val="00BB02B7"/>
    <w:rsid w:val="00BB1A84"/>
    <w:rsid w:val="00BB2D4A"/>
    <w:rsid w:val="00BB43FE"/>
    <w:rsid w:val="00BB593A"/>
    <w:rsid w:val="00BB6099"/>
    <w:rsid w:val="00BB70BB"/>
    <w:rsid w:val="00BC093A"/>
    <w:rsid w:val="00BC6F67"/>
    <w:rsid w:val="00BC7CA0"/>
    <w:rsid w:val="00BD2BCA"/>
    <w:rsid w:val="00BD5CE1"/>
    <w:rsid w:val="00BD6BFC"/>
    <w:rsid w:val="00BD7724"/>
    <w:rsid w:val="00BE0F58"/>
    <w:rsid w:val="00BE43D3"/>
    <w:rsid w:val="00BE4BBD"/>
    <w:rsid w:val="00BE4D3E"/>
    <w:rsid w:val="00BF2842"/>
    <w:rsid w:val="00BF288F"/>
    <w:rsid w:val="00BF31F8"/>
    <w:rsid w:val="00BF6658"/>
    <w:rsid w:val="00C00207"/>
    <w:rsid w:val="00C013E5"/>
    <w:rsid w:val="00C02B36"/>
    <w:rsid w:val="00C03B59"/>
    <w:rsid w:val="00C05678"/>
    <w:rsid w:val="00C057FC"/>
    <w:rsid w:val="00C07178"/>
    <w:rsid w:val="00C07DB8"/>
    <w:rsid w:val="00C10F3A"/>
    <w:rsid w:val="00C11DD6"/>
    <w:rsid w:val="00C14923"/>
    <w:rsid w:val="00C15A0B"/>
    <w:rsid w:val="00C21BFB"/>
    <w:rsid w:val="00C21DF3"/>
    <w:rsid w:val="00C23751"/>
    <w:rsid w:val="00C23D89"/>
    <w:rsid w:val="00C2423C"/>
    <w:rsid w:val="00C25411"/>
    <w:rsid w:val="00C260A7"/>
    <w:rsid w:val="00C27AAF"/>
    <w:rsid w:val="00C350D2"/>
    <w:rsid w:val="00C35AEF"/>
    <w:rsid w:val="00C35E57"/>
    <w:rsid w:val="00C35FF6"/>
    <w:rsid w:val="00C364D5"/>
    <w:rsid w:val="00C36635"/>
    <w:rsid w:val="00C37533"/>
    <w:rsid w:val="00C37FB2"/>
    <w:rsid w:val="00C41A6A"/>
    <w:rsid w:val="00C41AE3"/>
    <w:rsid w:val="00C43331"/>
    <w:rsid w:val="00C43538"/>
    <w:rsid w:val="00C4412F"/>
    <w:rsid w:val="00C4459E"/>
    <w:rsid w:val="00C4618D"/>
    <w:rsid w:val="00C505F6"/>
    <w:rsid w:val="00C50ACE"/>
    <w:rsid w:val="00C52252"/>
    <w:rsid w:val="00C52902"/>
    <w:rsid w:val="00C531DD"/>
    <w:rsid w:val="00C53632"/>
    <w:rsid w:val="00C57839"/>
    <w:rsid w:val="00C6061D"/>
    <w:rsid w:val="00C64830"/>
    <w:rsid w:val="00C651A7"/>
    <w:rsid w:val="00C65B8F"/>
    <w:rsid w:val="00C66057"/>
    <w:rsid w:val="00C6762B"/>
    <w:rsid w:val="00C67DED"/>
    <w:rsid w:val="00C7377C"/>
    <w:rsid w:val="00C7630D"/>
    <w:rsid w:val="00C764F9"/>
    <w:rsid w:val="00C76AAE"/>
    <w:rsid w:val="00C80EC0"/>
    <w:rsid w:val="00C820B6"/>
    <w:rsid w:val="00C8355D"/>
    <w:rsid w:val="00C85805"/>
    <w:rsid w:val="00C85F09"/>
    <w:rsid w:val="00C926EA"/>
    <w:rsid w:val="00C93FBC"/>
    <w:rsid w:val="00C94CB7"/>
    <w:rsid w:val="00C97A3D"/>
    <w:rsid w:val="00CA1E8E"/>
    <w:rsid w:val="00CA2BC4"/>
    <w:rsid w:val="00CA3964"/>
    <w:rsid w:val="00CA4427"/>
    <w:rsid w:val="00CA46E9"/>
    <w:rsid w:val="00CA4972"/>
    <w:rsid w:val="00CA5280"/>
    <w:rsid w:val="00CA6A9E"/>
    <w:rsid w:val="00CA6E70"/>
    <w:rsid w:val="00CB1765"/>
    <w:rsid w:val="00CB22CD"/>
    <w:rsid w:val="00CB34BA"/>
    <w:rsid w:val="00CB35E4"/>
    <w:rsid w:val="00CB5C76"/>
    <w:rsid w:val="00CB60BB"/>
    <w:rsid w:val="00CB6FE8"/>
    <w:rsid w:val="00CC12DA"/>
    <w:rsid w:val="00CC4E2F"/>
    <w:rsid w:val="00CC5406"/>
    <w:rsid w:val="00CC6810"/>
    <w:rsid w:val="00CC6F5A"/>
    <w:rsid w:val="00CC7984"/>
    <w:rsid w:val="00CC7DCE"/>
    <w:rsid w:val="00CD02AC"/>
    <w:rsid w:val="00CD0BB2"/>
    <w:rsid w:val="00CD11C6"/>
    <w:rsid w:val="00CD1989"/>
    <w:rsid w:val="00CD1B75"/>
    <w:rsid w:val="00CD2ABC"/>
    <w:rsid w:val="00CD3A34"/>
    <w:rsid w:val="00CD51DC"/>
    <w:rsid w:val="00CD5727"/>
    <w:rsid w:val="00CD68DD"/>
    <w:rsid w:val="00CE1978"/>
    <w:rsid w:val="00CE44DF"/>
    <w:rsid w:val="00CE5554"/>
    <w:rsid w:val="00CE5A6F"/>
    <w:rsid w:val="00CE79C2"/>
    <w:rsid w:val="00CF272E"/>
    <w:rsid w:val="00CF566C"/>
    <w:rsid w:val="00CF7459"/>
    <w:rsid w:val="00D013A0"/>
    <w:rsid w:val="00D019C3"/>
    <w:rsid w:val="00D04F1D"/>
    <w:rsid w:val="00D06F1F"/>
    <w:rsid w:val="00D07221"/>
    <w:rsid w:val="00D073DA"/>
    <w:rsid w:val="00D10136"/>
    <w:rsid w:val="00D10AEF"/>
    <w:rsid w:val="00D115B2"/>
    <w:rsid w:val="00D1236F"/>
    <w:rsid w:val="00D12595"/>
    <w:rsid w:val="00D147FA"/>
    <w:rsid w:val="00D17C57"/>
    <w:rsid w:val="00D17E67"/>
    <w:rsid w:val="00D20B44"/>
    <w:rsid w:val="00D22AB2"/>
    <w:rsid w:val="00D22FCA"/>
    <w:rsid w:val="00D246DA"/>
    <w:rsid w:val="00D27B49"/>
    <w:rsid w:val="00D3180E"/>
    <w:rsid w:val="00D33329"/>
    <w:rsid w:val="00D35777"/>
    <w:rsid w:val="00D40EA8"/>
    <w:rsid w:val="00D41E1C"/>
    <w:rsid w:val="00D4442B"/>
    <w:rsid w:val="00D44930"/>
    <w:rsid w:val="00D52517"/>
    <w:rsid w:val="00D53D80"/>
    <w:rsid w:val="00D53E85"/>
    <w:rsid w:val="00D54286"/>
    <w:rsid w:val="00D54756"/>
    <w:rsid w:val="00D5655F"/>
    <w:rsid w:val="00D610D2"/>
    <w:rsid w:val="00D62E80"/>
    <w:rsid w:val="00D6388F"/>
    <w:rsid w:val="00D65425"/>
    <w:rsid w:val="00D661A5"/>
    <w:rsid w:val="00D679B7"/>
    <w:rsid w:val="00D71764"/>
    <w:rsid w:val="00D7200E"/>
    <w:rsid w:val="00D73A99"/>
    <w:rsid w:val="00D74296"/>
    <w:rsid w:val="00D7507E"/>
    <w:rsid w:val="00D75466"/>
    <w:rsid w:val="00D776BB"/>
    <w:rsid w:val="00D80E06"/>
    <w:rsid w:val="00D822F7"/>
    <w:rsid w:val="00D8284C"/>
    <w:rsid w:val="00D84DC5"/>
    <w:rsid w:val="00D84F28"/>
    <w:rsid w:val="00D919BC"/>
    <w:rsid w:val="00D91DE9"/>
    <w:rsid w:val="00D95C12"/>
    <w:rsid w:val="00D96FA6"/>
    <w:rsid w:val="00D972F0"/>
    <w:rsid w:val="00D978A6"/>
    <w:rsid w:val="00DA02F8"/>
    <w:rsid w:val="00DA118D"/>
    <w:rsid w:val="00DA27C1"/>
    <w:rsid w:val="00DA3747"/>
    <w:rsid w:val="00DA4F6E"/>
    <w:rsid w:val="00DA50D8"/>
    <w:rsid w:val="00DA7F8E"/>
    <w:rsid w:val="00DB0D67"/>
    <w:rsid w:val="00DB4491"/>
    <w:rsid w:val="00DB671D"/>
    <w:rsid w:val="00DB73F6"/>
    <w:rsid w:val="00DC0C2C"/>
    <w:rsid w:val="00DC2A83"/>
    <w:rsid w:val="00DC2ABE"/>
    <w:rsid w:val="00DC338F"/>
    <w:rsid w:val="00DC3C3A"/>
    <w:rsid w:val="00DC4746"/>
    <w:rsid w:val="00DC5C23"/>
    <w:rsid w:val="00DC70A6"/>
    <w:rsid w:val="00DD0140"/>
    <w:rsid w:val="00DD24EC"/>
    <w:rsid w:val="00DD270F"/>
    <w:rsid w:val="00DD3374"/>
    <w:rsid w:val="00DD48C4"/>
    <w:rsid w:val="00DD7593"/>
    <w:rsid w:val="00DD785C"/>
    <w:rsid w:val="00DE2736"/>
    <w:rsid w:val="00DE4177"/>
    <w:rsid w:val="00DE51CB"/>
    <w:rsid w:val="00DF03CC"/>
    <w:rsid w:val="00DF10CF"/>
    <w:rsid w:val="00DF38BC"/>
    <w:rsid w:val="00DF4265"/>
    <w:rsid w:val="00DF5738"/>
    <w:rsid w:val="00DF7365"/>
    <w:rsid w:val="00E00FFA"/>
    <w:rsid w:val="00E01991"/>
    <w:rsid w:val="00E02CEC"/>
    <w:rsid w:val="00E047F3"/>
    <w:rsid w:val="00E048CB"/>
    <w:rsid w:val="00E05998"/>
    <w:rsid w:val="00E070CF"/>
    <w:rsid w:val="00E137A7"/>
    <w:rsid w:val="00E13DFF"/>
    <w:rsid w:val="00E140CB"/>
    <w:rsid w:val="00E15B01"/>
    <w:rsid w:val="00E15DD4"/>
    <w:rsid w:val="00E16FD6"/>
    <w:rsid w:val="00E215E5"/>
    <w:rsid w:val="00E22B9C"/>
    <w:rsid w:val="00E23F8C"/>
    <w:rsid w:val="00E2489E"/>
    <w:rsid w:val="00E24F04"/>
    <w:rsid w:val="00E265B8"/>
    <w:rsid w:val="00E26791"/>
    <w:rsid w:val="00E30A3D"/>
    <w:rsid w:val="00E31A14"/>
    <w:rsid w:val="00E324C3"/>
    <w:rsid w:val="00E35CB1"/>
    <w:rsid w:val="00E37F53"/>
    <w:rsid w:val="00E412BA"/>
    <w:rsid w:val="00E43F65"/>
    <w:rsid w:val="00E442CB"/>
    <w:rsid w:val="00E459C3"/>
    <w:rsid w:val="00E46AD0"/>
    <w:rsid w:val="00E47452"/>
    <w:rsid w:val="00E503A8"/>
    <w:rsid w:val="00E51825"/>
    <w:rsid w:val="00E537F0"/>
    <w:rsid w:val="00E558CC"/>
    <w:rsid w:val="00E55E57"/>
    <w:rsid w:val="00E55F8D"/>
    <w:rsid w:val="00E6101C"/>
    <w:rsid w:val="00E61351"/>
    <w:rsid w:val="00E61396"/>
    <w:rsid w:val="00E61685"/>
    <w:rsid w:val="00E62F9C"/>
    <w:rsid w:val="00E638A9"/>
    <w:rsid w:val="00E647C5"/>
    <w:rsid w:val="00E647EC"/>
    <w:rsid w:val="00E67C81"/>
    <w:rsid w:val="00E73ACA"/>
    <w:rsid w:val="00E7759D"/>
    <w:rsid w:val="00E778BB"/>
    <w:rsid w:val="00E8027C"/>
    <w:rsid w:val="00E8379F"/>
    <w:rsid w:val="00E83F00"/>
    <w:rsid w:val="00E85226"/>
    <w:rsid w:val="00E862E0"/>
    <w:rsid w:val="00E86596"/>
    <w:rsid w:val="00E901CC"/>
    <w:rsid w:val="00E9121A"/>
    <w:rsid w:val="00EA0AA2"/>
    <w:rsid w:val="00EB18C3"/>
    <w:rsid w:val="00EB2DAE"/>
    <w:rsid w:val="00EB40C1"/>
    <w:rsid w:val="00EB4E42"/>
    <w:rsid w:val="00EB6163"/>
    <w:rsid w:val="00EB6AC3"/>
    <w:rsid w:val="00EC20B9"/>
    <w:rsid w:val="00EC2A5C"/>
    <w:rsid w:val="00EC35DE"/>
    <w:rsid w:val="00EC3AB3"/>
    <w:rsid w:val="00EC62CE"/>
    <w:rsid w:val="00ED0646"/>
    <w:rsid w:val="00ED3841"/>
    <w:rsid w:val="00ED4592"/>
    <w:rsid w:val="00EE19E9"/>
    <w:rsid w:val="00EE2B4B"/>
    <w:rsid w:val="00EE37D2"/>
    <w:rsid w:val="00EE3F1D"/>
    <w:rsid w:val="00EE4DB0"/>
    <w:rsid w:val="00EE505C"/>
    <w:rsid w:val="00EE5F75"/>
    <w:rsid w:val="00EF1103"/>
    <w:rsid w:val="00EF15A8"/>
    <w:rsid w:val="00EF5048"/>
    <w:rsid w:val="00EF596D"/>
    <w:rsid w:val="00EF6551"/>
    <w:rsid w:val="00EF742A"/>
    <w:rsid w:val="00EF7F7A"/>
    <w:rsid w:val="00F008F8"/>
    <w:rsid w:val="00F00D86"/>
    <w:rsid w:val="00F02BFC"/>
    <w:rsid w:val="00F03A69"/>
    <w:rsid w:val="00F055CE"/>
    <w:rsid w:val="00F06244"/>
    <w:rsid w:val="00F0629B"/>
    <w:rsid w:val="00F06736"/>
    <w:rsid w:val="00F06766"/>
    <w:rsid w:val="00F07FDC"/>
    <w:rsid w:val="00F114CC"/>
    <w:rsid w:val="00F125FF"/>
    <w:rsid w:val="00F14C6B"/>
    <w:rsid w:val="00F1555A"/>
    <w:rsid w:val="00F15E64"/>
    <w:rsid w:val="00F16939"/>
    <w:rsid w:val="00F1768F"/>
    <w:rsid w:val="00F17BC7"/>
    <w:rsid w:val="00F2061A"/>
    <w:rsid w:val="00F22A12"/>
    <w:rsid w:val="00F253A0"/>
    <w:rsid w:val="00F25AD7"/>
    <w:rsid w:val="00F26770"/>
    <w:rsid w:val="00F417F9"/>
    <w:rsid w:val="00F43F9E"/>
    <w:rsid w:val="00F4526E"/>
    <w:rsid w:val="00F46A69"/>
    <w:rsid w:val="00F4718C"/>
    <w:rsid w:val="00F47208"/>
    <w:rsid w:val="00F50C4A"/>
    <w:rsid w:val="00F51961"/>
    <w:rsid w:val="00F535C9"/>
    <w:rsid w:val="00F539B5"/>
    <w:rsid w:val="00F54949"/>
    <w:rsid w:val="00F56804"/>
    <w:rsid w:val="00F57240"/>
    <w:rsid w:val="00F57E06"/>
    <w:rsid w:val="00F63F86"/>
    <w:rsid w:val="00F66D4E"/>
    <w:rsid w:val="00F722AB"/>
    <w:rsid w:val="00F73F65"/>
    <w:rsid w:val="00F75512"/>
    <w:rsid w:val="00F76A43"/>
    <w:rsid w:val="00F76ABE"/>
    <w:rsid w:val="00F77931"/>
    <w:rsid w:val="00F80A79"/>
    <w:rsid w:val="00F80ACB"/>
    <w:rsid w:val="00F81BC4"/>
    <w:rsid w:val="00F81DCD"/>
    <w:rsid w:val="00F8204C"/>
    <w:rsid w:val="00F826E5"/>
    <w:rsid w:val="00F87282"/>
    <w:rsid w:val="00F90041"/>
    <w:rsid w:val="00F911A5"/>
    <w:rsid w:val="00F91219"/>
    <w:rsid w:val="00F91FAA"/>
    <w:rsid w:val="00F94177"/>
    <w:rsid w:val="00F9787E"/>
    <w:rsid w:val="00FA5BB7"/>
    <w:rsid w:val="00FA6DF5"/>
    <w:rsid w:val="00FB0303"/>
    <w:rsid w:val="00FB2354"/>
    <w:rsid w:val="00FB37C1"/>
    <w:rsid w:val="00FB39CD"/>
    <w:rsid w:val="00FB43DA"/>
    <w:rsid w:val="00FB53CF"/>
    <w:rsid w:val="00FC0176"/>
    <w:rsid w:val="00FC04B9"/>
    <w:rsid w:val="00FC0FEE"/>
    <w:rsid w:val="00FC5CDD"/>
    <w:rsid w:val="00FC7B4D"/>
    <w:rsid w:val="00FC7C0A"/>
    <w:rsid w:val="00FD065D"/>
    <w:rsid w:val="00FD08E9"/>
    <w:rsid w:val="00FD0DCC"/>
    <w:rsid w:val="00FD1D3C"/>
    <w:rsid w:val="00FD2B6A"/>
    <w:rsid w:val="00FD3B99"/>
    <w:rsid w:val="00FD3C25"/>
    <w:rsid w:val="00FD52CC"/>
    <w:rsid w:val="00FD5B18"/>
    <w:rsid w:val="00FE0ED7"/>
    <w:rsid w:val="00FE1788"/>
    <w:rsid w:val="00FE1E3F"/>
    <w:rsid w:val="00FE5249"/>
    <w:rsid w:val="00FE726E"/>
    <w:rsid w:val="00FF098F"/>
    <w:rsid w:val="00FF45E7"/>
    <w:rsid w:val="00FF54D1"/>
    <w:rsid w:val="00FF57CE"/>
    <w:rsid w:val="00FF650C"/>
    <w:rsid w:val="00FF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7C8"/>
    <w:rPr>
      <w:sz w:val="18"/>
      <w:szCs w:val="18"/>
    </w:rPr>
  </w:style>
  <w:style w:type="paragraph" w:styleId="a4">
    <w:name w:val="footer"/>
    <w:basedOn w:val="a"/>
    <w:link w:val="Char0"/>
    <w:unhideWhenUsed/>
    <w:rsid w:val="004B17C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7C8"/>
    <w:rPr>
      <w:sz w:val="18"/>
      <w:szCs w:val="18"/>
    </w:rPr>
  </w:style>
  <w:style w:type="character" w:styleId="a5">
    <w:name w:val="page number"/>
    <w:basedOn w:val="a0"/>
    <w:rsid w:val="004A0B26"/>
  </w:style>
  <w:style w:type="paragraph" w:styleId="a6">
    <w:name w:val="annotation text"/>
    <w:basedOn w:val="a"/>
    <w:link w:val="Char1"/>
    <w:unhideWhenUsed/>
    <w:rsid w:val="004A0B26"/>
    <w:pPr>
      <w:jc w:val="left"/>
    </w:pPr>
    <w:rPr>
      <w:rFonts w:ascii="CG Times" w:eastAsia="楷体_GB2312" w:hAnsi="CG Times"/>
      <w:sz w:val="28"/>
    </w:rPr>
  </w:style>
  <w:style w:type="character" w:customStyle="1" w:styleId="Char1">
    <w:name w:val="批注文字 Char"/>
    <w:basedOn w:val="a0"/>
    <w:link w:val="a6"/>
    <w:rsid w:val="004A0B26"/>
    <w:rPr>
      <w:rFonts w:ascii="CG Times" w:eastAsia="楷体_GB2312" w:hAnsi="CG Times" w:cs="Times New Roman"/>
      <w:sz w:val="28"/>
      <w:szCs w:val="20"/>
    </w:rPr>
  </w:style>
  <w:style w:type="paragraph" w:styleId="a7">
    <w:name w:val="Plain Text"/>
    <w:basedOn w:val="a"/>
    <w:link w:val="Char2"/>
    <w:unhideWhenUsed/>
    <w:rsid w:val="004A0B26"/>
    <w:rPr>
      <w:rFonts w:ascii="宋体" w:hAnsi="Courier New"/>
    </w:rPr>
  </w:style>
  <w:style w:type="character" w:customStyle="1" w:styleId="Char2">
    <w:name w:val="纯文本 Char"/>
    <w:basedOn w:val="a0"/>
    <w:link w:val="a7"/>
    <w:rsid w:val="004A0B26"/>
    <w:rPr>
      <w:rFonts w:ascii="宋体" w:eastAsia="宋体" w:hAnsi="Courier New" w:cs="Times New Roman"/>
      <w:szCs w:val="20"/>
    </w:rPr>
  </w:style>
  <w:style w:type="character" w:styleId="a8">
    <w:name w:val="annotation reference"/>
    <w:unhideWhenUsed/>
    <w:rsid w:val="004A0B26"/>
    <w:rPr>
      <w:sz w:val="21"/>
      <w:szCs w:val="21"/>
    </w:rPr>
  </w:style>
  <w:style w:type="paragraph" w:styleId="a9">
    <w:name w:val="Balloon Text"/>
    <w:basedOn w:val="a"/>
    <w:link w:val="Char3"/>
    <w:uiPriority w:val="99"/>
    <w:semiHidden/>
    <w:unhideWhenUsed/>
    <w:rsid w:val="004A0B26"/>
    <w:rPr>
      <w:sz w:val="18"/>
      <w:szCs w:val="18"/>
    </w:rPr>
  </w:style>
  <w:style w:type="character" w:customStyle="1" w:styleId="Char3">
    <w:name w:val="批注框文本 Char"/>
    <w:basedOn w:val="a0"/>
    <w:link w:val="a9"/>
    <w:uiPriority w:val="99"/>
    <w:semiHidden/>
    <w:rsid w:val="004A0B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7C8"/>
    <w:rPr>
      <w:sz w:val="18"/>
      <w:szCs w:val="18"/>
    </w:rPr>
  </w:style>
  <w:style w:type="paragraph" w:styleId="a4">
    <w:name w:val="footer"/>
    <w:basedOn w:val="a"/>
    <w:link w:val="Char0"/>
    <w:unhideWhenUsed/>
    <w:rsid w:val="004B17C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7C8"/>
    <w:rPr>
      <w:sz w:val="18"/>
      <w:szCs w:val="18"/>
    </w:rPr>
  </w:style>
  <w:style w:type="character" w:styleId="a5">
    <w:name w:val="page number"/>
    <w:basedOn w:val="a0"/>
    <w:rsid w:val="004A0B26"/>
  </w:style>
  <w:style w:type="paragraph" w:styleId="a6">
    <w:name w:val="annotation text"/>
    <w:basedOn w:val="a"/>
    <w:link w:val="Char1"/>
    <w:unhideWhenUsed/>
    <w:rsid w:val="004A0B26"/>
    <w:pPr>
      <w:jc w:val="left"/>
    </w:pPr>
    <w:rPr>
      <w:rFonts w:ascii="CG Times" w:eastAsia="楷体_GB2312" w:hAnsi="CG Times"/>
      <w:sz w:val="28"/>
    </w:rPr>
  </w:style>
  <w:style w:type="character" w:customStyle="1" w:styleId="Char1">
    <w:name w:val="批注文字 Char"/>
    <w:basedOn w:val="a0"/>
    <w:link w:val="a6"/>
    <w:rsid w:val="004A0B26"/>
    <w:rPr>
      <w:rFonts w:ascii="CG Times" w:eastAsia="楷体_GB2312" w:hAnsi="CG Times" w:cs="Times New Roman"/>
      <w:sz w:val="28"/>
      <w:szCs w:val="20"/>
    </w:rPr>
  </w:style>
  <w:style w:type="paragraph" w:styleId="a7">
    <w:name w:val="Plain Text"/>
    <w:basedOn w:val="a"/>
    <w:link w:val="Char2"/>
    <w:unhideWhenUsed/>
    <w:rsid w:val="004A0B26"/>
    <w:rPr>
      <w:rFonts w:ascii="宋体" w:hAnsi="Courier New"/>
    </w:rPr>
  </w:style>
  <w:style w:type="character" w:customStyle="1" w:styleId="Char2">
    <w:name w:val="纯文本 Char"/>
    <w:basedOn w:val="a0"/>
    <w:link w:val="a7"/>
    <w:rsid w:val="004A0B26"/>
    <w:rPr>
      <w:rFonts w:ascii="宋体" w:eastAsia="宋体" w:hAnsi="Courier New" w:cs="Times New Roman"/>
      <w:szCs w:val="20"/>
    </w:rPr>
  </w:style>
  <w:style w:type="character" w:styleId="a8">
    <w:name w:val="annotation reference"/>
    <w:unhideWhenUsed/>
    <w:rsid w:val="004A0B26"/>
    <w:rPr>
      <w:sz w:val="21"/>
      <w:szCs w:val="21"/>
    </w:rPr>
  </w:style>
  <w:style w:type="paragraph" w:styleId="a9">
    <w:name w:val="Balloon Text"/>
    <w:basedOn w:val="a"/>
    <w:link w:val="Char3"/>
    <w:uiPriority w:val="99"/>
    <w:semiHidden/>
    <w:unhideWhenUsed/>
    <w:rsid w:val="004A0B26"/>
    <w:rPr>
      <w:sz w:val="18"/>
      <w:szCs w:val="18"/>
    </w:rPr>
  </w:style>
  <w:style w:type="character" w:customStyle="1" w:styleId="Char3">
    <w:name w:val="批注框文本 Char"/>
    <w:basedOn w:val="a0"/>
    <w:link w:val="a9"/>
    <w:uiPriority w:val="99"/>
    <w:semiHidden/>
    <w:rsid w:val="004A0B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1933</Words>
  <Characters>11023</Characters>
  <Application>Microsoft Office Word</Application>
  <DocSecurity>0</DocSecurity>
  <Lines>91</Lines>
  <Paragraphs>25</Paragraphs>
  <ScaleCrop>false</ScaleCrop>
  <Company>szse</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寻晓青</cp:lastModifiedBy>
  <cp:revision>2</cp:revision>
  <dcterms:created xsi:type="dcterms:W3CDTF">2013-04-02T05:56:00Z</dcterms:created>
  <dcterms:modified xsi:type="dcterms:W3CDTF">2013-04-02T05:56:00Z</dcterms:modified>
</cp:coreProperties>
</file>