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E7" w:rsidRPr="00D31EEC" w:rsidRDefault="008B06DA" w:rsidP="003D06F0">
      <w:pPr>
        <w:adjustRightInd w:val="0"/>
        <w:snapToGrid w:val="0"/>
        <w:spacing w:line="360" w:lineRule="auto"/>
        <w:rPr>
          <w:rFonts w:ascii="仿宋_GB2312" w:eastAsia="仿宋_GB2312" w:hAnsi="仿宋"/>
          <w:sz w:val="32"/>
          <w:szCs w:val="32"/>
        </w:rPr>
      </w:pPr>
      <w:r w:rsidRPr="00D31EEC">
        <w:rPr>
          <w:rFonts w:ascii="仿宋_GB2312" w:eastAsia="仿宋_GB2312" w:hAnsi="仿宋" w:hint="eastAsia"/>
          <w:sz w:val="32"/>
          <w:szCs w:val="32"/>
        </w:rPr>
        <w:t>附件1：</w:t>
      </w:r>
    </w:p>
    <w:p w:rsidR="00F56FB5" w:rsidRDefault="008B06DA" w:rsidP="00F56FB5">
      <w:pPr>
        <w:ind w:firstLineChars="100" w:firstLine="360"/>
        <w:rPr>
          <w:rFonts w:ascii="华文中宋" w:eastAsia="华文中宋" w:hAnsi="华文中宋"/>
          <w:b/>
          <w:sz w:val="36"/>
          <w:szCs w:val="36"/>
        </w:rPr>
      </w:pPr>
      <w:r w:rsidRPr="00FC2D84">
        <w:rPr>
          <w:rFonts w:ascii="华文中宋" w:eastAsia="华文中宋" w:hAnsi="华文中宋"/>
          <w:b/>
          <w:sz w:val="36"/>
          <w:szCs w:val="36"/>
        </w:rPr>
        <w:t>资产评估操作专家提示——收益法中的敏感性分析</w:t>
      </w:r>
    </w:p>
    <w:p w:rsidR="008B06DA" w:rsidRPr="002526E0" w:rsidRDefault="00F56FB5" w:rsidP="008B06DA">
      <w:pPr>
        <w:jc w:val="center"/>
        <w:rPr>
          <w:rFonts w:ascii="Times New Roman" w:eastAsia="仿宋_GB2312" w:hAnsi="Times New Roman"/>
          <w:sz w:val="36"/>
          <w:szCs w:val="36"/>
        </w:rPr>
      </w:pPr>
      <w:r>
        <w:rPr>
          <w:rFonts w:ascii="华文中宋" w:eastAsia="华文中宋" w:hAnsi="华文中宋" w:hint="eastAsia"/>
          <w:b/>
          <w:sz w:val="36"/>
          <w:szCs w:val="36"/>
        </w:rPr>
        <w:t xml:space="preserve">  </w:t>
      </w:r>
      <w:r w:rsidR="008B06DA" w:rsidRPr="00FC2D84">
        <w:rPr>
          <w:rFonts w:ascii="华文中宋" w:eastAsia="华文中宋" w:hAnsi="华文中宋"/>
          <w:b/>
          <w:sz w:val="36"/>
          <w:szCs w:val="36"/>
        </w:rPr>
        <w:t>（</w:t>
      </w:r>
      <w:r w:rsidR="008B06DA" w:rsidRPr="00FC2D84">
        <w:rPr>
          <w:rFonts w:ascii="华文中宋" w:eastAsia="华文中宋" w:hAnsi="华文中宋" w:hint="eastAsia"/>
          <w:b/>
          <w:sz w:val="36"/>
          <w:szCs w:val="36"/>
        </w:rPr>
        <w:t>征求意见</w:t>
      </w:r>
      <w:r w:rsidR="008B06DA" w:rsidRPr="00FC2D84">
        <w:rPr>
          <w:rFonts w:ascii="华文中宋" w:eastAsia="华文中宋" w:hAnsi="华文中宋"/>
          <w:b/>
          <w:sz w:val="36"/>
          <w:szCs w:val="36"/>
        </w:rPr>
        <w:t>稿）</w:t>
      </w:r>
    </w:p>
    <w:p w:rsidR="008B06DA" w:rsidRPr="00177028" w:rsidRDefault="008B06DA" w:rsidP="008B06DA">
      <w:pPr>
        <w:spacing w:line="720" w:lineRule="auto"/>
        <w:rPr>
          <w:rFonts w:ascii="Times New Roman" w:eastAsia="仿宋_GB2312" w:hAnsi="Times New Roman"/>
          <w:color w:val="FF0000"/>
          <w:sz w:val="44"/>
          <w:szCs w:val="44"/>
        </w:rPr>
      </w:pP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proofErr w:type="gramStart"/>
      <w:r w:rsidRPr="002526E0">
        <w:rPr>
          <w:rFonts w:ascii="Times New Roman" w:eastAsia="仿宋_GB2312" w:hAnsi="宋体"/>
          <w:spacing w:val="-2"/>
          <w:sz w:val="32"/>
          <w:szCs w:val="24"/>
        </w:rPr>
        <w:t>本专家</w:t>
      </w:r>
      <w:proofErr w:type="gramEnd"/>
      <w:r w:rsidRPr="002526E0">
        <w:rPr>
          <w:rFonts w:ascii="Times New Roman" w:eastAsia="仿宋_GB2312" w:hAnsi="宋体"/>
          <w:spacing w:val="-2"/>
          <w:sz w:val="32"/>
          <w:szCs w:val="24"/>
        </w:rPr>
        <w:t>提示是一种专家意见。评估机构和注册资产评估</w:t>
      </w:r>
      <w:proofErr w:type="gramStart"/>
      <w:r w:rsidRPr="002526E0">
        <w:rPr>
          <w:rFonts w:ascii="Times New Roman" w:eastAsia="仿宋_GB2312" w:hAnsi="宋体"/>
          <w:spacing w:val="-2"/>
          <w:sz w:val="32"/>
          <w:szCs w:val="24"/>
        </w:rPr>
        <w:t>师执行</w:t>
      </w:r>
      <w:proofErr w:type="gramEnd"/>
      <w:r w:rsidRPr="002526E0">
        <w:rPr>
          <w:rFonts w:ascii="Times New Roman" w:eastAsia="仿宋_GB2312" w:hAnsi="宋体"/>
          <w:spacing w:val="-2"/>
          <w:sz w:val="32"/>
          <w:szCs w:val="24"/>
        </w:rPr>
        <w:t>资产评估业务，可以参照</w:t>
      </w:r>
      <w:proofErr w:type="gramStart"/>
      <w:r w:rsidRPr="002526E0">
        <w:rPr>
          <w:rFonts w:ascii="Times New Roman" w:eastAsia="仿宋_GB2312" w:hAnsi="宋体"/>
          <w:spacing w:val="-2"/>
          <w:sz w:val="32"/>
          <w:szCs w:val="24"/>
        </w:rPr>
        <w:t>本专家</w:t>
      </w:r>
      <w:proofErr w:type="gramEnd"/>
      <w:r w:rsidRPr="002526E0">
        <w:rPr>
          <w:rFonts w:ascii="Times New Roman" w:eastAsia="仿宋_GB2312" w:hAnsi="宋体"/>
          <w:spacing w:val="-2"/>
          <w:sz w:val="32"/>
          <w:szCs w:val="24"/>
        </w:rPr>
        <w:t>提示，也可以根据具体情况采用其他适当的做法。中国资产评估协会将根据业务发展，对</w:t>
      </w:r>
      <w:proofErr w:type="gramStart"/>
      <w:r w:rsidRPr="002526E0">
        <w:rPr>
          <w:rFonts w:ascii="Times New Roman" w:eastAsia="仿宋_GB2312" w:hAnsi="宋体"/>
          <w:spacing w:val="-2"/>
          <w:sz w:val="32"/>
          <w:szCs w:val="24"/>
        </w:rPr>
        <w:t>本专家</w:t>
      </w:r>
      <w:proofErr w:type="gramEnd"/>
      <w:r w:rsidRPr="002526E0">
        <w:rPr>
          <w:rFonts w:ascii="Times New Roman" w:eastAsia="仿宋_GB2312" w:hAnsi="宋体"/>
          <w:spacing w:val="-2"/>
          <w:sz w:val="32"/>
          <w:szCs w:val="24"/>
        </w:rPr>
        <w:t>提示进行更新。</w:t>
      </w:r>
    </w:p>
    <w:p w:rsidR="001B75E7" w:rsidRPr="002526E0" w:rsidRDefault="008B06DA" w:rsidP="001B75E7">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第一条</w:t>
      </w:r>
      <w:r w:rsidR="001B75E7">
        <w:rPr>
          <w:rFonts w:ascii="Times New Roman" w:eastAsia="仿宋_GB2312" w:hAnsi="宋体" w:hint="eastAsia"/>
          <w:spacing w:val="-2"/>
          <w:sz w:val="32"/>
          <w:szCs w:val="24"/>
        </w:rPr>
        <w:t xml:space="preserve"> </w:t>
      </w:r>
      <w:r w:rsidR="001B75E7" w:rsidRPr="002526E0">
        <w:rPr>
          <w:rFonts w:ascii="Times New Roman" w:eastAsia="仿宋_GB2312" w:hAnsi="宋体"/>
          <w:spacing w:val="-2"/>
          <w:sz w:val="32"/>
          <w:szCs w:val="24"/>
        </w:rPr>
        <w:t>为指导注册资产评估师在收益法评估业务中恰当运用敏感性分析方法，中国资产评估协会组织制定了</w:t>
      </w:r>
      <w:proofErr w:type="gramStart"/>
      <w:r w:rsidR="001B75E7" w:rsidRPr="002526E0">
        <w:rPr>
          <w:rFonts w:ascii="Times New Roman" w:eastAsia="仿宋_GB2312" w:hAnsi="宋体"/>
          <w:spacing w:val="-2"/>
          <w:sz w:val="32"/>
          <w:szCs w:val="24"/>
        </w:rPr>
        <w:t>本专家</w:t>
      </w:r>
      <w:proofErr w:type="gramEnd"/>
      <w:r w:rsidR="001B75E7" w:rsidRPr="002526E0">
        <w:rPr>
          <w:rFonts w:ascii="Times New Roman" w:eastAsia="仿宋_GB2312" w:hAnsi="宋体"/>
          <w:spacing w:val="-2"/>
          <w:sz w:val="32"/>
          <w:szCs w:val="24"/>
        </w:rPr>
        <w:t>提示。</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Pr>
          <w:rFonts w:ascii="Times New Roman" w:eastAsia="仿宋_GB2312" w:hAnsi="宋体" w:hint="eastAsia"/>
          <w:spacing w:val="-2"/>
          <w:sz w:val="32"/>
          <w:szCs w:val="24"/>
        </w:rPr>
        <w:t>敏感性分析不是按照资产评估准则规定必须履行的评估程序。当委托方以及评估报告使用者有需要或注册资产评估师认为有必要时，可以运用敏感性分析方法对评估结论进行相关分析，帮助委托方以及</w:t>
      </w:r>
      <w:r w:rsidRPr="002526E0">
        <w:rPr>
          <w:rFonts w:ascii="Times New Roman" w:eastAsia="仿宋_GB2312" w:hAnsi="宋体"/>
          <w:spacing w:val="-2"/>
          <w:sz w:val="32"/>
          <w:szCs w:val="24"/>
        </w:rPr>
        <w:t>评估报告使用者正确理解评估结论</w:t>
      </w:r>
      <w:r>
        <w:rPr>
          <w:rFonts w:ascii="Times New Roman" w:eastAsia="仿宋_GB2312" w:hAnsi="宋体" w:hint="eastAsia"/>
          <w:spacing w:val="-2"/>
          <w:sz w:val="32"/>
          <w:szCs w:val="24"/>
        </w:rPr>
        <w:t>。</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第二条</w:t>
      </w:r>
      <w:r w:rsidRPr="002526E0">
        <w:rPr>
          <w:rFonts w:ascii="Times New Roman" w:eastAsia="仿宋_GB2312" w:hAnsi="Times New Roman"/>
          <w:spacing w:val="-2"/>
          <w:sz w:val="32"/>
          <w:szCs w:val="24"/>
        </w:rPr>
        <w:t xml:space="preserve"> </w:t>
      </w:r>
      <w:r w:rsidRPr="002526E0">
        <w:rPr>
          <w:rFonts w:ascii="Times New Roman" w:eastAsia="仿宋_GB2312" w:hAnsi="宋体"/>
          <w:spacing w:val="-2"/>
          <w:sz w:val="32"/>
          <w:szCs w:val="24"/>
        </w:rPr>
        <w:t>敏感性分析是从定量角度研究一定数据模型中的输入变量变化对输出变量的影响程度的一种不确定性分析技术。</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进行敏感性分析时，一般选择主要输入变量加以考察，通过在可能的取值范围内改变相关输入变量的数值，来获取输出变量受此影响大小的分析结果。相比较而言，如果某输</w:t>
      </w:r>
      <w:r w:rsidRPr="002526E0">
        <w:rPr>
          <w:rFonts w:ascii="Times New Roman" w:eastAsia="仿宋_GB2312" w:hAnsi="宋体"/>
          <w:spacing w:val="-2"/>
          <w:sz w:val="32"/>
          <w:szCs w:val="24"/>
        </w:rPr>
        <w:lastRenderedPageBreak/>
        <w:t>入变量的较小幅度变化能导致输出变量的较大幅度变化，则称此输入变量为敏感性因素，反之则称其为非敏感性因素。</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根据每次改变输入变量数目的多少，敏感性分析可以分为单因素敏感性分析和多因素敏感性分析。每次只变动一个输入变量而其他输入变量保持不变时所做的敏感性分析，为单因素敏感性分析；每次同时变动多个输入变量时所做的敏感性分析，为多因素敏感性分析。</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在单因素敏感性分析中，输出变量数值变动率与引起该变动的某输入变量数值变动率之间的比值，称为该输入变量的敏感性系数。如果某输入变量与输出变量之间存在线性关系，则该输入变量的敏感性系数为一常数；如果某输入变量与输出变量之间不存在线性关系，则该输入变量的敏感性系数往往不恒定。</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第三条</w:t>
      </w:r>
      <w:r w:rsidRPr="002526E0">
        <w:rPr>
          <w:rFonts w:ascii="Times New Roman" w:eastAsia="仿宋_GB2312" w:hAnsi="Times New Roman"/>
          <w:spacing w:val="-2"/>
          <w:sz w:val="32"/>
          <w:szCs w:val="24"/>
        </w:rPr>
        <w:t xml:space="preserve"> </w:t>
      </w:r>
      <w:r w:rsidRPr="002526E0">
        <w:rPr>
          <w:rFonts w:ascii="Times New Roman" w:eastAsia="仿宋_GB2312" w:hAnsi="宋体"/>
          <w:spacing w:val="-2"/>
          <w:sz w:val="32"/>
          <w:szCs w:val="24"/>
        </w:rPr>
        <w:t>收益法中的敏感性分析</w:t>
      </w:r>
      <w:r>
        <w:rPr>
          <w:rFonts w:ascii="Times New Roman" w:eastAsia="仿宋_GB2312" w:hAnsi="Times New Roman"/>
          <w:spacing w:val="-2"/>
          <w:sz w:val="32"/>
          <w:szCs w:val="24"/>
        </w:rPr>
        <w:t>，</w:t>
      </w:r>
      <w:r>
        <w:rPr>
          <w:rFonts w:ascii="Times New Roman" w:eastAsia="仿宋_GB2312" w:hAnsi="宋体"/>
          <w:spacing w:val="-2"/>
          <w:sz w:val="32"/>
          <w:szCs w:val="24"/>
        </w:rPr>
        <w:t>是为</w:t>
      </w:r>
      <w:r w:rsidRPr="002526E0">
        <w:rPr>
          <w:rFonts w:ascii="Times New Roman" w:eastAsia="仿宋_GB2312" w:hAnsi="宋体"/>
          <w:spacing w:val="-2"/>
          <w:sz w:val="32"/>
          <w:szCs w:val="24"/>
        </w:rPr>
        <w:t>揭示相关评估参数（即输入变量）变动对评估</w:t>
      </w:r>
      <w:r>
        <w:rPr>
          <w:rFonts w:ascii="Times New Roman" w:eastAsia="仿宋_GB2312" w:hAnsi="宋体" w:hint="eastAsia"/>
          <w:spacing w:val="-2"/>
          <w:sz w:val="32"/>
          <w:szCs w:val="24"/>
        </w:rPr>
        <w:t>结论</w:t>
      </w:r>
      <w:r>
        <w:rPr>
          <w:rFonts w:ascii="Times New Roman" w:eastAsia="仿宋_GB2312" w:hAnsi="宋体"/>
          <w:spacing w:val="-2"/>
          <w:sz w:val="32"/>
          <w:szCs w:val="24"/>
        </w:rPr>
        <w:t>（即输出变量）的影响程度，以及评估结论的不确定性，而不是为</w:t>
      </w:r>
      <w:r w:rsidRPr="002526E0">
        <w:rPr>
          <w:rFonts w:ascii="Times New Roman" w:eastAsia="仿宋_GB2312" w:hAnsi="宋体"/>
          <w:spacing w:val="-2"/>
          <w:sz w:val="32"/>
          <w:szCs w:val="24"/>
        </w:rPr>
        <w:t>验证评估结论的合理性</w:t>
      </w:r>
      <w:r>
        <w:rPr>
          <w:rFonts w:ascii="Times New Roman" w:eastAsia="仿宋_GB2312" w:hAnsi="宋体" w:hint="eastAsia"/>
          <w:spacing w:val="-2"/>
          <w:sz w:val="32"/>
          <w:szCs w:val="24"/>
        </w:rPr>
        <w:t>，也不是为预测</w:t>
      </w:r>
      <w:r w:rsidRPr="00BE7A1A">
        <w:rPr>
          <w:rFonts w:ascii="Times New Roman" w:eastAsia="仿宋_GB2312" w:hAnsi="宋体" w:hint="eastAsia"/>
          <w:spacing w:val="-2"/>
          <w:sz w:val="32"/>
          <w:szCs w:val="24"/>
        </w:rPr>
        <w:t>评估结论在未来时点可能发生的价值波动</w:t>
      </w:r>
      <w:r w:rsidRPr="002526E0">
        <w:rPr>
          <w:rFonts w:ascii="Times New Roman" w:eastAsia="仿宋_GB2312" w:hAnsi="宋体"/>
          <w:spacing w:val="-2"/>
          <w:sz w:val="32"/>
          <w:szCs w:val="24"/>
        </w:rPr>
        <w:t>。</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第四条</w:t>
      </w:r>
      <w:r w:rsidRPr="002526E0">
        <w:rPr>
          <w:rFonts w:ascii="Times New Roman" w:eastAsia="仿宋_GB2312" w:hAnsi="Times New Roman"/>
          <w:spacing w:val="-2"/>
          <w:sz w:val="32"/>
          <w:szCs w:val="24"/>
        </w:rPr>
        <w:t xml:space="preserve"> </w:t>
      </w:r>
      <w:r w:rsidRPr="002526E0">
        <w:rPr>
          <w:rFonts w:ascii="Times New Roman" w:eastAsia="仿宋_GB2312" w:hAnsi="宋体"/>
          <w:spacing w:val="-2"/>
          <w:sz w:val="32"/>
          <w:szCs w:val="24"/>
        </w:rPr>
        <w:t>收益法中的敏感性分析</w:t>
      </w:r>
      <w:r>
        <w:rPr>
          <w:rFonts w:ascii="Times New Roman" w:eastAsia="仿宋_GB2312" w:hAnsi="Times New Roman"/>
          <w:spacing w:val="-2"/>
          <w:sz w:val="32"/>
          <w:szCs w:val="24"/>
        </w:rPr>
        <w:t>，</w:t>
      </w:r>
      <w:r w:rsidRPr="002526E0">
        <w:rPr>
          <w:rFonts w:ascii="Times New Roman" w:eastAsia="仿宋_GB2312" w:hAnsi="宋体"/>
          <w:spacing w:val="-2"/>
          <w:sz w:val="32"/>
          <w:szCs w:val="24"/>
        </w:rPr>
        <w:t>一般在评估结论估算完成之后，按照识别敏感性</w:t>
      </w:r>
      <w:r>
        <w:rPr>
          <w:rFonts w:ascii="Times New Roman" w:eastAsia="仿宋_GB2312" w:hAnsi="宋体" w:hint="eastAsia"/>
          <w:spacing w:val="-2"/>
          <w:sz w:val="32"/>
          <w:szCs w:val="24"/>
        </w:rPr>
        <w:t>因素</w:t>
      </w:r>
      <w:r w:rsidRPr="002526E0">
        <w:rPr>
          <w:rFonts w:ascii="Times New Roman" w:eastAsia="仿宋_GB2312" w:hAnsi="宋体"/>
          <w:spacing w:val="-2"/>
          <w:sz w:val="32"/>
          <w:szCs w:val="24"/>
        </w:rPr>
        <w:t>、计算敏感性</w:t>
      </w:r>
      <w:r>
        <w:rPr>
          <w:rFonts w:ascii="Times New Roman" w:eastAsia="仿宋_GB2312" w:hAnsi="宋体" w:hint="eastAsia"/>
          <w:spacing w:val="-2"/>
          <w:sz w:val="32"/>
          <w:szCs w:val="24"/>
        </w:rPr>
        <w:t>因素</w:t>
      </w:r>
      <w:r w:rsidRPr="002526E0">
        <w:rPr>
          <w:rFonts w:ascii="Times New Roman" w:eastAsia="仿宋_GB2312" w:hAnsi="宋体"/>
          <w:spacing w:val="-2"/>
          <w:sz w:val="32"/>
          <w:szCs w:val="24"/>
        </w:rPr>
        <w:t>变动情况下的评估</w:t>
      </w:r>
      <w:r>
        <w:rPr>
          <w:rFonts w:ascii="Times New Roman" w:eastAsia="仿宋_GB2312" w:hAnsi="宋体" w:hint="eastAsia"/>
          <w:spacing w:val="-2"/>
          <w:sz w:val="32"/>
          <w:szCs w:val="24"/>
        </w:rPr>
        <w:t>值</w:t>
      </w:r>
      <w:r w:rsidRPr="002526E0">
        <w:rPr>
          <w:rFonts w:ascii="Times New Roman" w:eastAsia="仿宋_GB2312" w:hAnsi="宋体"/>
          <w:spacing w:val="-2"/>
          <w:sz w:val="32"/>
          <w:szCs w:val="24"/>
        </w:rPr>
        <w:t>取值区间、总结披露分析结果</w:t>
      </w:r>
      <w:r>
        <w:rPr>
          <w:rFonts w:ascii="Times New Roman" w:eastAsia="仿宋_GB2312" w:hAnsi="宋体" w:hint="eastAsia"/>
          <w:spacing w:val="-2"/>
          <w:sz w:val="32"/>
          <w:szCs w:val="24"/>
        </w:rPr>
        <w:t>三</w:t>
      </w:r>
      <w:r w:rsidRPr="002526E0">
        <w:rPr>
          <w:rFonts w:ascii="Times New Roman" w:eastAsia="仿宋_GB2312" w:hAnsi="宋体"/>
          <w:spacing w:val="-2"/>
          <w:sz w:val="32"/>
          <w:szCs w:val="24"/>
        </w:rPr>
        <w:t>个步骤进行。</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第五条</w:t>
      </w:r>
      <w:r w:rsidRPr="002526E0">
        <w:rPr>
          <w:rFonts w:ascii="Times New Roman" w:eastAsia="仿宋_GB2312" w:hAnsi="Times New Roman"/>
          <w:spacing w:val="-2"/>
          <w:sz w:val="32"/>
          <w:szCs w:val="24"/>
        </w:rPr>
        <w:t xml:space="preserve"> </w:t>
      </w:r>
      <w:r w:rsidRPr="002526E0">
        <w:rPr>
          <w:rFonts w:ascii="Times New Roman" w:eastAsia="仿宋_GB2312" w:hAnsi="宋体"/>
          <w:spacing w:val="-2"/>
          <w:sz w:val="32"/>
          <w:szCs w:val="24"/>
        </w:rPr>
        <w:t>收益法中的主评估参数一般包括预期收益额、收益期、折现率和终值，次级评估参数可能包括营业收入（业务单价、业务数量）、固定成本及费用、变动成本及费用、各</w:t>
      </w:r>
      <w:r w:rsidRPr="002526E0">
        <w:rPr>
          <w:rFonts w:ascii="Times New Roman" w:eastAsia="仿宋_GB2312" w:hAnsi="宋体"/>
          <w:spacing w:val="-2"/>
          <w:sz w:val="32"/>
          <w:szCs w:val="24"/>
        </w:rPr>
        <w:lastRenderedPageBreak/>
        <w:t>种增长率、各种成本费用收入比率、营运资金需求额、资本性支出额、税率、利率、市场风险溢价、个别风险溢价、负债权益比例、其他假设性评估参数等。进行敏感性分析时，既不可能也无必要对所有的评估参数都进行考察，可以根据评估业务的具体情况，并考虑评估参数的经济意义，从众多评估参数中分析筛选出存在估计偏差的可能性较大且对评估</w:t>
      </w:r>
      <w:r>
        <w:rPr>
          <w:rFonts w:ascii="Times New Roman" w:eastAsia="仿宋_GB2312" w:hAnsi="宋体" w:hint="eastAsia"/>
          <w:spacing w:val="-2"/>
          <w:sz w:val="32"/>
          <w:szCs w:val="24"/>
        </w:rPr>
        <w:t>结论</w:t>
      </w:r>
      <w:r w:rsidRPr="002526E0">
        <w:rPr>
          <w:rFonts w:ascii="Times New Roman" w:eastAsia="仿宋_GB2312" w:hAnsi="宋体"/>
          <w:spacing w:val="-2"/>
          <w:sz w:val="32"/>
          <w:szCs w:val="24"/>
        </w:rPr>
        <w:t>影响作用较大者，作为拟考察的评估参数。</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与收益法评估结论相对应的各评估参数的取值，称为基准值。需要注意的是，这里所谓的估计偏差，可以理解为基准值与最佳估计值之间的偏差。例如，对于折现率而言，其估计偏差是指其基准值与衡量预期收益风险大小的理论准确值之间的偏差；对于收益额或影响收益额的评估参数而言，其估计偏差是指其基准值与其理论上的数学期望之间的偏差，而与其概率分布密度或者概率分布方差大小无关。</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第</w:t>
      </w:r>
      <w:r>
        <w:rPr>
          <w:rFonts w:ascii="Times New Roman" w:eastAsia="仿宋_GB2312" w:hAnsi="宋体" w:hint="eastAsia"/>
          <w:spacing w:val="-2"/>
          <w:sz w:val="32"/>
          <w:szCs w:val="24"/>
        </w:rPr>
        <w:t>六</w:t>
      </w:r>
      <w:r w:rsidRPr="002526E0">
        <w:rPr>
          <w:rFonts w:ascii="Times New Roman" w:eastAsia="仿宋_GB2312" w:hAnsi="宋体"/>
          <w:spacing w:val="-2"/>
          <w:sz w:val="32"/>
          <w:szCs w:val="24"/>
        </w:rPr>
        <w:t>条</w:t>
      </w:r>
      <w:r w:rsidRPr="002526E0">
        <w:rPr>
          <w:rFonts w:ascii="Times New Roman" w:eastAsia="仿宋_GB2312" w:hAnsi="Times New Roman"/>
          <w:spacing w:val="-2"/>
          <w:sz w:val="32"/>
          <w:szCs w:val="24"/>
        </w:rPr>
        <w:t xml:space="preserve"> </w:t>
      </w:r>
      <w:r w:rsidRPr="002526E0">
        <w:rPr>
          <w:rFonts w:ascii="Times New Roman" w:eastAsia="仿宋_GB2312" w:hAnsi="宋体"/>
          <w:spacing w:val="-2"/>
          <w:sz w:val="32"/>
          <w:szCs w:val="24"/>
        </w:rPr>
        <w:t>识别敏感性</w:t>
      </w:r>
      <w:r>
        <w:rPr>
          <w:rFonts w:ascii="Times New Roman" w:eastAsia="仿宋_GB2312" w:hAnsi="宋体" w:hint="eastAsia"/>
          <w:spacing w:val="-2"/>
          <w:sz w:val="32"/>
          <w:szCs w:val="24"/>
        </w:rPr>
        <w:t>因素</w:t>
      </w:r>
      <w:r w:rsidRPr="002526E0">
        <w:rPr>
          <w:rFonts w:ascii="Times New Roman" w:eastAsia="仿宋_GB2312" w:hAnsi="宋体"/>
          <w:spacing w:val="-2"/>
          <w:sz w:val="32"/>
          <w:szCs w:val="24"/>
        </w:rPr>
        <w:t>，一般采用单因素敏感性分析方法，通过计算并比较各评估参数的敏感性系数来进行。根据评估业务的具体情况，选取敏感性系数较高的一个或多个评估参数作为敏感性</w:t>
      </w:r>
      <w:r>
        <w:rPr>
          <w:rFonts w:ascii="Times New Roman" w:eastAsia="仿宋_GB2312" w:hAnsi="宋体" w:hint="eastAsia"/>
          <w:spacing w:val="-2"/>
          <w:sz w:val="32"/>
          <w:szCs w:val="24"/>
        </w:rPr>
        <w:t>因素</w:t>
      </w:r>
      <w:r w:rsidRPr="002526E0">
        <w:rPr>
          <w:rFonts w:ascii="Times New Roman" w:eastAsia="仿宋_GB2312" w:hAnsi="宋体"/>
          <w:spacing w:val="-2"/>
          <w:sz w:val="32"/>
          <w:szCs w:val="24"/>
        </w:rPr>
        <w:t>。</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计算比较各评估参数的敏感性系数时，应当对各评估参数的变动采用一致的相对变动幅度。</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2526E0">
        <w:rPr>
          <w:rFonts w:ascii="Times New Roman" w:eastAsia="仿宋_GB2312" w:hAnsi="宋体"/>
          <w:spacing w:val="-2"/>
          <w:sz w:val="32"/>
          <w:szCs w:val="24"/>
        </w:rPr>
        <w:t>设定评估参数的变动幅度时，</w:t>
      </w:r>
      <w:r>
        <w:rPr>
          <w:rFonts w:ascii="Times New Roman" w:eastAsia="仿宋_GB2312" w:hAnsi="宋体" w:hint="eastAsia"/>
          <w:spacing w:val="-2"/>
          <w:sz w:val="32"/>
          <w:szCs w:val="24"/>
        </w:rPr>
        <w:t>要</w:t>
      </w:r>
      <w:r w:rsidRPr="002526E0">
        <w:rPr>
          <w:rFonts w:ascii="Times New Roman" w:eastAsia="仿宋_GB2312" w:hAnsi="宋体"/>
          <w:spacing w:val="-2"/>
          <w:sz w:val="32"/>
          <w:szCs w:val="24"/>
        </w:rPr>
        <w:t>根据实际情况，并充分考虑评估参数的经济意义，围绕基准值考虑估计偏差的可能大小，合理确定变动范围。例如，预期收益的风险已经反映</w:t>
      </w:r>
      <w:r w:rsidRPr="002526E0">
        <w:rPr>
          <w:rFonts w:ascii="Times New Roman" w:eastAsia="仿宋_GB2312" w:hAnsi="宋体"/>
          <w:spacing w:val="-2"/>
          <w:sz w:val="32"/>
          <w:szCs w:val="24"/>
        </w:rPr>
        <w:lastRenderedPageBreak/>
        <w:t>在折现率之中，因此，在设定预期收益相关评估参数的变动幅度时，不能再考虑其风险因素的影响，而应当关注于其基准值与其理论上的数学期望之间的偏差。过大或过小的变动范围可能夸大或减弱对评估结论不确定性程度的阐释。</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敏感性</w:t>
      </w:r>
      <w:r>
        <w:rPr>
          <w:rFonts w:ascii="Times New Roman" w:eastAsia="仿宋_GB2312" w:hAnsi="宋体" w:hint="eastAsia"/>
          <w:spacing w:val="-2"/>
          <w:sz w:val="32"/>
          <w:szCs w:val="24"/>
        </w:rPr>
        <w:t>因素</w:t>
      </w:r>
      <w:r w:rsidRPr="002526E0">
        <w:rPr>
          <w:rFonts w:ascii="Times New Roman" w:eastAsia="仿宋_GB2312" w:hAnsi="宋体"/>
          <w:spacing w:val="-2"/>
          <w:sz w:val="32"/>
          <w:szCs w:val="24"/>
        </w:rPr>
        <w:t>之间应当保持相互独立不相关，否则会产生重复计算问题。例如，如果选取了业务收入，就不能再选取业务单价或业务数量，因为后两者与前者相关。</w:t>
      </w:r>
    </w:p>
    <w:p w:rsidR="008B06DA" w:rsidRPr="00D77E46"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2526E0">
        <w:rPr>
          <w:rFonts w:ascii="Times New Roman" w:eastAsia="仿宋_GB2312" w:hAnsi="宋体"/>
          <w:spacing w:val="-2"/>
          <w:sz w:val="32"/>
          <w:szCs w:val="24"/>
        </w:rPr>
        <w:t>在实务中，折现率、收益额永续增长率、</w:t>
      </w:r>
      <w:r w:rsidRPr="00D77E46">
        <w:rPr>
          <w:rFonts w:ascii="Times New Roman" w:eastAsia="仿宋_GB2312" w:hAnsi="宋体"/>
          <w:spacing w:val="-2"/>
          <w:sz w:val="32"/>
          <w:szCs w:val="24"/>
        </w:rPr>
        <w:t>价格水平</w:t>
      </w:r>
      <w:r w:rsidRPr="00D77E46">
        <w:rPr>
          <w:rFonts w:ascii="Times New Roman" w:eastAsia="仿宋_GB2312" w:hAnsi="宋体" w:hint="eastAsia"/>
          <w:spacing w:val="-2"/>
          <w:sz w:val="32"/>
          <w:szCs w:val="24"/>
        </w:rPr>
        <w:t>、业务量、收益期限等</w:t>
      </w:r>
      <w:r w:rsidRPr="002526E0">
        <w:rPr>
          <w:rFonts w:ascii="Times New Roman" w:eastAsia="仿宋_GB2312" w:hAnsi="宋体"/>
          <w:spacing w:val="-2"/>
          <w:sz w:val="32"/>
          <w:szCs w:val="24"/>
        </w:rPr>
        <w:t>是常见的敏感性</w:t>
      </w:r>
      <w:r>
        <w:rPr>
          <w:rFonts w:ascii="Times New Roman" w:eastAsia="仿宋_GB2312" w:hAnsi="宋体" w:hint="eastAsia"/>
          <w:spacing w:val="-2"/>
          <w:sz w:val="32"/>
          <w:szCs w:val="24"/>
        </w:rPr>
        <w:t>因素</w:t>
      </w:r>
      <w:r w:rsidRPr="002526E0">
        <w:rPr>
          <w:rFonts w:ascii="Times New Roman" w:eastAsia="仿宋_GB2312" w:hAnsi="宋体"/>
          <w:spacing w:val="-2"/>
          <w:sz w:val="32"/>
          <w:szCs w:val="24"/>
        </w:rPr>
        <w:t>。</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第</w:t>
      </w:r>
      <w:r>
        <w:rPr>
          <w:rFonts w:ascii="Times New Roman" w:eastAsia="仿宋_GB2312" w:hAnsi="宋体" w:hint="eastAsia"/>
          <w:spacing w:val="-2"/>
          <w:sz w:val="32"/>
          <w:szCs w:val="24"/>
        </w:rPr>
        <w:t>七</w:t>
      </w:r>
      <w:r w:rsidRPr="002526E0">
        <w:rPr>
          <w:rFonts w:ascii="Times New Roman" w:eastAsia="仿宋_GB2312" w:hAnsi="宋体"/>
          <w:spacing w:val="-2"/>
          <w:sz w:val="32"/>
          <w:szCs w:val="24"/>
        </w:rPr>
        <w:t>条</w:t>
      </w:r>
      <w:r w:rsidRPr="002526E0">
        <w:rPr>
          <w:rFonts w:ascii="Times New Roman" w:eastAsia="仿宋_GB2312" w:hAnsi="Times New Roman"/>
          <w:spacing w:val="-2"/>
          <w:sz w:val="32"/>
          <w:szCs w:val="24"/>
        </w:rPr>
        <w:t xml:space="preserve"> </w:t>
      </w:r>
      <w:r w:rsidRPr="002526E0">
        <w:rPr>
          <w:rFonts w:ascii="Times New Roman" w:eastAsia="仿宋_GB2312" w:hAnsi="宋体"/>
          <w:spacing w:val="-2"/>
          <w:sz w:val="32"/>
          <w:szCs w:val="24"/>
        </w:rPr>
        <w:t>计算敏感性</w:t>
      </w:r>
      <w:r>
        <w:rPr>
          <w:rFonts w:ascii="Times New Roman" w:eastAsia="仿宋_GB2312" w:hAnsi="宋体" w:hint="eastAsia"/>
          <w:spacing w:val="-2"/>
          <w:sz w:val="32"/>
          <w:szCs w:val="24"/>
        </w:rPr>
        <w:t>因素</w:t>
      </w:r>
      <w:r w:rsidRPr="002526E0">
        <w:rPr>
          <w:rFonts w:ascii="Times New Roman" w:eastAsia="仿宋_GB2312" w:hAnsi="宋体"/>
          <w:spacing w:val="-2"/>
          <w:sz w:val="32"/>
          <w:szCs w:val="24"/>
        </w:rPr>
        <w:t>变动情况下的评估</w:t>
      </w:r>
      <w:r>
        <w:rPr>
          <w:rFonts w:ascii="Times New Roman" w:eastAsia="仿宋_GB2312" w:hAnsi="宋体" w:hint="eastAsia"/>
          <w:spacing w:val="-2"/>
          <w:sz w:val="32"/>
          <w:szCs w:val="24"/>
        </w:rPr>
        <w:t>值</w:t>
      </w:r>
      <w:r w:rsidRPr="002526E0">
        <w:rPr>
          <w:rFonts w:ascii="Times New Roman" w:eastAsia="仿宋_GB2312" w:hAnsi="宋体"/>
          <w:spacing w:val="-2"/>
          <w:sz w:val="32"/>
          <w:szCs w:val="24"/>
        </w:rPr>
        <w:t>取值区间，可以采用枚举的方法，将全部敏感性</w:t>
      </w:r>
      <w:r>
        <w:rPr>
          <w:rFonts w:ascii="Times New Roman" w:eastAsia="仿宋_GB2312" w:hAnsi="宋体" w:hint="eastAsia"/>
          <w:spacing w:val="-2"/>
          <w:sz w:val="32"/>
          <w:szCs w:val="24"/>
        </w:rPr>
        <w:t>因素</w:t>
      </w:r>
      <w:r w:rsidRPr="002526E0">
        <w:rPr>
          <w:rFonts w:ascii="Times New Roman" w:eastAsia="仿宋_GB2312" w:hAnsi="宋体"/>
          <w:spacing w:val="-2"/>
          <w:sz w:val="32"/>
          <w:szCs w:val="24"/>
        </w:rPr>
        <w:t>按</w:t>
      </w:r>
      <w:r>
        <w:rPr>
          <w:rFonts w:ascii="Times New Roman" w:eastAsia="仿宋_GB2312" w:hAnsi="宋体" w:hint="eastAsia"/>
          <w:spacing w:val="-2"/>
          <w:sz w:val="32"/>
          <w:szCs w:val="24"/>
        </w:rPr>
        <w:t>所</w:t>
      </w:r>
      <w:r w:rsidRPr="002526E0">
        <w:rPr>
          <w:rFonts w:ascii="Times New Roman" w:eastAsia="仿宋_GB2312" w:hAnsi="宋体"/>
          <w:spacing w:val="-2"/>
          <w:sz w:val="32"/>
          <w:szCs w:val="24"/>
        </w:rPr>
        <w:t>设定的各种相对或绝对变动幅度同时变动，针对各种变动情况一一分别计算评估</w:t>
      </w:r>
      <w:r>
        <w:rPr>
          <w:rFonts w:ascii="Times New Roman" w:eastAsia="仿宋_GB2312" w:hAnsi="宋体" w:hint="eastAsia"/>
          <w:spacing w:val="-2"/>
          <w:sz w:val="32"/>
          <w:szCs w:val="24"/>
        </w:rPr>
        <w:t>值</w:t>
      </w:r>
      <w:r w:rsidRPr="002526E0">
        <w:rPr>
          <w:rFonts w:ascii="Times New Roman" w:eastAsia="仿宋_GB2312" w:hAnsi="宋体"/>
          <w:spacing w:val="-2"/>
          <w:sz w:val="32"/>
          <w:szCs w:val="24"/>
        </w:rPr>
        <w:t>。</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当敏感性</w:t>
      </w:r>
      <w:r>
        <w:rPr>
          <w:rFonts w:ascii="Times New Roman" w:eastAsia="仿宋_GB2312" w:hAnsi="宋体" w:hint="eastAsia"/>
          <w:spacing w:val="-2"/>
          <w:sz w:val="32"/>
          <w:szCs w:val="24"/>
        </w:rPr>
        <w:t>因素</w:t>
      </w:r>
      <w:r w:rsidRPr="002526E0">
        <w:rPr>
          <w:rFonts w:ascii="Times New Roman" w:eastAsia="仿宋_GB2312" w:hAnsi="宋体"/>
          <w:spacing w:val="-2"/>
          <w:sz w:val="32"/>
          <w:szCs w:val="24"/>
        </w:rPr>
        <w:t>与变动幅度的组合数量较多而不便于进行枚举计算时，可以选择其中一部分进行计算，但应当包括评估</w:t>
      </w:r>
      <w:r>
        <w:rPr>
          <w:rFonts w:ascii="Times New Roman" w:eastAsia="仿宋_GB2312" w:hAnsi="宋体" w:hint="eastAsia"/>
          <w:spacing w:val="-2"/>
          <w:sz w:val="32"/>
          <w:szCs w:val="24"/>
        </w:rPr>
        <w:t>值</w:t>
      </w:r>
      <w:r w:rsidRPr="002526E0">
        <w:rPr>
          <w:rFonts w:ascii="Times New Roman" w:eastAsia="仿宋_GB2312" w:hAnsi="宋体"/>
          <w:spacing w:val="-2"/>
          <w:sz w:val="32"/>
          <w:szCs w:val="24"/>
        </w:rPr>
        <w:t>的极大值和极小值两种情形。</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第</w:t>
      </w:r>
      <w:r>
        <w:rPr>
          <w:rFonts w:ascii="Times New Roman" w:eastAsia="仿宋_GB2312" w:hAnsi="宋体" w:hint="eastAsia"/>
          <w:spacing w:val="-2"/>
          <w:sz w:val="32"/>
          <w:szCs w:val="24"/>
        </w:rPr>
        <w:t>八</w:t>
      </w:r>
      <w:r w:rsidRPr="002526E0">
        <w:rPr>
          <w:rFonts w:ascii="Times New Roman" w:eastAsia="仿宋_GB2312" w:hAnsi="宋体"/>
          <w:spacing w:val="-2"/>
          <w:sz w:val="32"/>
          <w:szCs w:val="24"/>
        </w:rPr>
        <w:t>条</w:t>
      </w:r>
      <w:r w:rsidRPr="002526E0">
        <w:rPr>
          <w:rFonts w:ascii="Times New Roman" w:eastAsia="仿宋_GB2312" w:hAnsi="Times New Roman"/>
          <w:spacing w:val="-2"/>
          <w:sz w:val="32"/>
          <w:szCs w:val="24"/>
        </w:rPr>
        <w:t xml:space="preserve"> </w:t>
      </w:r>
      <w:r w:rsidRPr="002526E0">
        <w:rPr>
          <w:rFonts w:ascii="Times New Roman" w:eastAsia="仿宋_GB2312" w:hAnsi="宋体"/>
          <w:spacing w:val="-2"/>
          <w:sz w:val="32"/>
          <w:szCs w:val="24"/>
        </w:rPr>
        <w:t>注册资产评估师可以考虑委托方、有关监管部门和报告使用者的要求，将敏感性分析计算结果作为可能影响评估</w:t>
      </w:r>
      <w:r>
        <w:rPr>
          <w:rFonts w:ascii="Times New Roman" w:eastAsia="仿宋_GB2312" w:hAnsi="宋体" w:hint="eastAsia"/>
          <w:spacing w:val="-2"/>
          <w:sz w:val="32"/>
          <w:szCs w:val="24"/>
        </w:rPr>
        <w:t>值</w:t>
      </w:r>
      <w:r w:rsidRPr="002526E0">
        <w:rPr>
          <w:rFonts w:ascii="Times New Roman" w:eastAsia="仿宋_GB2312" w:hAnsi="宋体"/>
          <w:spacing w:val="-2"/>
          <w:sz w:val="32"/>
          <w:szCs w:val="24"/>
        </w:rPr>
        <w:t>的不确定因素，在评估报告的特别事项说明部分进行披露。披露时，应当以文字和数字形式清晰描述敏感性</w:t>
      </w:r>
      <w:r>
        <w:rPr>
          <w:rFonts w:ascii="Times New Roman" w:eastAsia="仿宋_GB2312" w:hAnsi="宋体" w:hint="eastAsia"/>
          <w:spacing w:val="-2"/>
          <w:sz w:val="32"/>
          <w:szCs w:val="24"/>
        </w:rPr>
        <w:t>因素</w:t>
      </w:r>
      <w:r w:rsidRPr="002526E0">
        <w:rPr>
          <w:rFonts w:ascii="Times New Roman" w:eastAsia="仿宋_GB2312" w:hAnsi="宋体"/>
          <w:spacing w:val="-2"/>
          <w:sz w:val="32"/>
          <w:szCs w:val="24"/>
        </w:rPr>
        <w:t>变动情况下的评估</w:t>
      </w:r>
      <w:r>
        <w:rPr>
          <w:rFonts w:ascii="Times New Roman" w:eastAsia="仿宋_GB2312" w:hAnsi="宋体" w:hint="eastAsia"/>
          <w:spacing w:val="-2"/>
          <w:sz w:val="32"/>
          <w:szCs w:val="24"/>
        </w:rPr>
        <w:t>值</w:t>
      </w:r>
      <w:r w:rsidRPr="002526E0">
        <w:rPr>
          <w:rFonts w:ascii="Times New Roman" w:eastAsia="仿宋_GB2312" w:hAnsi="宋体"/>
          <w:spacing w:val="-2"/>
          <w:sz w:val="32"/>
          <w:szCs w:val="24"/>
        </w:rPr>
        <w:t>取值区间。</w:t>
      </w:r>
    </w:p>
    <w:p w:rsidR="008B06DA" w:rsidRPr="002526E0" w:rsidRDefault="008B06DA" w:rsidP="008B06DA">
      <w:pPr>
        <w:autoSpaceDE w:val="0"/>
        <w:autoSpaceDN w:val="0"/>
        <w:adjustRightInd w:val="0"/>
        <w:snapToGrid w:val="0"/>
        <w:spacing w:line="588" w:lineRule="atLeast"/>
        <w:ind w:firstLineChars="200" w:firstLine="632"/>
        <w:rPr>
          <w:rFonts w:ascii="Times New Roman" w:eastAsia="仿宋_GB2312" w:hAnsi="Times New Roman"/>
          <w:spacing w:val="-2"/>
          <w:sz w:val="32"/>
          <w:szCs w:val="24"/>
        </w:rPr>
      </w:pPr>
      <w:r w:rsidRPr="002526E0">
        <w:rPr>
          <w:rFonts w:ascii="Times New Roman" w:eastAsia="仿宋_GB2312" w:hAnsi="宋体"/>
          <w:spacing w:val="-2"/>
          <w:sz w:val="32"/>
          <w:szCs w:val="24"/>
        </w:rPr>
        <w:t>第</w:t>
      </w:r>
      <w:r>
        <w:rPr>
          <w:rFonts w:ascii="Times New Roman" w:eastAsia="仿宋_GB2312" w:hAnsi="宋体" w:hint="eastAsia"/>
          <w:spacing w:val="-2"/>
          <w:sz w:val="32"/>
          <w:szCs w:val="24"/>
        </w:rPr>
        <w:t>九</w:t>
      </w:r>
      <w:r w:rsidRPr="002526E0">
        <w:rPr>
          <w:rFonts w:ascii="Times New Roman" w:eastAsia="仿宋_GB2312" w:hAnsi="宋体"/>
          <w:spacing w:val="-2"/>
          <w:sz w:val="32"/>
          <w:szCs w:val="24"/>
        </w:rPr>
        <w:t>条</w:t>
      </w:r>
      <w:r w:rsidRPr="002526E0">
        <w:rPr>
          <w:rFonts w:ascii="Times New Roman" w:eastAsia="仿宋_GB2312" w:hAnsi="Times New Roman"/>
          <w:spacing w:val="-2"/>
          <w:sz w:val="32"/>
          <w:szCs w:val="24"/>
        </w:rPr>
        <w:t xml:space="preserve"> </w:t>
      </w:r>
      <w:proofErr w:type="gramStart"/>
      <w:r w:rsidRPr="002526E0">
        <w:rPr>
          <w:rFonts w:ascii="Times New Roman" w:eastAsia="仿宋_GB2312" w:hAnsi="宋体"/>
          <w:spacing w:val="-2"/>
          <w:sz w:val="32"/>
          <w:szCs w:val="24"/>
        </w:rPr>
        <w:t>本专家</w:t>
      </w:r>
      <w:proofErr w:type="gramEnd"/>
      <w:r w:rsidRPr="002526E0">
        <w:rPr>
          <w:rFonts w:ascii="Times New Roman" w:eastAsia="仿宋_GB2312" w:hAnsi="宋体"/>
          <w:spacing w:val="-2"/>
          <w:sz w:val="32"/>
          <w:szCs w:val="24"/>
        </w:rPr>
        <w:t>提示是以有关评估实践为基础，针对收益法评估中运用敏感性分析方法的操作和披露要点提出的建议。</w:t>
      </w:r>
      <w:proofErr w:type="gramStart"/>
      <w:r w:rsidRPr="002526E0">
        <w:rPr>
          <w:rFonts w:ascii="Times New Roman" w:eastAsia="仿宋_GB2312" w:hAnsi="宋体"/>
          <w:spacing w:val="-2"/>
          <w:sz w:val="32"/>
          <w:szCs w:val="24"/>
        </w:rPr>
        <w:lastRenderedPageBreak/>
        <w:t>本专家</w:t>
      </w:r>
      <w:proofErr w:type="gramEnd"/>
      <w:r w:rsidRPr="002526E0">
        <w:rPr>
          <w:rFonts w:ascii="Times New Roman" w:eastAsia="仿宋_GB2312" w:hAnsi="宋体"/>
          <w:spacing w:val="-2"/>
          <w:sz w:val="32"/>
          <w:szCs w:val="24"/>
        </w:rPr>
        <w:t>提示不是对相关资产评估准则和评估报告信息披露有关监管规定的补充和修正，也不是一项新的资产评估准则。</w:t>
      </w:r>
    </w:p>
    <w:p w:rsidR="00D31EEC" w:rsidRDefault="008B06DA" w:rsidP="00D31EEC">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Pr>
          <w:rFonts w:ascii="Times New Roman" w:eastAsia="仿宋_GB2312" w:hAnsi="宋体" w:hint="eastAsia"/>
          <w:spacing w:val="-2"/>
          <w:sz w:val="32"/>
          <w:szCs w:val="24"/>
        </w:rPr>
        <w:t>附录：</w:t>
      </w:r>
      <w:r w:rsidRPr="00BF38D5">
        <w:rPr>
          <w:rFonts w:ascii="Times New Roman" w:eastAsia="仿宋_GB2312" w:hAnsi="宋体" w:hint="eastAsia"/>
          <w:spacing w:val="-2"/>
          <w:sz w:val="32"/>
          <w:szCs w:val="24"/>
        </w:rPr>
        <w:t>示例</w:t>
      </w:r>
    </w:p>
    <w:p w:rsidR="008B06DA" w:rsidRPr="00470D69" w:rsidRDefault="008B06DA" w:rsidP="00D31EEC">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示例一</w:t>
      </w:r>
    </w:p>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一、有关数据及评估结论</w:t>
      </w:r>
    </w:p>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评估对象为一座供出租的写字楼，总建筑面积</w:t>
      </w:r>
      <w:r w:rsidRPr="00470D69">
        <w:rPr>
          <w:rFonts w:ascii="Times New Roman" w:eastAsia="仿宋_GB2312" w:hAnsi="宋体"/>
          <w:spacing w:val="-2"/>
          <w:sz w:val="32"/>
          <w:szCs w:val="24"/>
        </w:rPr>
        <w:t>52000</w:t>
      </w:r>
      <w:r w:rsidRPr="00470D69">
        <w:rPr>
          <w:rFonts w:ascii="Times New Roman" w:eastAsia="仿宋_GB2312" w:hAnsi="宋体"/>
          <w:spacing w:val="-2"/>
          <w:sz w:val="32"/>
          <w:szCs w:val="24"/>
        </w:rPr>
        <w:t>平方米，可出租面积</w:t>
      </w:r>
      <w:r w:rsidRPr="00470D69">
        <w:rPr>
          <w:rFonts w:ascii="Times New Roman" w:eastAsia="仿宋_GB2312" w:hAnsi="宋体"/>
          <w:spacing w:val="-2"/>
          <w:sz w:val="32"/>
          <w:szCs w:val="24"/>
        </w:rPr>
        <w:t>31200</w:t>
      </w:r>
      <w:r w:rsidRPr="00470D69">
        <w:rPr>
          <w:rFonts w:ascii="Times New Roman" w:eastAsia="仿宋_GB2312" w:hAnsi="宋体"/>
          <w:spacing w:val="-2"/>
          <w:sz w:val="32"/>
          <w:szCs w:val="24"/>
        </w:rPr>
        <w:t>平方米。租金按可出租面积计每平方米每日</w:t>
      </w:r>
      <w:r w:rsidRPr="00470D69">
        <w:rPr>
          <w:rFonts w:ascii="Times New Roman" w:eastAsia="仿宋_GB2312" w:hAnsi="宋体"/>
          <w:spacing w:val="-2"/>
          <w:sz w:val="32"/>
          <w:szCs w:val="24"/>
        </w:rPr>
        <w:t>5</w:t>
      </w:r>
      <w:r w:rsidRPr="00470D69">
        <w:rPr>
          <w:rFonts w:ascii="Times New Roman" w:eastAsia="仿宋_GB2312" w:hAnsi="宋体"/>
          <w:spacing w:val="-2"/>
          <w:sz w:val="32"/>
          <w:szCs w:val="24"/>
        </w:rPr>
        <w:t>元。空置率为年平均</w:t>
      </w:r>
      <w:r w:rsidRPr="00470D69">
        <w:rPr>
          <w:rFonts w:ascii="Times New Roman" w:eastAsia="仿宋_GB2312" w:hAnsi="宋体"/>
          <w:spacing w:val="-2"/>
          <w:sz w:val="32"/>
          <w:szCs w:val="24"/>
        </w:rPr>
        <w:t>10%</w:t>
      </w:r>
      <w:r w:rsidRPr="00470D69">
        <w:rPr>
          <w:rFonts w:ascii="Times New Roman" w:eastAsia="仿宋_GB2312" w:hAnsi="宋体"/>
          <w:spacing w:val="-2"/>
          <w:sz w:val="32"/>
          <w:szCs w:val="24"/>
        </w:rPr>
        <w:t>。管理人员工资、水电、空调、维修、清洁、保安等日常费用每年</w:t>
      </w:r>
      <w:r w:rsidRPr="00470D69">
        <w:rPr>
          <w:rFonts w:ascii="Times New Roman" w:eastAsia="仿宋_GB2312" w:hAnsi="宋体"/>
          <w:spacing w:val="-2"/>
          <w:sz w:val="32"/>
          <w:szCs w:val="24"/>
        </w:rPr>
        <w:t>300</w:t>
      </w:r>
      <w:r w:rsidRPr="00470D69">
        <w:rPr>
          <w:rFonts w:ascii="Times New Roman" w:eastAsia="仿宋_GB2312" w:hAnsi="宋体"/>
          <w:spacing w:val="-2"/>
          <w:sz w:val="32"/>
          <w:szCs w:val="24"/>
        </w:rPr>
        <w:t>万元。房产税按租金收入的</w:t>
      </w:r>
      <w:r w:rsidRPr="00470D69">
        <w:rPr>
          <w:rFonts w:ascii="Times New Roman" w:eastAsia="仿宋_GB2312" w:hAnsi="宋体"/>
          <w:spacing w:val="-2"/>
          <w:sz w:val="32"/>
          <w:szCs w:val="24"/>
        </w:rPr>
        <w:t>12%</w:t>
      </w:r>
      <w:r w:rsidRPr="00470D69">
        <w:rPr>
          <w:rFonts w:ascii="Times New Roman" w:eastAsia="仿宋_GB2312" w:hAnsi="宋体"/>
          <w:spacing w:val="-2"/>
          <w:sz w:val="32"/>
          <w:szCs w:val="24"/>
        </w:rPr>
        <w:t>计取，营业税、土地使用税等税费等按租金收入的</w:t>
      </w:r>
      <w:r w:rsidRPr="00470D69">
        <w:rPr>
          <w:rFonts w:ascii="Times New Roman" w:eastAsia="仿宋_GB2312" w:hAnsi="宋体"/>
          <w:spacing w:val="-2"/>
          <w:sz w:val="32"/>
          <w:szCs w:val="24"/>
        </w:rPr>
        <w:t>6%</w:t>
      </w:r>
      <w:r w:rsidRPr="00470D69">
        <w:rPr>
          <w:rFonts w:ascii="Times New Roman" w:eastAsia="仿宋_GB2312" w:hAnsi="宋体"/>
          <w:spacing w:val="-2"/>
          <w:sz w:val="32"/>
          <w:szCs w:val="24"/>
        </w:rPr>
        <w:t>计取。至评估基准日，该写字楼所在土地</w:t>
      </w:r>
      <w:r w:rsidRPr="00470D69">
        <w:rPr>
          <w:rFonts w:ascii="Times New Roman" w:eastAsia="仿宋_GB2312" w:hAnsi="宋体" w:hint="eastAsia"/>
          <w:spacing w:val="-2"/>
          <w:sz w:val="32"/>
          <w:szCs w:val="24"/>
        </w:rPr>
        <w:t>的</w:t>
      </w:r>
      <w:r w:rsidRPr="00470D69">
        <w:rPr>
          <w:rFonts w:ascii="Times New Roman" w:eastAsia="仿宋_GB2312" w:hAnsi="宋体"/>
          <w:spacing w:val="-2"/>
          <w:sz w:val="32"/>
          <w:szCs w:val="24"/>
        </w:rPr>
        <w:t>出让年限尚余</w:t>
      </w:r>
      <w:r w:rsidRPr="00470D69">
        <w:rPr>
          <w:rFonts w:ascii="Times New Roman" w:eastAsia="仿宋_GB2312" w:hAnsi="宋体"/>
          <w:spacing w:val="-2"/>
          <w:sz w:val="32"/>
          <w:szCs w:val="24"/>
        </w:rPr>
        <w:t>35</w:t>
      </w:r>
      <w:r w:rsidRPr="00470D69">
        <w:rPr>
          <w:rFonts w:ascii="Times New Roman" w:eastAsia="仿宋_GB2312" w:hAnsi="宋体"/>
          <w:spacing w:val="-2"/>
          <w:sz w:val="32"/>
          <w:szCs w:val="24"/>
        </w:rPr>
        <w:t>年。假设土地使用年限届满后，土地使用权及地上建筑物由国家无偿收回。</w:t>
      </w:r>
    </w:p>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该写字楼的评估值计算如下：</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年有效毛收入</w:t>
      </w:r>
      <w:r w:rsidRPr="00470D69">
        <w:rPr>
          <w:rFonts w:ascii="Times New Roman" w:eastAsia="仿宋_GB2312" w:hAnsi="宋体"/>
          <w:spacing w:val="-2"/>
          <w:sz w:val="32"/>
          <w:szCs w:val="24"/>
        </w:rPr>
        <w:t>=31200</w:t>
      </w:r>
      <w:r w:rsidRPr="00470D69">
        <w:rPr>
          <w:rFonts w:ascii="Times New Roman" w:eastAsia="仿宋_GB2312" w:hAnsi="宋体"/>
          <w:spacing w:val="-2"/>
          <w:sz w:val="32"/>
          <w:szCs w:val="24"/>
        </w:rPr>
        <w:t>×</w:t>
      </w:r>
      <w:r w:rsidRPr="00470D69">
        <w:rPr>
          <w:rFonts w:ascii="Times New Roman" w:eastAsia="仿宋_GB2312" w:hAnsi="宋体"/>
          <w:spacing w:val="-2"/>
          <w:sz w:val="32"/>
          <w:szCs w:val="24"/>
        </w:rPr>
        <w:t>5</w:t>
      </w:r>
      <w:r w:rsidRPr="00470D69">
        <w:rPr>
          <w:rFonts w:ascii="Times New Roman" w:eastAsia="仿宋_GB2312" w:hAnsi="宋体"/>
          <w:spacing w:val="-2"/>
          <w:sz w:val="32"/>
          <w:szCs w:val="24"/>
        </w:rPr>
        <w:t>×</w:t>
      </w:r>
      <w:r w:rsidRPr="00470D69">
        <w:rPr>
          <w:rFonts w:ascii="Times New Roman" w:eastAsia="仿宋_GB2312" w:hAnsi="宋体"/>
          <w:spacing w:val="-2"/>
          <w:sz w:val="32"/>
          <w:szCs w:val="24"/>
        </w:rPr>
        <w:t>365</w:t>
      </w:r>
      <w:r w:rsidRPr="00470D69">
        <w:rPr>
          <w:rFonts w:ascii="Times New Roman" w:eastAsia="仿宋_GB2312" w:hAnsi="宋体"/>
          <w:spacing w:val="-2"/>
          <w:sz w:val="32"/>
          <w:szCs w:val="24"/>
        </w:rPr>
        <w:t>×</w:t>
      </w:r>
      <w:r w:rsidRPr="00470D69">
        <w:rPr>
          <w:rFonts w:ascii="Times New Roman" w:eastAsia="仿宋_GB2312" w:hAnsi="宋体"/>
          <w:spacing w:val="-2"/>
          <w:sz w:val="32"/>
          <w:szCs w:val="24"/>
        </w:rPr>
        <w:t>(1-10%)</w:t>
      </w:r>
    </w:p>
    <w:p w:rsidR="008B06DA" w:rsidRPr="00470D69" w:rsidRDefault="008B06DA" w:rsidP="008B06DA">
      <w:pPr>
        <w:autoSpaceDE w:val="0"/>
        <w:autoSpaceDN w:val="0"/>
        <w:adjustRightInd w:val="0"/>
        <w:snapToGrid w:val="0"/>
        <w:spacing w:line="588" w:lineRule="atLeast"/>
        <w:ind w:firstLineChars="900" w:firstLine="2844"/>
        <w:rPr>
          <w:rFonts w:ascii="Times New Roman" w:eastAsia="仿宋_GB2312" w:hAnsi="宋体"/>
          <w:spacing w:val="-2"/>
          <w:sz w:val="32"/>
          <w:szCs w:val="24"/>
        </w:rPr>
      </w:pPr>
      <w:r w:rsidRPr="00470D69">
        <w:rPr>
          <w:rFonts w:ascii="Times New Roman" w:eastAsia="仿宋_GB2312" w:hAnsi="宋体"/>
          <w:spacing w:val="-2"/>
          <w:sz w:val="32"/>
          <w:szCs w:val="24"/>
        </w:rPr>
        <w:t>=5124.6(</w:t>
      </w:r>
      <w:r w:rsidRPr="00470D69">
        <w:rPr>
          <w:rFonts w:ascii="Times New Roman" w:eastAsia="仿宋_GB2312" w:hAnsi="宋体"/>
          <w:spacing w:val="-2"/>
          <w:sz w:val="32"/>
          <w:szCs w:val="24"/>
        </w:rPr>
        <w:t>万元</w:t>
      </w:r>
      <w:r w:rsidRPr="00470D69">
        <w:rPr>
          <w:rFonts w:ascii="Times New Roman" w:eastAsia="仿宋_GB2312" w:hAnsi="宋体"/>
          <w:spacing w:val="-2"/>
          <w:sz w:val="32"/>
          <w:szCs w:val="24"/>
        </w:rPr>
        <w:t>)</w:t>
      </w:r>
      <w:r>
        <w:rPr>
          <w:rFonts w:ascii="Times New Roman" w:eastAsia="仿宋_GB2312" w:hAnsi="宋体" w:hint="eastAsia"/>
          <w:spacing w:val="-2"/>
          <w:sz w:val="32"/>
          <w:szCs w:val="24"/>
        </w:rPr>
        <w:t>；</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年运营费用</w:t>
      </w:r>
      <w:r w:rsidRPr="00470D69">
        <w:rPr>
          <w:rFonts w:ascii="Times New Roman" w:eastAsia="仿宋_GB2312" w:hAnsi="宋体"/>
          <w:spacing w:val="-2"/>
          <w:sz w:val="32"/>
          <w:szCs w:val="24"/>
        </w:rPr>
        <w:t>=300+5124.6</w:t>
      </w:r>
      <w:r w:rsidRPr="00470D69">
        <w:rPr>
          <w:rFonts w:ascii="Times New Roman" w:eastAsia="仿宋_GB2312" w:hAnsi="宋体"/>
          <w:spacing w:val="-2"/>
          <w:sz w:val="32"/>
          <w:szCs w:val="24"/>
        </w:rPr>
        <w:t>×</w:t>
      </w:r>
      <w:r w:rsidRPr="00470D69">
        <w:rPr>
          <w:rFonts w:ascii="Times New Roman" w:eastAsia="仿宋_GB2312" w:hAnsi="宋体"/>
          <w:spacing w:val="-2"/>
          <w:sz w:val="32"/>
          <w:szCs w:val="24"/>
        </w:rPr>
        <w:t>12%+5124.6</w:t>
      </w:r>
      <w:r w:rsidRPr="00470D69">
        <w:rPr>
          <w:rFonts w:ascii="Times New Roman" w:eastAsia="仿宋_GB2312" w:hAnsi="宋体"/>
          <w:spacing w:val="-2"/>
          <w:sz w:val="32"/>
          <w:szCs w:val="24"/>
        </w:rPr>
        <w:t>×</w:t>
      </w:r>
      <w:r w:rsidRPr="00470D69">
        <w:rPr>
          <w:rFonts w:ascii="Times New Roman" w:eastAsia="仿宋_GB2312" w:hAnsi="宋体"/>
          <w:spacing w:val="-2"/>
          <w:sz w:val="32"/>
          <w:szCs w:val="24"/>
        </w:rPr>
        <w:t>6%</w:t>
      </w:r>
    </w:p>
    <w:p w:rsidR="008B06DA" w:rsidRPr="00470D69" w:rsidRDefault="008B06DA" w:rsidP="008B06DA">
      <w:pPr>
        <w:autoSpaceDE w:val="0"/>
        <w:autoSpaceDN w:val="0"/>
        <w:adjustRightInd w:val="0"/>
        <w:snapToGrid w:val="0"/>
        <w:spacing w:line="588" w:lineRule="atLeast"/>
        <w:ind w:firstLineChars="800" w:firstLine="2528"/>
        <w:rPr>
          <w:rFonts w:ascii="Times New Roman" w:eastAsia="仿宋_GB2312" w:hAnsi="宋体"/>
          <w:spacing w:val="-2"/>
          <w:sz w:val="32"/>
          <w:szCs w:val="24"/>
        </w:rPr>
      </w:pPr>
      <w:r w:rsidRPr="00470D69">
        <w:rPr>
          <w:rFonts w:ascii="Times New Roman" w:eastAsia="仿宋_GB2312" w:hAnsi="宋体"/>
          <w:spacing w:val="-2"/>
          <w:sz w:val="32"/>
          <w:szCs w:val="24"/>
        </w:rPr>
        <w:t>=1222.428(</w:t>
      </w:r>
      <w:r w:rsidRPr="00470D69">
        <w:rPr>
          <w:rFonts w:ascii="Times New Roman" w:eastAsia="仿宋_GB2312" w:hAnsi="宋体"/>
          <w:spacing w:val="-2"/>
          <w:sz w:val="32"/>
          <w:szCs w:val="24"/>
        </w:rPr>
        <w:t>万元</w:t>
      </w:r>
      <w:r w:rsidRPr="00470D69">
        <w:rPr>
          <w:rFonts w:ascii="Times New Roman" w:eastAsia="仿宋_GB2312" w:hAnsi="宋体"/>
          <w:spacing w:val="-2"/>
          <w:sz w:val="32"/>
          <w:szCs w:val="24"/>
        </w:rPr>
        <w:t>)</w:t>
      </w:r>
      <w:r>
        <w:rPr>
          <w:rFonts w:ascii="Times New Roman" w:eastAsia="仿宋_GB2312" w:hAnsi="宋体" w:hint="eastAsia"/>
          <w:spacing w:val="-2"/>
          <w:sz w:val="32"/>
          <w:szCs w:val="24"/>
        </w:rPr>
        <w:t>；</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年收益</w:t>
      </w:r>
      <w:r w:rsidRPr="00470D69">
        <w:rPr>
          <w:rFonts w:ascii="Times New Roman" w:eastAsia="仿宋_GB2312" w:hAnsi="宋体"/>
          <w:spacing w:val="-2"/>
          <w:sz w:val="32"/>
          <w:szCs w:val="24"/>
        </w:rPr>
        <w:t>=5124.6-1222.428</w:t>
      </w:r>
    </w:p>
    <w:p w:rsidR="008B06DA" w:rsidRPr="00470D69" w:rsidRDefault="008B06DA" w:rsidP="008B06DA">
      <w:pPr>
        <w:autoSpaceDE w:val="0"/>
        <w:autoSpaceDN w:val="0"/>
        <w:adjustRightInd w:val="0"/>
        <w:snapToGrid w:val="0"/>
        <w:spacing w:line="588" w:lineRule="atLeast"/>
        <w:ind w:firstLineChars="600" w:firstLine="1896"/>
        <w:rPr>
          <w:rFonts w:ascii="Times New Roman" w:eastAsia="仿宋_GB2312" w:hAnsi="宋体"/>
          <w:spacing w:val="-2"/>
          <w:sz w:val="32"/>
          <w:szCs w:val="24"/>
        </w:rPr>
      </w:pPr>
      <w:r w:rsidRPr="00470D69">
        <w:rPr>
          <w:rFonts w:ascii="Times New Roman" w:eastAsia="仿宋_GB2312" w:hAnsi="宋体"/>
          <w:spacing w:val="-2"/>
          <w:sz w:val="32"/>
          <w:szCs w:val="24"/>
        </w:rPr>
        <w:t>=3902.172(</w:t>
      </w:r>
      <w:r w:rsidRPr="00470D69">
        <w:rPr>
          <w:rFonts w:ascii="Times New Roman" w:eastAsia="仿宋_GB2312" w:hAnsi="宋体"/>
          <w:spacing w:val="-2"/>
          <w:sz w:val="32"/>
          <w:szCs w:val="24"/>
        </w:rPr>
        <w:t>万元</w:t>
      </w:r>
      <w:r w:rsidRPr="00470D69">
        <w:rPr>
          <w:rFonts w:ascii="Times New Roman" w:eastAsia="仿宋_GB2312" w:hAnsi="宋体"/>
          <w:spacing w:val="-2"/>
          <w:sz w:val="32"/>
          <w:szCs w:val="24"/>
        </w:rPr>
        <w:t>)</w:t>
      </w:r>
      <w:r>
        <w:rPr>
          <w:rFonts w:ascii="Times New Roman" w:eastAsia="仿宋_GB2312" w:hAnsi="宋体" w:hint="eastAsia"/>
          <w:spacing w:val="-2"/>
          <w:sz w:val="32"/>
          <w:szCs w:val="24"/>
        </w:rPr>
        <w:t>；</w:t>
      </w:r>
    </w:p>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考虑评估对象所在市场的风险因素，取折现率为</w:t>
      </w:r>
      <w:r w:rsidRPr="00470D69">
        <w:rPr>
          <w:rFonts w:ascii="Times New Roman" w:eastAsia="仿宋_GB2312" w:hAnsi="宋体"/>
          <w:spacing w:val="-2"/>
          <w:sz w:val="32"/>
          <w:szCs w:val="24"/>
        </w:rPr>
        <w:t>9%</w:t>
      </w:r>
      <w:r>
        <w:rPr>
          <w:rFonts w:ascii="Times New Roman" w:eastAsia="仿宋_GB2312" w:hAnsi="宋体" w:hint="eastAsia"/>
          <w:spacing w:val="-2"/>
          <w:sz w:val="32"/>
          <w:szCs w:val="24"/>
        </w:rPr>
        <w:t>；</w:t>
      </w:r>
    </w:p>
    <w:p w:rsidR="00CB0D56"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不考虑租金及其他价格变动因素，收益期取</w:t>
      </w:r>
      <w:r w:rsidRPr="00470D69">
        <w:rPr>
          <w:rFonts w:ascii="Times New Roman" w:eastAsia="仿宋_GB2312" w:hAnsi="宋体"/>
          <w:spacing w:val="-2"/>
          <w:sz w:val="32"/>
          <w:szCs w:val="24"/>
        </w:rPr>
        <w:t>35</w:t>
      </w:r>
      <w:r w:rsidRPr="00470D69">
        <w:rPr>
          <w:rFonts w:ascii="Times New Roman" w:eastAsia="仿宋_GB2312" w:hAnsi="宋体"/>
          <w:spacing w:val="-2"/>
          <w:sz w:val="32"/>
          <w:szCs w:val="24"/>
        </w:rPr>
        <w:t>年，</w:t>
      </w:r>
      <w:r>
        <w:rPr>
          <w:rFonts w:ascii="Times New Roman" w:eastAsia="仿宋_GB2312" w:hAnsi="宋体" w:hint="eastAsia"/>
          <w:spacing w:val="-2"/>
          <w:sz w:val="32"/>
          <w:szCs w:val="24"/>
        </w:rPr>
        <w:t>则计算</w:t>
      </w:r>
      <w:r w:rsidRPr="00470D69">
        <w:rPr>
          <w:rFonts w:ascii="Times New Roman" w:eastAsia="仿宋_GB2312" w:hAnsi="宋体"/>
          <w:spacing w:val="-2"/>
          <w:sz w:val="32"/>
          <w:szCs w:val="24"/>
        </w:rPr>
        <w:t>评估值</w:t>
      </w:r>
      <w:r w:rsidR="00CB0D56">
        <w:rPr>
          <w:rFonts w:ascii="Times New Roman" w:eastAsia="仿宋_GB2312" w:hAnsi="宋体" w:hint="eastAsia"/>
          <w:spacing w:val="-2"/>
          <w:sz w:val="32"/>
          <w:szCs w:val="24"/>
        </w:rPr>
        <w:t>可</w:t>
      </w:r>
      <w:r>
        <w:rPr>
          <w:rFonts w:ascii="Times New Roman" w:eastAsia="仿宋_GB2312" w:hAnsi="宋体" w:hint="eastAsia"/>
          <w:spacing w:val="-2"/>
          <w:sz w:val="32"/>
          <w:szCs w:val="24"/>
        </w:rPr>
        <w:t>采用年金现值</w:t>
      </w:r>
      <w:r w:rsidRPr="00470D69">
        <w:rPr>
          <w:rFonts w:ascii="Times New Roman" w:eastAsia="仿宋_GB2312" w:hAnsi="宋体"/>
          <w:spacing w:val="-2"/>
          <w:sz w:val="32"/>
          <w:szCs w:val="24"/>
        </w:rPr>
        <w:t>计算公式</w:t>
      </w:r>
      <w:r w:rsidR="00CB0D56">
        <w:rPr>
          <w:rFonts w:ascii="Times New Roman" w:eastAsia="仿宋_GB2312" w:hAnsi="宋体" w:hint="eastAsia"/>
          <w:spacing w:val="-2"/>
          <w:sz w:val="32"/>
          <w:szCs w:val="24"/>
        </w:rPr>
        <w:t>：</w:t>
      </w:r>
    </w:p>
    <w:p w:rsidR="008B06DA" w:rsidRPr="00041804" w:rsidRDefault="00CB0D56" w:rsidP="00CB0D56">
      <w:pPr>
        <w:autoSpaceDE w:val="0"/>
        <w:autoSpaceDN w:val="0"/>
        <w:adjustRightInd w:val="0"/>
        <w:snapToGrid w:val="0"/>
        <w:spacing w:line="588" w:lineRule="atLeast"/>
        <w:ind w:firstLineChars="200" w:firstLine="632"/>
        <w:rPr>
          <w:rFonts w:cs="Calibri"/>
          <w:sz w:val="24"/>
          <w:szCs w:val="24"/>
        </w:rPr>
      </w:pPr>
      <w:r>
        <w:rPr>
          <w:rFonts w:ascii="Times New Roman" w:eastAsia="仿宋_GB2312" w:hAnsi="宋体" w:hint="eastAsia"/>
          <w:spacing w:val="-2"/>
          <w:sz w:val="32"/>
          <w:szCs w:val="24"/>
        </w:rPr>
        <w:lastRenderedPageBreak/>
        <w:t xml:space="preserve"> </w:t>
      </w:r>
      <w:r w:rsidR="008B7C79">
        <w:rPr>
          <w:rFonts w:ascii="Times New Roman" w:eastAsia="仿宋_GB2312" w:hAnsi="宋体" w:hint="eastAsia"/>
          <w:spacing w:val="-2"/>
          <w:sz w:val="32"/>
          <w:szCs w:val="24"/>
        </w:rPr>
        <w:t xml:space="preserve">         </w:t>
      </w:r>
      <w:r w:rsidR="008B06DA" w:rsidRPr="00041804">
        <w:rPr>
          <w:rFonts w:cs="Calibri"/>
          <w:position w:val="-32"/>
          <w:sz w:val="24"/>
          <w:szCs w:val="24"/>
        </w:rPr>
        <w:object w:dxaOrig="31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45.75pt" o:ole="">
            <v:imagedata r:id="rId8" o:title=""/>
          </v:shape>
          <o:OLEObject Type="Embed" ProgID="Equation.3" ShapeID="_x0000_i1025" DrawAspect="Content" ObjectID="_1442749096" r:id="rId9"/>
        </w:object>
      </w:r>
    </w:p>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式中，</w:t>
      </w:r>
      <w:r w:rsidRPr="00470D69">
        <w:rPr>
          <w:rFonts w:ascii="Times New Roman" w:eastAsia="仿宋_GB2312" w:hAnsi="宋体"/>
          <w:spacing w:val="-2"/>
          <w:sz w:val="32"/>
          <w:szCs w:val="24"/>
        </w:rPr>
        <w:t>V</w:t>
      </w:r>
      <w:r w:rsidRPr="00470D69">
        <w:rPr>
          <w:rFonts w:ascii="Times New Roman" w:eastAsia="仿宋_GB2312" w:hAnsi="宋体"/>
          <w:spacing w:val="-2"/>
          <w:sz w:val="32"/>
          <w:szCs w:val="24"/>
        </w:rPr>
        <w:t>为评估值，</w:t>
      </w:r>
      <w:r w:rsidRPr="00470D69">
        <w:rPr>
          <w:rFonts w:ascii="Times New Roman" w:eastAsia="仿宋_GB2312" w:hAnsi="宋体"/>
          <w:spacing w:val="-2"/>
          <w:sz w:val="32"/>
          <w:szCs w:val="24"/>
        </w:rPr>
        <w:t>A</w:t>
      </w:r>
      <w:r w:rsidRPr="00470D69">
        <w:rPr>
          <w:rFonts w:ascii="Times New Roman" w:eastAsia="仿宋_GB2312" w:hAnsi="宋体"/>
          <w:spacing w:val="-2"/>
          <w:sz w:val="32"/>
          <w:szCs w:val="24"/>
        </w:rPr>
        <w:t>为年收益，</w:t>
      </w:r>
      <w:r w:rsidRPr="00470D69">
        <w:rPr>
          <w:rFonts w:ascii="Times New Roman" w:eastAsia="仿宋_GB2312" w:hAnsi="宋体"/>
          <w:spacing w:val="-2"/>
          <w:sz w:val="32"/>
          <w:szCs w:val="24"/>
        </w:rPr>
        <w:t>r</w:t>
      </w:r>
      <w:r w:rsidRPr="00470D69">
        <w:rPr>
          <w:rFonts w:ascii="Times New Roman" w:eastAsia="仿宋_GB2312" w:hAnsi="宋体"/>
          <w:spacing w:val="-2"/>
          <w:sz w:val="32"/>
          <w:szCs w:val="24"/>
        </w:rPr>
        <w:t>为折现率，</w:t>
      </w:r>
      <w:r w:rsidRPr="00470D69">
        <w:rPr>
          <w:rFonts w:ascii="Times New Roman" w:eastAsia="仿宋_GB2312" w:hAnsi="宋体"/>
          <w:spacing w:val="-2"/>
          <w:sz w:val="32"/>
          <w:szCs w:val="24"/>
        </w:rPr>
        <w:t>n</w:t>
      </w:r>
      <w:r w:rsidRPr="00470D69">
        <w:rPr>
          <w:rFonts w:ascii="Times New Roman" w:eastAsia="仿宋_GB2312" w:hAnsi="宋体"/>
          <w:spacing w:val="-2"/>
          <w:sz w:val="32"/>
          <w:szCs w:val="24"/>
        </w:rPr>
        <w:t>为收益期</w:t>
      </w:r>
      <w:r>
        <w:rPr>
          <w:rFonts w:ascii="Times New Roman" w:eastAsia="仿宋_GB2312" w:hAnsi="宋体" w:hint="eastAsia"/>
          <w:spacing w:val="-2"/>
          <w:sz w:val="32"/>
          <w:szCs w:val="24"/>
        </w:rPr>
        <w:t>；</w:t>
      </w:r>
    </w:p>
    <w:p w:rsidR="008B06DA" w:rsidRPr="00041804" w:rsidRDefault="008B06DA" w:rsidP="00C5132C">
      <w:pPr>
        <w:autoSpaceDE w:val="0"/>
        <w:autoSpaceDN w:val="0"/>
        <w:adjustRightInd w:val="0"/>
        <w:snapToGrid w:val="0"/>
        <w:spacing w:line="588" w:lineRule="atLeast"/>
        <w:ind w:firstLineChars="650" w:firstLine="1560"/>
        <w:rPr>
          <w:rFonts w:cs="Calibri"/>
          <w:sz w:val="24"/>
          <w:szCs w:val="24"/>
        </w:rPr>
      </w:pPr>
      <w:r w:rsidRPr="00041804">
        <w:rPr>
          <w:rFonts w:cs="Calibri"/>
          <w:position w:val="-32"/>
          <w:sz w:val="24"/>
          <w:szCs w:val="24"/>
        </w:rPr>
        <w:object w:dxaOrig="4880" w:dyaOrig="760">
          <v:shape id="_x0000_i1026" type="#_x0000_t75" style="width:289.5pt;height:45.75pt" o:ole="">
            <v:imagedata r:id="rId10" o:title=""/>
          </v:shape>
          <o:OLEObject Type="Embed" ProgID="Equation.3" ShapeID="_x0000_i1026" DrawAspect="Content" ObjectID="_1442749097" r:id="rId11"/>
        </w:object>
      </w:r>
    </w:p>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二、敏感性分析</w:t>
      </w:r>
    </w:p>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（一）识别敏感性</w:t>
      </w:r>
      <w:r>
        <w:rPr>
          <w:rFonts w:ascii="Times New Roman" w:eastAsia="仿宋_GB2312" w:hAnsi="宋体" w:hint="eastAsia"/>
          <w:spacing w:val="-2"/>
          <w:sz w:val="32"/>
          <w:szCs w:val="24"/>
        </w:rPr>
        <w:t>因素</w:t>
      </w:r>
    </w:p>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首先根据实际情况，充分考虑各主要评估参数的经济意义，对主要评估参数进行分析筛选。在上述评估参数中，可出租面积、各种税率</w:t>
      </w:r>
      <w:r>
        <w:rPr>
          <w:rFonts w:ascii="Times New Roman" w:eastAsia="仿宋_GB2312" w:hAnsi="宋体" w:hint="eastAsia"/>
          <w:spacing w:val="-2"/>
          <w:sz w:val="32"/>
          <w:szCs w:val="24"/>
        </w:rPr>
        <w:t>和</w:t>
      </w:r>
      <w:r w:rsidRPr="00470D69">
        <w:rPr>
          <w:rFonts w:ascii="Times New Roman" w:eastAsia="仿宋_GB2312" w:hAnsi="宋体"/>
          <w:spacing w:val="-2"/>
          <w:sz w:val="32"/>
          <w:szCs w:val="24"/>
        </w:rPr>
        <w:t>收益期</w:t>
      </w:r>
      <w:r>
        <w:rPr>
          <w:rFonts w:ascii="Times New Roman" w:eastAsia="仿宋_GB2312" w:hAnsi="宋体" w:hint="eastAsia"/>
          <w:spacing w:val="-2"/>
          <w:sz w:val="32"/>
          <w:szCs w:val="24"/>
        </w:rPr>
        <w:t>的</w:t>
      </w:r>
      <w:r w:rsidRPr="00470D69">
        <w:rPr>
          <w:rFonts w:ascii="Times New Roman" w:eastAsia="仿宋_GB2312" w:hAnsi="宋体"/>
          <w:spacing w:val="-2"/>
          <w:sz w:val="32"/>
          <w:szCs w:val="24"/>
        </w:rPr>
        <w:t>确定</w:t>
      </w:r>
      <w:r>
        <w:rPr>
          <w:rFonts w:ascii="Times New Roman" w:eastAsia="仿宋_GB2312" w:hAnsi="宋体" w:hint="eastAsia"/>
          <w:spacing w:val="-2"/>
          <w:sz w:val="32"/>
          <w:szCs w:val="24"/>
        </w:rPr>
        <w:t>性较强，而</w:t>
      </w:r>
      <w:r w:rsidRPr="00470D69">
        <w:rPr>
          <w:rFonts w:ascii="Times New Roman" w:eastAsia="仿宋_GB2312" w:hAnsi="宋体"/>
          <w:spacing w:val="-2"/>
          <w:sz w:val="32"/>
          <w:szCs w:val="24"/>
        </w:rPr>
        <w:t>租金水平</w:t>
      </w:r>
      <w:r>
        <w:rPr>
          <w:rFonts w:ascii="Times New Roman" w:eastAsia="仿宋_GB2312" w:hAnsi="宋体" w:hint="eastAsia"/>
          <w:spacing w:val="-2"/>
          <w:sz w:val="32"/>
          <w:szCs w:val="24"/>
        </w:rPr>
        <w:t>、</w:t>
      </w:r>
      <w:r w:rsidRPr="00470D69">
        <w:rPr>
          <w:rFonts w:ascii="Times New Roman" w:eastAsia="仿宋_GB2312" w:hAnsi="宋体"/>
          <w:spacing w:val="-2"/>
          <w:sz w:val="32"/>
          <w:szCs w:val="24"/>
        </w:rPr>
        <w:t>空置率</w:t>
      </w:r>
      <w:r>
        <w:rPr>
          <w:rFonts w:ascii="Times New Roman" w:eastAsia="仿宋_GB2312" w:hAnsi="宋体" w:hint="eastAsia"/>
          <w:spacing w:val="-2"/>
          <w:sz w:val="32"/>
          <w:szCs w:val="24"/>
        </w:rPr>
        <w:t>、</w:t>
      </w:r>
      <w:r w:rsidRPr="00470D69">
        <w:rPr>
          <w:rFonts w:ascii="Times New Roman" w:eastAsia="仿宋_GB2312" w:hAnsi="宋体"/>
          <w:spacing w:val="-2"/>
          <w:sz w:val="32"/>
          <w:szCs w:val="24"/>
        </w:rPr>
        <w:t>日常费用和折现率的估计存在一定的不确定性，</w:t>
      </w:r>
      <w:r>
        <w:rPr>
          <w:rFonts w:ascii="Times New Roman" w:eastAsia="仿宋_GB2312" w:hAnsi="宋体" w:hint="eastAsia"/>
          <w:spacing w:val="-2"/>
          <w:sz w:val="32"/>
          <w:szCs w:val="24"/>
        </w:rPr>
        <w:t>作</w:t>
      </w:r>
      <w:r w:rsidRPr="00470D69">
        <w:rPr>
          <w:rFonts w:ascii="Times New Roman" w:eastAsia="仿宋_GB2312" w:hAnsi="宋体"/>
          <w:spacing w:val="-2"/>
          <w:sz w:val="32"/>
          <w:szCs w:val="24"/>
        </w:rPr>
        <w:t>为考察对象。</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对各参数分别取</w:t>
      </w:r>
      <w:r w:rsidRPr="00470D69">
        <w:rPr>
          <w:rFonts w:ascii="Times New Roman" w:eastAsia="仿宋_GB2312" w:hAnsi="宋体"/>
          <w:spacing w:val="-2"/>
          <w:sz w:val="32"/>
          <w:szCs w:val="24"/>
        </w:rPr>
        <w:t>±</w:t>
      </w:r>
      <w:r w:rsidRPr="00470D69">
        <w:rPr>
          <w:rFonts w:ascii="Times New Roman" w:eastAsia="仿宋_GB2312" w:hAnsi="宋体"/>
          <w:spacing w:val="-2"/>
          <w:sz w:val="32"/>
          <w:szCs w:val="24"/>
        </w:rPr>
        <w:t>5%</w:t>
      </w:r>
      <w:r w:rsidRPr="00470D69">
        <w:rPr>
          <w:rFonts w:ascii="Times New Roman" w:eastAsia="仿宋_GB2312" w:hAnsi="宋体"/>
          <w:spacing w:val="-2"/>
          <w:sz w:val="32"/>
          <w:szCs w:val="24"/>
        </w:rPr>
        <w:t>、</w:t>
      </w:r>
      <w:r w:rsidRPr="00470D69">
        <w:rPr>
          <w:rFonts w:ascii="Times New Roman" w:eastAsia="仿宋_GB2312" w:hAnsi="宋体"/>
          <w:spacing w:val="-2"/>
          <w:sz w:val="32"/>
          <w:szCs w:val="24"/>
        </w:rPr>
        <w:t>±</w:t>
      </w:r>
      <w:r w:rsidRPr="00470D69">
        <w:rPr>
          <w:rFonts w:ascii="Times New Roman" w:eastAsia="仿宋_GB2312" w:hAnsi="宋体"/>
          <w:spacing w:val="-2"/>
          <w:sz w:val="32"/>
          <w:szCs w:val="24"/>
        </w:rPr>
        <w:t>10%</w:t>
      </w:r>
      <w:r w:rsidRPr="00470D69">
        <w:rPr>
          <w:rFonts w:ascii="Times New Roman" w:eastAsia="仿宋_GB2312" w:hAnsi="宋体"/>
          <w:spacing w:val="-2"/>
          <w:sz w:val="32"/>
          <w:szCs w:val="24"/>
        </w:rPr>
        <w:t>的相对变动幅度，计算各</w:t>
      </w:r>
      <w:r>
        <w:rPr>
          <w:rFonts w:ascii="Times New Roman" w:eastAsia="仿宋_GB2312" w:hAnsi="宋体" w:hint="eastAsia"/>
          <w:spacing w:val="-2"/>
          <w:sz w:val="32"/>
          <w:szCs w:val="24"/>
        </w:rPr>
        <w:t>种变动情况下的评估值、评估值变动率，得到各参数的</w:t>
      </w:r>
      <w:r w:rsidRPr="00470D69">
        <w:rPr>
          <w:rFonts w:ascii="Times New Roman" w:eastAsia="仿宋_GB2312" w:hAnsi="宋体"/>
          <w:spacing w:val="-2"/>
          <w:sz w:val="32"/>
          <w:szCs w:val="24"/>
        </w:rPr>
        <w:t>敏感性系数</w:t>
      </w:r>
      <w:r>
        <w:rPr>
          <w:rFonts w:ascii="Times New Roman" w:eastAsia="仿宋_GB2312" w:hAnsi="宋体" w:hint="eastAsia"/>
          <w:spacing w:val="-2"/>
          <w:sz w:val="32"/>
          <w:szCs w:val="24"/>
        </w:rPr>
        <w:t>，</w:t>
      </w:r>
      <w:r w:rsidRPr="00470D69">
        <w:rPr>
          <w:rFonts w:ascii="Times New Roman" w:eastAsia="仿宋_GB2312" w:hAnsi="宋体"/>
          <w:spacing w:val="-2"/>
          <w:sz w:val="32"/>
          <w:szCs w:val="24"/>
        </w:rPr>
        <w:t>如下表</w:t>
      </w:r>
      <w:r w:rsidR="001151C0">
        <w:rPr>
          <w:rFonts w:ascii="Times New Roman" w:eastAsia="仿宋_GB2312" w:hAnsi="宋体" w:hint="eastAsia"/>
          <w:spacing w:val="-2"/>
          <w:sz w:val="32"/>
          <w:szCs w:val="24"/>
        </w:rPr>
        <w:t>所示：</w:t>
      </w:r>
    </w:p>
    <w:p w:rsidR="00963EF3" w:rsidRDefault="00963EF3"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p>
    <w:tbl>
      <w:tblPr>
        <w:tblW w:w="8280" w:type="dxa"/>
        <w:tblInd w:w="93" w:type="dxa"/>
        <w:tblLook w:val="04A0" w:firstRow="1" w:lastRow="0" w:firstColumn="1" w:lastColumn="0" w:noHBand="0" w:noVBand="1"/>
      </w:tblPr>
      <w:tblGrid>
        <w:gridCol w:w="1516"/>
        <w:gridCol w:w="1400"/>
        <w:gridCol w:w="1240"/>
        <w:gridCol w:w="96"/>
        <w:gridCol w:w="1144"/>
        <w:gridCol w:w="192"/>
        <w:gridCol w:w="1048"/>
        <w:gridCol w:w="288"/>
        <w:gridCol w:w="972"/>
        <w:gridCol w:w="384"/>
      </w:tblGrid>
      <w:tr w:rsidR="008B06DA" w:rsidRPr="00AD5D81" w:rsidTr="00D83BE4">
        <w:trPr>
          <w:trHeight w:val="270"/>
        </w:trPr>
        <w:tc>
          <w:tcPr>
            <w:tcW w:w="8280" w:type="dxa"/>
            <w:gridSpan w:val="10"/>
            <w:tcBorders>
              <w:top w:val="nil"/>
              <w:left w:val="nil"/>
              <w:bottom w:val="single" w:sz="4" w:space="0" w:color="auto"/>
              <w:right w:val="nil"/>
            </w:tcBorders>
            <w:shd w:val="clear" w:color="auto" w:fill="auto"/>
            <w:noWrap/>
            <w:vAlign w:val="center"/>
            <w:hideMark/>
          </w:tcPr>
          <w:p w:rsidR="008B06DA" w:rsidRPr="00041804" w:rsidRDefault="008B06DA" w:rsidP="0035003C">
            <w:pPr>
              <w:widowControl/>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各参数分别变动下的评估值（万元）</w:t>
            </w:r>
          </w:p>
        </w:tc>
      </w:tr>
      <w:tr w:rsidR="008B06DA" w:rsidRPr="00041804" w:rsidTr="00D83BE4">
        <w:trPr>
          <w:trHeight w:val="270"/>
        </w:trPr>
        <w:tc>
          <w:tcPr>
            <w:tcW w:w="15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8B06DA" w:rsidRPr="007D7FEA" w:rsidRDefault="008B06DA" w:rsidP="0035003C">
            <w:pPr>
              <w:widowControl/>
              <w:jc w:val="left"/>
              <w:rPr>
                <w:rFonts w:ascii="Times New Roman" w:eastAsia="仿宋_GB2312" w:hAnsi="Times New Roman"/>
                <w:color w:val="000000"/>
                <w:kern w:val="0"/>
                <w:sz w:val="28"/>
                <w:szCs w:val="28"/>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-10%</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-5%</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0%</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5%</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10%</w:t>
            </w:r>
          </w:p>
        </w:tc>
      </w:tr>
      <w:tr w:rsidR="008B06DA" w:rsidRPr="00041804" w:rsidTr="00D83BE4">
        <w:trPr>
          <w:trHeight w:val="27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租金</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36,793.19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39,013.37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41,233.55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43,453.73 </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45,673.92 </w:t>
            </w:r>
          </w:p>
        </w:tc>
      </w:tr>
      <w:tr w:rsidR="008B06DA" w:rsidRPr="00041804" w:rsidTr="00D83BE4">
        <w:trPr>
          <w:trHeight w:val="27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空置率</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41,726.93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41,480.24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41,233.55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40,986.87 </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40,740.18 </w:t>
            </w:r>
          </w:p>
        </w:tc>
      </w:tr>
      <w:tr w:rsidR="008B06DA" w:rsidRPr="00041804" w:rsidTr="00D83BE4">
        <w:trPr>
          <w:trHeight w:val="27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日常费用</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41,550.56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41,392.06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41,233.55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41,075.05 </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40,916.55 </w:t>
            </w:r>
          </w:p>
        </w:tc>
      </w:tr>
      <w:tr w:rsidR="008B06DA" w:rsidRPr="00041804" w:rsidTr="007D7FEA">
        <w:trPr>
          <w:trHeight w:val="27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折现率</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45,020.52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43,055.42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41,233.55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39,541.68 </w:t>
            </w: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 xml:space="preserve">37,967.93 </w:t>
            </w:r>
          </w:p>
        </w:tc>
      </w:tr>
      <w:tr w:rsidR="008B06DA" w:rsidRPr="00AD5D81" w:rsidTr="007D7FEA">
        <w:trPr>
          <w:gridAfter w:val="1"/>
          <w:wAfter w:w="384" w:type="dxa"/>
          <w:trHeight w:val="660"/>
        </w:trPr>
        <w:tc>
          <w:tcPr>
            <w:tcW w:w="7896" w:type="dxa"/>
            <w:gridSpan w:val="9"/>
            <w:tcBorders>
              <w:top w:val="single" w:sz="4" w:space="0" w:color="auto"/>
              <w:left w:val="nil"/>
              <w:bottom w:val="single" w:sz="4" w:space="0" w:color="FFFFFF" w:themeColor="background1"/>
              <w:right w:val="nil"/>
            </w:tcBorders>
            <w:shd w:val="clear" w:color="auto" w:fill="auto"/>
            <w:noWrap/>
            <w:vAlign w:val="center"/>
            <w:hideMark/>
          </w:tcPr>
          <w:p w:rsidR="008B06DA" w:rsidRPr="00041804" w:rsidRDefault="008B06DA" w:rsidP="00D83BE4">
            <w:pPr>
              <w:widowControl/>
              <w:ind w:firstLineChars="550" w:firstLine="1540"/>
              <w:rPr>
                <w:rFonts w:ascii="Times New Roman" w:eastAsia="仿宋_GB2312" w:hAnsi="Times New Roman"/>
                <w:color w:val="000000"/>
                <w:kern w:val="0"/>
                <w:sz w:val="28"/>
                <w:szCs w:val="28"/>
              </w:rPr>
            </w:pPr>
          </w:p>
        </w:tc>
      </w:tr>
      <w:tr w:rsidR="007D7FEA" w:rsidRPr="00AD5D81" w:rsidTr="007D7FEA">
        <w:trPr>
          <w:gridAfter w:val="1"/>
          <w:wAfter w:w="384" w:type="dxa"/>
          <w:trHeight w:val="618"/>
        </w:trPr>
        <w:tc>
          <w:tcPr>
            <w:tcW w:w="7896" w:type="dxa"/>
            <w:gridSpan w:val="9"/>
            <w:tcBorders>
              <w:top w:val="single" w:sz="4" w:space="0" w:color="FFFFFF" w:themeColor="background1"/>
              <w:left w:val="nil"/>
              <w:bottom w:val="single" w:sz="4" w:space="0" w:color="auto"/>
              <w:right w:val="nil"/>
            </w:tcBorders>
            <w:shd w:val="clear" w:color="auto" w:fill="auto"/>
            <w:noWrap/>
            <w:vAlign w:val="center"/>
          </w:tcPr>
          <w:p w:rsidR="007D7FEA" w:rsidRDefault="007D7FEA" w:rsidP="00D83BE4">
            <w:pPr>
              <w:ind w:firstLineChars="550" w:firstLine="1540"/>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lastRenderedPageBreak/>
              <w:t>各参数分别变动下的评估值变动率</w:t>
            </w:r>
          </w:p>
        </w:tc>
      </w:tr>
      <w:tr w:rsidR="008B06DA" w:rsidRPr="00AD5D81" w:rsidTr="00D83BE4">
        <w:trPr>
          <w:gridAfter w:val="1"/>
          <w:wAfter w:w="384" w:type="dxa"/>
          <w:trHeight w:val="270"/>
        </w:trPr>
        <w:tc>
          <w:tcPr>
            <w:tcW w:w="15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-5%</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10%</w:t>
            </w:r>
          </w:p>
        </w:tc>
      </w:tr>
      <w:tr w:rsidR="008B06DA" w:rsidRPr="00AD5D81" w:rsidTr="00D83BE4">
        <w:trPr>
          <w:gridAfter w:val="1"/>
          <w:wAfter w:w="384" w:type="dxa"/>
          <w:trHeight w:val="27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租金</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-10.77%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-5.38%</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0.00%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5.38%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10.77%</w:t>
            </w:r>
          </w:p>
        </w:tc>
      </w:tr>
      <w:tr w:rsidR="008B06DA" w:rsidRPr="00AD5D81" w:rsidTr="00D83BE4">
        <w:trPr>
          <w:gridAfter w:val="1"/>
          <w:wAfter w:w="384" w:type="dxa"/>
          <w:trHeight w:val="27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空置率</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1.20%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0.60%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0.00%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-0.60%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-1.20%</w:t>
            </w:r>
          </w:p>
        </w:tc>
      </w:tr>
      <w:tr w:rsidR="008B06DA" w:rsidRPr="00AD5D81" w:rsidTr="00D83BE4">
        <w:trPr>
          <w:gridAfter w:val="1"/>
          <w:wAfter w:w="384" w:type="dxa"/>
          <w:trHeight w:val="27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日常费用</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0.77%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0.38%</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0.00%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-0.38%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-0.77%</w:t>
            </w:r>
          </w:p>
        </w:tc>
      </w:tr>
      <w:tr w:rsidR="008B06DA" w:rsidRPr="00AD5D81" w:rsidTr="00D83BE4">
        <w:trPr>
          <w:gridAfter w:val="1"/>
          <w:wAfter w:w="384" w:type="dxa"/>
          <w:trHeight w:val="27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折现率</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9.18%</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4.42%</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0.00%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-4.10%</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-7.92%</w:t>
            </w:r>
          </w:p>
        </w:tc>
      </w:tr>
    </w:tbl>
    <w:p w:rsidR="008B06DA" w:rsidRPr="00AD5D81" w:rsidRDefault="008B06DA" w:rsidP="008B06DA">
      <w:pPr>
        <w:widowControl/>
        <w:adjustRightInd w:val="0"/>
        <w:snapToGrid w:val="0"/>
        <w:jc w:val="center"/>
        <w:rPr>
          <w:rFonts w:ascii="Times New Roman" w:eastAsia="仿宋_GB2312" w:hAnsi="Times New Roman"/>
          <w:color w:val="000000"/>
          <w:kern w:val="0"/>
          <w:sz w:val="28"/>
          <w:szCs w:val="28"/>
        </w:rPr>
      </w:pPr>
    </w:p>
    <w:tbl>
      <w:tblPr>
        <w:tblW w:w="7876" w:type="dxa"/>
        <w:tblInd w:w="93" w:type="dxa"/>
        <w:tblLook w:val="04A0" w:firstRow="1" w:lastRow="0" w:firstColumn="1" w:lastColumn="0" w:noHBand="0" w:noVBand="1"/>
      </w:tblPr>
      <w:tblGrid>
        <w:gridCol w:w="1516"/>
        <w:gridCol w:w="1400"/>
        <w:gridCol w:w="1240"/>
        <w:gridCol w:w="1240"/>
        <w:gridCol w:w="1240"/>
        <w:gridCol w:w="1240"/>
      </w:tblGrid>
      <w:tr w:rsidR="008B06DA" w:rsidRPr="00AD5D81" w:rsidTr="0035003C">
        <w:trPr>
          <w:trHeight w:val="270"/>
        </w:trPr>
        <w:tc>
          <w:tcPr>
            <w:tcW w:w="7876" w:type="dxa"/>
            <w:gridSpan w:val="6"/>
            <w:tcBorders>
              <w:top w:val="nil"/>
              <w:left w:val="nil"/>
              <w:bottom w:val="single" w:sz="4" w:space="0" w:color="auto"/>
              <w:right w:val="nil"/>
            </w:tcBorders>
            <w:shd w:val="clear" w:color="auto" w:fill="auto"/>
            <w:noWrap/>
            <w:vAlign w:val="center"/>
            <w:hideMark/>
          </w:tcPr>
          <w:p w:rsidR="008B06DA" w:rsidRPr="00041804" w:rsidRDefault="008B06DA" w:rsidP="0035003C">
            <w:pPr>
              <w:widowControl/>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各参数的敏感性系数</w:t>
            </w:r>
          </w:p>
        </w:tc>
      </w:tr>
      <w:tr w:rsidR="008B06DA" w:rsidRPr="00AD5D81" w:rsidTr="0035003C">
        <w:trPr>
          <w:trHeight w:val="270"/>
        </w:trPr>
        <w:tc>
          <w:tcPr>
            <w:tcW w:w="151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10%</w:t>
            </w:r>
          </w:p>
        </w:tc>
      </w:tr>
      <w:tr w:rsidR="008B06DA" w:rsidRPr="00AD5D81" w:rsidTr="0035003C">
        <w:trPr>
          <w:trHeight w:val="27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租金</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107.69%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107.69%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center"/>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107.69%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107.69%</w:t>
            </w:r>
          </w:p>
        </w:tc>
      </w:tr>
      <w:tr w:rsidR="008B06DA" w:rsidRPr="00AD5D81" w:rsidTr="0035003C">
        <w:trPr>
          <w:trHeight w:val="27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空置率</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-11.97%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-11.97%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center"/>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-11.97%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-11.97%</w:t>
            </w:r>
          </w:p>
        </w:tc>
      </w:tr>
      <w:tr w:rsidR="008B06DA" w:rsidRPr="00AD5D81" w:rsidTr="0035003C">
        <w:trPr>
          <w:trHeight w:val="27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日常费用</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-7.69%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-7.69%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center"/>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-7.69%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-7.69%</w:t>
            </w:r>
          </w:p>
        </w:tc>
      </w:tr>
      <w:tr w:rsidR="008B06DA" w:rsidRPr="00AD5D81" w:rsidTr="0035003C">
        <w:trPr>
          <w:trHeight w:val="27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折现率</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-91.84%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-88.37%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center"/>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-82.06%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-79.20%</w:t>
            </w:r>
          </w:p>
        </w:tc>
      </w:tr>
    </w:tbl>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hint="eastAsia"/>
          <w:spacing w:val="-2"/>
          <w:sz w:val="32"/>
          <w:szCs w:val="24"/>
        </w:rPr>
        <w:t>从上表中可看出，租金的敏感性系数最大，折现率的敏感性系数次之，空置率和日常费用的敏感性系数较小。因此，将租金和折现率确定为敏感性</w:t>
      </w:r>
      <w:r>
        <w:rPr>
          <w:rFonts w:ascii="Times New Roman" w:eastAsia="仿宋_GB2312" w:hAnsi="宋体" w:hint="eastAsia"/>
          <w:spacing w:val="-2"/>
          <w:sz w:val="32"/>
          <w:szCs w:val="24"/>
        </w:rPr>
        <w:t>因素</w:t>
      </w:r>
      <w:r w:rsidRPr="00470D69">
        <w:rPr>
          <w:rFonts w:ascii="Times New Roman" w:eastAsia="仿宋_GB2312" w:hAnsi="宋体" w:hint="eastAsia"/>
          <w:spacing w:val="-2"/>
          <w:sz w:val="32"/>
          <w:szCs w:val="24"/>
        </w:rPr>
        <w:t>。</w:t>
      </w:r>
    </w:p>
    <w:p w:rsidR="008B06DA" w:rsidRPr="00470D69" w:rsidRDefault="008B06DA" w:rsidP="000543C2">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hint="eastAsia"/>
          <w:spacing w:val="-2"/>
          <w:sz w:val="32"/>
          <w:szCs w:val="24"/>
        </w:rPr>
        <w:t>（二）</w:t>
      </w:r>
      <w:r w:rsidRPr="00470D69">
        <w:rPr>
          <w:rFonts w:ascii="Times New Roman" w:eastAsia="仿宋_GB2312" w:hAnsi="宋体"/>
          <w:spacing w:val="-2"/>
          <w:sz w:val="32"/>
          <w:szCs w:val="24"/>
        </w:rPr>
        <w:t>计算敏感性</w:t>
      </w:r>
      <w:r>
        <w:rPr>
          <w:rFonts w:ascii="Times New Roman" w:eastAsia="仿宋_GB2312" w:hAnsi="宋体" w:hint="eastAsia"/>
          <w:spacing w:val="-2"/>
          <w:sz w:val="32"/>
          <w:szCs w:val="24"/>
        </w:rPr>
        <w:t>因素</w:t>
      </w:r>
      <w:r w:rsidRPr="00470D69">
        <w:rPr>
          <w:rFonts w:ascii="Times New Roman" w:eastAsia="仿宋_GB2312" w:hAnsi="宋体"/>
          <w:spacing w:val="-2"/>
          <w:sz w:val="32"/>
          <w:szCs w:val="24"/>
        </w:rPr>
        <w:t>变动情况下的评估</w:t>
      </w:r>
      <w:r>
        <w:rPr>
          <w:rFonts w:ascii="Times New Roman" w:eastAsia="仿宋_GB2312" w:hAnsi="宋体" w:hint="eastAsia"/>
          <w:spacing w:val="-2"/>
          <w:sz w:val="32"/>
          <w:szCs w:val="24"/>
        </w:rPr>
        <w:t>值</w:t>
      </w:r>
      <w:r w:rsidRPr="00470D69">
        <w:rPr>
          <w:rFonts w:ascii="Times New Roman" w:eastAsia="仿宋_GB2312" w:hAnsi="宋体"/>
          <w:spacing w:val="-2"/>
          <w:sz w:val="32"/>
          <w:szCs w:val="24"/>
        </w:rPr>
        <w:t>取值区间</w:t>
      </w:r>
      <w:r w:rsidR="00586C1D">
        <w:rPr>
          <w:rFonts w:ascii="Times New Roman" w:eastAsia="仿宋_GB2312" w:hAnsi="宋体" w:hint="eastAsia"/>
          <w:spacing w:val="-2"/>
          <w:sz w:val="32"/>
          <w:szCs w:val="24"/>
        </w:rPr>
        <w:t>，</w:t>
      </w:r>
      <w:r>
        <w:rPr>
          <w:rFonts w:ascii="Times New Roman" w:eastAsia="仿宋_GB2312" w:hAnsi="宋体" w:hint="eastAsia"/>
          <w:spacing w:val="-2"/>
          <w:sz w:val="32"/>
          <w:szCs w:val="24"/>
        </w:rPr>
        <w:t>计算结果如下表：</w:t>
      </w:r>
    </w:p>
    <w:tbl>
      <w:tblPr>
        <w:tblW w:w="8248" w:type="dxa"/>
        <w:tblInd w:w="93" w:type="dxa"/>
        <w:tblLook w:val="04A0" w:firstRow="1" w:lastRow="0" w:firstColumn="1" w:lastColumn="0" w:noHBand="0" w:noVBand="1"/>
      </w:tblPr>
      <w:tblGrid>
        <w:gridCol w:w="736"/>
        <w:gridCol w:w="721"/>
        <w:gridCol w:w="1358"/>
        <w:gridCol w:w="1358"/>
        <w:gridCol w:w="1358"/>
        <w:gridCol w:w="1358"/>
        <w:gridCol w:w="1359"/>
      </w:tblGrid>
      <w:tr w:rsidR="008B06DA" w:rsidRPr="00AD5D81" w:rsidTr="007D7FEA">
        <w:trPr>
          <w:trHeight w:val="2520"/>
        </w:trPr>
        <w:tc>
          <w:tcPr>
            <w:tcW w:w="8248" w:type="dxa"/>
            <w:gridSpan w:val="7"/>
            <w:tcBorders>
              <w:top w:val="single" w:sz="4" w:space="0" w:color="FFFFFF" w:themeColor="background1"/>
              <w:left w:val="nil"/>
              <w:bottom w:val="single" w:sz="4" w:space="0" w:color="FFFFFF" w:themeColor="background1"/>
              <w:right w:val="nil"/>
            </w:tcBorders>
          </w:tcPr>
          <w:p w:rsidR="0078217C" w:rsidRDefault="0078217C" w:rsidP="00D83BE4">
            <w:pPr>
              <w:widowControl/>
              <w:rPr>
                <w:rFonts w:ascii="Times New Roman" w:eastAsia="仿宋_GB2312" w:hAnsi="Times New Roman"/>
                <w:color w:val="000000"/>
                <w:kern w:val="0"/>
                <w:sz w:val="28"/>
                <w:szCs w:val="28"/>
              </w:rPr>
            </w:pPr>
          </w:p>
          <w:p w:rsidR="007D7FEA" w:rsidRDefault="007D7FEA" w:rsidP="0035003C">
            <w:pPr>
              <w:widowControl/>
              <w:jc w:val="center"/>
              <w:rPr>
                <w:rFonts w:ascii="Times New Roman" w:eastAsia="仿宋_GB2312" w:hAnsi="Times New Roman"/>
                <w:color w:val="000000"/>
                <w:kern w:val="0"/>
                <w:sz w:val="28"/>
                <w:szCs w:val="28"/>
              </w:rPr>
            </w:pPr>
          </w:p>
          <w:p w:rsidR="007D7FEA" w:rsidRDefault="007D7FEA" w:rsidP="0035003C">
            <w:pPr>
              <w:widowControl/>
              <w:jc w:val="center"/>
              <w:rPr>
                <w:rFonts w:ascii="Times New Roman" w:eastAsia="仿宋_GB2312" w:hAnsi="Times New Roman"/>
                <w:color w:val="000000"/>
                <w:kern w:val="0"/>
                <w:sz w:val="28"/>
                <w:szCs w:val="28"/>
              </w:rPr>
            </w:pPr>
          </w:p>
          <w:p w:rsidR="008B06DA" w:rsidRPr="00041804" w:rsidRDefault="008B06DA" w:rsidP="0035003C">
            <w:pPr>
              <w:widowControl/>
              <w:jc w:val="center"/>
              <w:rPr>
                <w:rFonts w:ascii="Times New Roman" w:eastAsia="仿宋_GB2312" w:hAnsi="Times New Roman"/>
                <w:color w:val="000000"/>
                <w:kern w:val="0"/>
                <w:sz w:val="28"/>
                <w:szCs w:val="28"/>
              </w:rPr>
            </w:pPr>
          </w:p>
        </w:tc>
      </w:tr>
      <w:tr w:rsidR="007D7FEA" w:rsidRPr="00AD5D81" w:rsidTr="007D7FEA">
        <w:trPr>
          <w:trHeight w:val="615"/>
        </w:trPr>
        <w:tc>
          <w:tcPr>
            <w:tcW w:w="8248" w:type="dxa"/>
            <w:gridSpan w:val="7"/>
            <w:tcBorders>
              <w:top w:val="single" w:sz="4" w:space="0" w:color="FFFFFF" w:themeColor="background1"/>
              <w:left w:val="nil"/>
              <w:bottom w:val="single" w:sz="4" w:space="0" w:color="auto"/>
              <w:right w:val="nil"/>
            </w:tcBorders>
          </w:tcPr>
          <w:p w:rsidR="007D7FEA" w:rsidRDefault="007D7FEA" w:rsidP="0035003C">
            <w:pPr>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lastRenderedPageBreak/>
              <w:t>各</w:t>
            </w:r>
            <w:r>
              <w:rPr>
                <w:rFonts w:ascii="Times New Roman" w:eastAsia="仿宋_GB2312" w:hAnsi="Times New Roman" w:hint="eastAsia"/>
                <w:color w:val="000000"/>
                <w:kern w:val="0"/>
                <w:sz w:val="28"/>
                <w:szCs w:val="28"/>
              </w:rPr>
              <w:t>敏感性因素</w:t>
            </w:r>
            <w:r w:rsidRPr="00AD5D81">
              <w:rPr>
                <w:rFonts w:ascii="Times New Roman" w:eastAsia="仿宋_GB2312" w:hAnsi="Times New Roman"/>
                <w:color w:val="000000"/>
                <w:kern w:val="0"/>
                <w:sz w:val="28"/>
                <w:szCs w:val="28"/>
              </w:rPr>
              <w:t>分别变动</w:t>
            </w:r>
            <w:r>
              <w:rPr>
                <w:rFonts w:ascii="Times New Roman" w:eastAsia="仿宋_GB2312" w:hAnsi="Times New Roman" w:hint="eastAsia"/>
                <w:color w:val="000000"/>
                <w:kern w:val="0"/>
                <w:sz w:val="28"/>
                <w:szCs w:val="28"/>
              </w:rPr>
              <w:t>下</w:t>
            </w:r>
            <w:r w:rsidRPr="00AD5D81">
              <w:rPr>
                <w:rFonts w:ascii="Times New Roman" w:eastAsia="仿宋_GB2312" w:hAnsi="Times New Roman"/>
                <w:color w:val="000000"/>
                <w:kern w:val="0"/>
                <w:sz w:val="28"/>
                <w:szCs w:val="28"/>
              </w:rPr>
              <w:t>的评估值（万元）</w:t>
            </w:r>
          </w:p>
        </w:tc>
      </w:tr>
      <w:tr w:rsidR="008B06DA" w:rsidRPr="00AD5D81" w:rsidTr="00D83BE4">
        <w:trPr>
          <w:trHeight w:val="113"/>
        </w:trPr>
        <w:tc>
          <w:tcPr>
            <w:tcW w:w="1457"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kern w:val="0"/>
                <w:sz w:val="28"/>
                <w:szCs w:val="28"/>
              </w:rPr>
            </w:pPr>
          </w:p>
        </w:tc>
        <w:tc>
          <w:tcPr>
            <w:tcW w:w="6791" w:type="dxa"/>
            <w:gridSpan w:val="5"/>
            <w:tcBorders>
              <w:top w:val="single" w:sz="4" w:space="0" w:color="auto"/>
              <w:left w:val="single" w:sz="4" w:space="0" w:color="auto"/>
              <w:right w:val="single" w:sz="4" w:space="0" w:color="auto"/>
            </w:tcBorders>
          </w:tcPr>
          <w:p w:rsidR="008B06DA" w:rsidRPr="00AD5D81" w:rsidRDefault="008B06DA" w:rsidP="0035003C">
            <w:pPr>
              <w:widowControl/>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折现率</w:t>
            </w:r>
          </w:p>
        </w:tc>
      </w:tr>
      <w:tr w:rsidR="008B06DA" w:rsidRPr="00AD5D81" w:rsidTr="007D7FEA">
        <w:trPr>
          <w:trHeight w:val="113"/>
        </w:trPr>
        <w:tc>
          <w:tcPr>
            <w:tcW w:w="1457" w:type="dxa"/>
            <w:gridSpan w:val="2"/>
            <w:vMerge/>
            <w:tcBorders>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8</w:t>
            </w:r>
            <w:r w:rsidRPr="00041804">
              <w:rPr>
                <w:rFonts w:ascii="Times New Roman" w:eastAsia="仿宋_GB2312" w:hAnsi="Times New Roman"/>
                <w:color w:val="000000"/>
                <w:kern w:val="0"/>
                <w:sz w:val="28"/>
                <w:szCs w:val="28"/>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8.5</w:t>
            </w:r>
            <w:r w:rsidRPr="00041804">
              <w:rPr>
                <w:rFonts w:ascii="Times New Roman" w:eastAsia="仿宋_GB2312" w:hAnsi="Times New Roman"/>
                <w:color w:val="000000"/>
                <w:kern w:val="0"/>
                <w:sz w:val="28"/>
                <w:szCs w:val="28"/>
              </w:rPr>
              <w:t>%</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9</w:t>
            </w:r>
            <w:r w:rsidRPr="00041804">
              <w:rPr>
                <w:rFonts w:ascii="Times New Roman" w:eastAsia="仿宋_GB2312" w:hAnsi="Times New Roman"/>
                <w:color w:val="000000"/>
                <w:kern w:val="0"/>
                <w:sz w:val="28"/>
                <w:szCs w:val="28"/>
              </w:rPr>
              <w:t>%</w:t>
            </w:r>
          </w:p>
        </w:tc>
        <w:tc>
          <w:tcPr>
            <w:tcW w:w="1358" w:type="dxa"/>
            <w:tcBorders>
              <w:top w:val="single" w:sz="4" w:space="0" w:color="auto"/>
              <w:left w:val="single" w:sz="4" w:space="0" w:color="auto"/>
              <w:bottom w:val="single" w:sz="4" w:space="0" w:color="auto"/>
              <w:right w:val="single" w:sz="4" w:space="0" w:color="auto"/>
            </w:tcBorders>
          </w:tcPr>
          <w:p w:rsidR="008B06DA" w:rsidRPr="00AD5D81" w:rsidRDefault="008B06DA" w:rsidP="0035003C">
            <w:pPr>
              <w:widowControl/>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9.5%</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center"/>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10%</w:t>
            </w:r>
          </w:p>
        </w:tc>
      </w:tr>
      <w:tr w:rsidR="008B06DA" w:rsidRPr="00AD5D81" w:rsidTr="007D7FEA">
        <w:trPr>
          <w:trHeight w:val="113"/>
        </w:trPr>
        <w:tc>
          <w:tcPr>
            <w:tcW w:w="736" w:type="dxa"/>
            <w:vMerge w:val="restart"/>
            <w:tcBorders>
              <w:top w:val="single" w:sz="4" w:space="0" w:color="auto"/>
              <w:left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租金</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4.5</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40,580.68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38,607.15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36,793.19 </w:t>
            </w:r>
          </w:p>
        </w:tc>
        <w:tc>
          <w:tcPr>
            <w:tcW w:w="1358" w:type="dxa"/>
            <w:tcBorders>
              <w:top w:val="single" w:sz="4" w:space="0" w:color="auto"/>
              <w:left w:val="single" w:sz="4" w:space="0" w:color="auto"/>
              <w:bottom w:val="single" w:sz="4" w:space="0" w:color="auto"/>
              <w:right w:val="single" w:sz="4" w:space="0" w:color="auto"/>
            </w:tcBorders>
            <w:vAlign w:val="center"/>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35,122.46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33,580.53 </w:t>
            </w:r>
          </w:p>
        </w:tc>
      </w:tr>
      <w:tr w:rsidR="008B06DA" w:rsidRPr="00AD5D81" w:rsidTr="007D7FEA">
        <w:trPr>
          <w:trHeight w:val="113"/>
        </w:trPr>
        <w:tc>
          <w:tcPr>
            <w:tcW w:w="736" w:type="dxa"/>
            <w:vMerge/>
            <w:tcBorders>
              <w:left w:val="single" w:sz="4" w:space="0" w:color="auto"/>
              <w:right w:val="single" w:sz="4" w:space="0" w:color="auto"/>
            </w:tcBorders>
            <w:shd w:val="clear" w:color="auto" w:fill="auto"/>
            <w:noWrap/>
            <w:vAlign w:val="center"/>
            <w:hideMark/>
          </w:tcPr>
          <w:p w:rsidR="008B06DA" w:rsidRPr="00041804" w:rsidRDefault="008B06DA" w:rsidP="0035003C">
            <w:pPr>
              <w:jc w:val="left"/>
              <w:rPr>
                <w:rFonts w:ascii="Times New Roman" w:eastAsia="仿宋_GB2312" w:hAnsi="Times New Roman"/>
                <w:color w:val="000000"/>
                <w:kern w:val="0"/>
                <w:sz w:val="28"/>
                <w:szCs w:val="28"/>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4.75</w:t>
            </w:r>
            <w:r w:rsidRPr="00041804">
              <w:rPr>
                <w:rFonts w:ascii="Times New Roman" w:eastAsia="仿宋_GB2312" w:hAnsi="Times New Roman"/>
                <w:color w:val="000000"/>
                <w:kern w:val="0"/>
                <w:sz w:val="28"/>
                <w:szCs w:val="28"/>
              </w:rPr>
              <w:t xml:space="preserve">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43,029.40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40,936.79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39,013.37 </w:t>
            </w:r>
          </w:p>
        </w:tc>
        <w:tc>
          <w:tcPr>
            <w:tcW w:w="1358" w:type="dxa"/>
            <w:tcBorders>
              <w:top w:val="single" w:sz="4" w:space="0" w:color="auto"/>
              <w:left w:val="single" w:sz="4" w:space="0" w:color="auto"/>
              <w:bottom w:val="single" w:sz="4" w:space="0" w:color="auto"/>
              <w:right w:val="single" w:sz="4" w:space="0" w:color="auto"/>
            </w:tcBorders>
            <w:vAlign w:val="center"/>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37,241.82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35,606.85 </w:t>
            </w:r>
          </w:p>
        </w:tc>
      </w:tr>
      <w:tr w:rsidR="008B06DA" w:rsidRPr="00AD5D81" w:rsidTr="007D7FEA">
        <w:trPr>
          <w:trHeight w:val="113"/>
        </w:trPr>
        <w:tc>
          <w:tcPr>
            <w:tcW w:w="736" w:type="dxa"/>
            <w:vMerge/>
            <w:tcBorders>
              <w:left w:val="single" w:sz="4" w:space="0" w:color="auto"/>
              <w:right w:val="single" w:sz="4" w:space="0" w:color="auto"/>
            </w:tcBorders>
            <w:shd w:val="clear" w:color="auto" w:fill="auto"/>
            <w:noWrap/>
            <w:vAlign w:val="center"/>
            <w:hideMark/>
          </w:tcPr>
          <w:p w:rsidR="008B06DA" w:rsidRPr="00041804" w:rsidRDefault="008B06DA" w:rsidP="0035003C">
            <w:pPr>
              <w:jc w:val="left"/>
              <w:rPr>
                <w:rFonts w:ascii="Times New Roman" w:eastAsia="仿宋_GB2312" w:hAnsi="Times New Roman"/>
                <w:color w:val="000000"/>
                <w:kern w:val="0"/>
                <w:sz w:val="28"/>
                <w:szCs w:val="28"/>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5</w:t>
            </w:r>
            <w:r w:rsidRPr="00041804">
              <w:rPr>
                <w:rFonts w:ascii="Times New Roman" w:eastAsia="仿宋_GB2312" w:hAnsi="Times New Roman"/>
                <w:color w:val="000000"/>
                <w:kern w:val="0"/>
                <w:sz w:val="28"/>
                <w:szCs w:val="28"/>
              </w:rPr>
              <w:t xml:space="preserve">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45,478.13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43,266.43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967607" w:rsidRDefault="008B06DA" w:rsidP="0035003C">
            <w:pPr>
              <w:jc w:val="right"/>
              <w:rPr>
                <w:rFonts w:ascii="Times New Roman" w:eastAsia="仿宋_GB2312" w:hAnsi="Times New Roman"/>
                <w:b/>
                <w:color w:val="000000"/>
                <w:sz w:val="28"/>
                <w:szCs w:val="28"/>
              </w:rPr>
            </w:pPr>
            <w:r w:rsidRPr="00967607">
              <w:rPr>
                <w:rFonts w:ascii="Times New Roman" w:eastAsia="仿宋_GB2312" w:hAnsi="Times New Roman"/>
                <w:b/>
                <w:color w:val="000000"/>
                <w:sz w:val="28"/>
                <w:szCs w:val="28"/>
              </w:rPr>
              <w:t xml:space="preserve">41,233.55 </w:t>
            </w:r>
          </w:p>
        </w:tc>
        <w:tc>
          <w:tcPr>
            <w:tcW w:w="1358" w:type="dxa"/>
            <w:tcBorders>
              <w:top w:val="single" w:sz="4" w:space="0" w:color="auto"/>
              <w:left w:val="single" w:sz="4" w:space="0" w:color="auto"/>
              <w:bottom w:val="single" w:sz="4" w:space="0" w:color="auto"/>
              <w:right w:val="single" w:sz="4" w:space="0" w:color="auto"/>
            </w:tcBorders>
            <w:vAlign w:val="center"/>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39,361.19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37,633.17 </w:t>
            </w:r>
          </w:p>
        </w:tc>
      </w:tr>
      <w:tr w:rsidR="008B06DA" w:rsidRPr="00AD5D81" w:rsidTr="007D7FEA">
        <w:trPr>
          <w:trHeight w:val="113"/>
        </w:trPr>
        <w:tc>
          <w:tcPr>
            <w:tcW w:w="736" w:type="dxa"/>
            <w:vMerge/>
            <w:tcBorders>
              <w:left w:val="single" w:sz="4" w:space="0" w:color="auto"/>
              <w:right w:val="single" w:sz="4" w:space="0" w:color="auto"/>
            </w:tcBorders>
            <w:shd w:val="clear" w:color="auto" w:fill="auto"/>
            <w:noWrap/>
            <w:vAlign w:val="center"/>
            <w:hideMark/>
          </w:tcPr>
          <w:p w:rsidR="008B06DA" w:rsidRPr="00041804" w:rsidRDefault="008B06DA" w:rsidP="0035003C">
            <w:pPr>
              <w:jc w:val="left"/>
              <w:rPr>
                <w:rFonts w:ascii="Times New Roman" w:eastAsia="仿宋_GB2312" w:hAnsi="Times New Roman"/>
                <w:color w:val="000000"/>
                <w:kern w:val="0"/>
                <w:sz w:val="28"/>
                <w:szCs w:val="28"/>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5.25</w:t>
            </w:r>
            <w:r w:rsidRPr="00041804">
              <w:rPr>
                <w:rFonts w:ascii="Times New Roman" w:eastAsia="仿宋_GB2312" w:hAnsi="Times New Roman"/>
                <w:color w:val="000000"/>
                <w:kern w:val="0"/>
                <w:sz w:val="28"/>
                <w:szCs w:val="28"/>
              </w:rPr>
              <w:t xml:space="preserve">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47,926.85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45,596.07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43,453.73 </w:t>
            </w:r>
          </w:p>
        </w:tc>
        <w:tc>
          <w:tcPr>
            <w:tcW w:w="1358" w:type="dxa"/>
            <w:tcBorders>
              <w:top w:val="single" w:sz="4" w:space="0" w:color="auto"/>
              <w:left w:val="single" w:sz="4" w:space="0" w:color="auto"/>
              <w:bottom w:val="single" w:sz="4" w:space="0" w:color="auto"/>
              <w:right w:val="single" w:sz="4" w:space="0" w:color="auto"/>
            </w:tcBorders>
            <w:vAlign w:val="center"/>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41,480.55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39,659.49 </w:t>
            </w:r>
          </w:p>
        </w:tc>
      </w:tr>
      <w:tr w:rsidR="008B06DA" w:rsidRPr="00AD5D81" w:rsidTr="007D7FEA">
        <w:trPr>
          <w:trHeight w:val="113"/>
        </w:trPr>
        <w:tc>
          <w:tcPr>
            <w:tcW w:w="736" w:type="dxa"/>
            <w:vMerge/>
            <w:tcBorders>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5.5</w:t>
            </w:r>
            <w:r w:rsidRPr="00041804">
              <w:rPr>
                <w:rFonts w:ascii="Times New Roman" w:eastAsia="仿宋_GB2312" w:hAnsi="Times New Roman"/>
                <w:color w:val="000000"/>
                <w:kern w:val="0"/>
                <w:sz w:val="28"/>
                <w:szCs w:val="28"/>
              </w:rPr>
              <w:t xml:space="preserve">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50,375.58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47,925.71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45,673.92 </w:t>
            </w:r>
          </w:p>
        </w:tc>
        <w:tc>
          <w:tcPr>
            <w:tcW w:w="1358" w:type="dxa"/>
            <w:tcBorders>
              <w:top w:val="single" w:sz="4" w:space="0" w:color="auto"/>
              <w:left w:val="single" w:sz="4" w:space="0" w:color="auto"/>
              <w:bottom w:val="single" w:sz="4" w:space="0" w:color="auto"/>
              <w:right w:val="single" w:sz="4" w:space="0" w:color="auto"/>
            </w:tcBorders>
            <w:vAlign w:val="center"/>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43,599.92 </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41,685.81 </w:t>
            </w:r>
          </w:p>
        </w:tc>
      </w:tr>
    </w:tbl>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hint="eastAsia"/>
          <w:spacing w:val="-2"/>
          <w:sz w:val="32"/>
          <w:szCs w:val="24"/>
        </w:rPr>
        <w:t>（三）</w:t>
      </w:r>
      <w:r w:rsidRPr="00470D69">
        <w:rPr>
          <w:rFonts w:ascii="Times New Roman" w:eastAsia="仿宋_GB2312" w:hAnsi="宋体"/>
          <w:spacing w:val="-2"/>
          <w:sz w:val="32"/>
          <w:szCs w:val="24"/>
        </w:rPr>
        <w:t>总结披露分析结果</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Pr>
          <w:rFonts w:ascii="Times New Roman" w:eastAsia="仿宋_GB2312" w:hAnsi="宋体" w:hint="eastAsia"/>
          <w:spacing w:val="-2"/>
          <w:sz w:val="32"/>
          <w:szCs w:val="24"/>
        </w:rPr>
        <w:t>在评估报告的</w:t>
      </w:r>
      <w:r w:rsidRPr="002526E0">
        <w:rPr>
          <w:rFonts w:ascii="Times New Roman" w:eastAsia="仿宋_GB2312" w:hAnsi="宋体"/>
          <w:spacing w:val="-2"/>
          <w:sz w:val="32"/>
          <w:szCs w:val="24"/>
        </w:rPr>
        <w:t>特别事项说明</w:t>
      </w:r>
      <w:r>
        <w:rPr>
          <w:rFonts w:ascii="Times New Roman" w:eastAsia="仿宋_GB2312" w:hAnsi="宋体" w:hint="eastAsia"/>
          <w:spacing w:val="-2"/>
          <w:sz w:val="32"/>
          <w:szCs w:val="24"/>
        </w:rPr>
        <w:t>部分，对敏感性分析结果</w:t>
      </w:r>
      <w:proofErr w:type="gramStart"/>
      <w:r w:rsidR="0010488A">
        <w:rPr>
          <w:rFonts w:ascii="Times New Roman" w:eastAsia="仿宋_GB2312" w:hAnsi="宋体" w:hint="eastAsia"/>
          <w:spacing w:val="-2"/>
          <w:sz w:val="32"/>
          <w:szCs w:val="24"/>
        </w:rPr>
        <w:t>作出</w:t>
      </w:r>
      <w:proofErr w:type="gramEnd"/>
      <w:r>
        <w:rPr>
          <w:rFonts w:ascii="Times New Roman" w:eastAsia="仿宋_GB2312" w:hAnsi="宋体" w:hint="eastAsia"/>
          <w:spacing w:val="-2"/>
          <w:sz w:val="32"/>
          <w:szCs w:val="24"/>
        </w:rPr>
        <w:t>如下披露：</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803FE9">
        <w:rPr>
          <w:rFonts w:ascii="Times New Roman" w:eastAsia="仿宋_GB2312" w:hAnsi="宋体" w:hint="eastAsia"/>
          <w:spacing w:val="-2"/>
          <w:sz w:val="32"/>
          <w:szCs w:val="24"/>
        </w:rPr>
        <w:t>对评估参数</w:t>
      </w:r>
      <w:r w:rsidRPr="00470D69">
        <w:rPr>
          <w:rFonts w:ascii="Times New Roman" w:eastAsia="仿宋_GB2312" w:hAnsi="宋体" w:hint="eastAsia"/>
          <w:spacing w:val="-2"/>
          <w:sz w:val="32"/>
          <w:szCs w:val="24"/>
        </w:rPr>
        <w:t>的估计</w:t>
      </w:r>
      <w:r>
        <w:rPr>
          <w:rFonts w:ascii="Times New Roman" w:eastAsia="仿宋_GB2312" w:hAnsi="宋体" w:hint="eastAsia"/>
          <w:spacing w:val="-2"/>
          <w:sz w:val="32"/>
          <w:szCs w:val="24"/>
        </w:rPr>
        <w:t>客观上</w:t>
      </w:r>
      <w:r w:rsidRPr="00470D69">
        <w:rPr>
          <w:rFonts w:ascii="Times New Roman" w:eastAsia="仿宋_GB2312" w:hAnsi="宋体" w:hint="eastAsia"/>
          <w:spacing w:val="-2"/>
          <w:sz w:val="32"/>
          <w:szCs w:val="24"/>
        </w:rPr>
        <w:t>存在</w:t>
      </w:r>
      <w:r>
        <w:rPr>
          <w:rFonts w:ascii="Times New Roman" w:eastAsia="仿宋_GB2312" w:hAnsi="宋体" w:hint="eastAsia"/>
          <w:spacing w:val="-2"/>
          <w:sz w:val="32"/>
          <w:szCs w:val="24"/>
        </w:rPr>
        <w:t>一定的</w:t>
      </w:r>
      <w:r w:rsidRPr="00470D69">
        <w:rPr>
          <w:rFonts w:ascii="Times New Roman" w:eastAsia="仿宋_GB2312" w:hAnsi="宋体" w:hint="eastAsia"/>
          <w:spacing w:val="-2"/>
          <w:sz w:val="32"/>
          <w:szCs w:val="24"/>
        </w:rPr>
        <w:t>不确定性</w:t>
      </w:r>
      <w:r>
        <w:rPr>
          <w:rFonts w:ascii="Times New Roman" w:eastAsia="仿宋_GB2312" w:hAnsi="宋体" w:hint="eastAsia"/>
          <w:spacing w:val="-2"/>
          <w:sz w:val="32"/>
          <w:szCs w:val="24"/>
        </w:rPr>
        <w:t>。经分析比较，确定租金和折现率为敏感性因素。</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Pr>
          <w:rFonts w:ascii="Times New Roman" w:eastAsia="仿宋_GB2312" w:hAnsi="宋体" w:hint="eastAsia"/>
          <w:spacing w:val="-2"/>
          <w:sz w:val="32"/>
          <w:szCs w:val="24"/>
        </w:rPr>
        <w:t>在本次评估中，租金取值为</w:t>
      </w:r>
      <w:r w:rsidRPr="00470D69">
        <w:rPr>
          <w:rFonts w:ascii="Times New Roman" w:eastAsia="仿宋_GB2312" w:hAnsi="宋体"/>
          <w:spacing w:val="-2"/>
          <w:sz w:val="32"/>
          <w:szCs w:val="24"/>
        </w:rPr>
        <w:t>每平方米每日</w:t>
      </w:r>
      <w:r w:rsidRPr="00470D69">
        <w:rPr>
          <w:rFonts w:ascii="Times New Roman" w:eastAsia="仿宋_GB2312" w:hAnsi="宋体"/>
          <w:spacing w:val="-2"/>
          <w:sz w:val="32"/>
          <w:szCs w:val="24"/>
        </w:rPr>
        <w:t>5</w:t>
      </w:r>
      <w:r w:rsidRPr="00470D69">
        <w:rPr>
          <w:rFonts w:ascii="Times New Roman" w:eastAsia="仿宋_GB2312" w:hAnsi="宋体"/>
          <w:spacing w:val="-2"/>
          <w:sz w:val="32"/>
          <w:szCs w:val="24"/>
        </w:rPr>
        <w:t>元</w:t>
      </w:r>
      <w:r>
        <w:rPr>
          <w:rFonts w:ascii="Times New Roman" w:eastAsia="仿宋_GB2312" w:hAnsi="宋体" w:hint="eastAsia"/>
          <w:spacing w:val="-2"/>
          <w:sz w:val="32"/>
          <w:szCs w:val="24"/>
        </w:rPr>
        <w:t>，折现率取值为</w:t>
      </w:r>
      <w:r>
        <w:rPr>
          <w:rFonts w:ascii="Times New Roman" w:eastAsia="仿宋_GB2312" w:hAnsi="宋体" w:hint="eastAsia"/>
          <w:spacing w:val="-2"/>
          <w:sz w:val="32"/>
          <w:szCs w:val="24"/>
        </w:rPr>
        <w:t>9%</w:t>
      </w:r>
      <w:r>
        <w:rPr>
          <w:rFonts w:ascii="Times New Roman" w:eastAsia="仿宋_GB2312" w:hAnsi="宋体" w:hint="eastAsia"/>
          <w:spacing w:val="-2"/>
          <w:sz w:val="32"/>
          <w:szCs w:val="24"/>
        </w:rPr>
        <w:t>，</w:t>
      </w:r>
      <w:r w:rsidRPr="00470D69">
        <w:rPr>
          <w:rFonts w:ascii="Times New Roman" w:eastAsia="仿宋_GB2312" w:hAnsi="宋体" w:hint="eastAsia"/>
          <w:spacing w:val="-2"/>
          <w:sz w:val="32"/>
          <w:szCs w:val="24"/>
        </w:rPr>
        <w:t>评估结论为</w:t>
      </w:r>
      <w:r w:rsidRPr="00470D69">
        <w:rPr>
          <w:rFonts w:ascii="Times New Roman" w:eastAsia="仿宋_GB2312" w:hAnsi="宋体" w:hint="eastAsia"/>
          <w:spacing w:val="-2"/>
          <w:sz w:val="32"/>
          <w:szCs w:val="24"/>
        </w:rPr>
        <w:t>41233.55</w:t>
      </w:r>
      <w:r w:rsidRPr="00470D69">
        <w:rPr>
          <w:rFonts w:ascii="Times New Roman" w:eastAsia="仿宋_GB2312" w:hAnsi="宋体" w:hint="eastAsia"/>
          <w:spacing w:val="-2"/>
          <w:sz w:val="32"/>
          <w:szCs w:val="24"/>
        </w:rPr>
        <w:t>万元</w:t>
      </w:r>
      <w:r>
        <w:rPr>
          <w:rFonts w:ascii="Times New Roman" w:eastAsia="仿宋_GB2312" w:hAnsi="宋体" w:hint="eastAsia"/>
          <w:spacing w:val="-2"/>
          <w:sz w:val="32"/>
          <w:szCs w:val="24"/>
        </w:rPr>
        <w:t>。</w:t>
      </w:r>
      <w:r w:rsidRPr="00470D69">
        <w:rPr>
          <w:rFonts w:ascii="Times New Roman" w:eastAsia="仿宋_GB2312" w:hAnsi="宋体" w:hint="eastAsia"/>
          <w:spacing w:val="-2"/>
          <w:sz w:val="32"/>
          <w:szCs w:val="24"/>
        </w:rPr>
        <w:t>当租金取</w:t>
      </w:r>
      <w:r w:rsidRPr="00470D69">
        <w:rPr>
          <w:rFonts w:ascii="Times New Roman" w:eastAsia="仿宋_GB2312" w:hAnsi="宋体" w:hint="eastAsia"/>
          <w:spacing w:val="-2"/>
          <w:sz w:val="32"/>
          <w:szCs w:val="24"/>
        </w:rPr>
        <w:t>5.5</w:t>
      </w:r>
      <w:r w:rsidRPr="00470D69">
        <w:rPr>
          <w:rFonts w:ascii="Times New Roman" w:eastAsia="仿宋_GB2312" w:hAnsi="宋体" w:hint="eastAsia"/>
          <w:spacing w:val="-2"/>
          <w:sz w:val="32"/>
          <w:szCs w:val="24"/>
        </w:rPr>
        <w:t>元，折现率取</w:t>
      </w:r>
      <w:r w:rsidRPr="00470D69">
        <w:rPr>
          <w:rFonts w:ascii="Times New Roman" w:eastAsia="仿宋_GB2312" w:hAnsi="宋体" w:hint="eastAsia"/>
          <w:spacing w:val="-2"/>
          <w:sz w:val="32"/>
          <w:szCs w:val="24"/>
        </w:rPr>
        <w:t>8%</w:t>
      </w:r>
      <w:r w:rsidRPr="00470D69">
        <w:rPr>
          <w:rFonts w:ascii="Times New Roman" w:eastAsia="仿宋_GB2312" w:hAnsi="宋体" w:hint="eastAsia"/>
          <w:spacing w:val="-2"/>
          <w:sz w:val="32"/>
          <w:szCs w:val="24"/>
        </w:rPr>
        <w:t>时，评估</w:t>
      </w:r>
      <w:r>
        <w:rPr>
          <w:rFonts w:ascii="Times New Roman" w:eastAsia="仿宋_GB2312" w:hAnsi="宋体" w:hint="eastAsia"/>
          <w:spacing w:val="-2"/>
          <w:sz w:val="32"/>
          <w:szCs w:val="24"/>
        </w:rPr>
        <w:t>值</w:t>
      </w:r>
      <w:r w:rsidRPr="00470D69">
        <w:rPr>
          <w:rFonts w:ascii="Times New Roman" w:eastAsia="仿宋_GB2312" w:hAnsi="宋体" w:hint="eastAsia"/>
          <w:spacing w:val="-2"/>
          <w:sz w:val="32"/>
          <w:szCs w:val="24"/>
        </w:rPr>
        <w:t>计算结果为</w:t>
      </w:r>
      <w:r w:rsidRPr="00470D69">
        <w:rPr>
          <w:rFonts w:ascii="Times New Roman" w:eastAsia="仿宋_GB2312" w:hAnsi="宋体" w:hint="eastAsia"/>
          <w:spacing w:val="-2"/>
          <w:sz w:val="32"/>
          <w:szCs w:val="24"/>
        </w:rPr>
        <w:t>50375.58</w:t>
      </w:r>
      <w:r w:rsidRPr="00470D69">
        <w:rPr>
          <w:rFonts w:ascii="Times New Roman" w:eastAsia="仿宋_GB2312" w:hAnsi="宋体" w:hint="eastAsia"/>
          <w:spacing w:val="-2"/>
          <w:sz w:val="32"/>
          <w:szCs w:val="24"/>
        </w:rPr>
        <w:t>万元；当租金取</w:t>
      </w:r>
      <w:r w:rsidRPr="00470D69">
        <w:rPr>
          <w:rFonts w:ascii="Times New Roman" w:eastAsia="仿宋_GB2312" w:hAnsi="宋体" w:hint="eastAsia"/>
          <w:spacing w:val="-2"/>
          <w:sz w:val="32"/>
          <w:szCs w:val="24"/>
        </w:rPr>
        <w:t>4.5</w:t>
      </w:r>
      <w:r w:rsidRPr="00470D69">
        <w:rPr>
          <w:rFonts w:ascii="Times New Roman" w:eastAsia="仿宋_GB2312" w:hAnsi="宋体" w:hint="eastAsia"/>
          <w:spacing w:val="-2"/>
          <w:sz w:val="32"/>
          <w:szCs w:val="24"/>
        </w:rPr>
        <w:t>元，折现率取</w:t>
      </w:r>
      <w:r w:rsidRPr="00470D69">
        <w:rPr>
          <w:rFonts w:ascii="Times New Roman" w:eastAsia="仿宋_GB2312" w:hAnsi="宋体" w:hint="eastAsia"/>
          <w:spacing w:val="-2"/>
          <w:sz w:val="32"/>
          <w:szCs w:val="24"/>
        </w:rPr>
        <w:t>10%</w:t>
      </w:r>
      <w:r w:rsidRPr="00470D69">
        <w:rPr>
          <w:rFonts w:ascii="Times New Roman" w:eastAsia="仿宋_GB2312" w:hAnsi="宋体" w:hint="eastAsia"/>
          <w:spacing w:val="-2"/>
          <w:sz w:val="32"/>
          <w:szCs w:val="24"/>
        </w:rPr>
        <w:t>时，评估</w:t>
      </w:r>
      <w:r>
        <w:rPr>
          <w:rFonts w:ascii="Times New Roman" w:eastAsia="仿宋_GB2312" w:hAnsi="宋体" w:hint="eastAsia"/>
          <w:spacing w:val="-2"/>
          <w:sz w:val="32"/>
          <w:szCs w:val="24"/>
        </w:rPr>
        <w:t>值</w:t>
      </w:r>
      <w:r w:rsidRPr="00470D69">
        <w:rPr>
          <w:rFonts w:ascii="Times New Roman" w:eastAsia="仿宋_GB2312" w:hAnsi="宋体" w:hint="eastAsia"/>
          <w:spacing w:val="-2"/>
          <w:sz w:val="32"/>
          <w:szCs w:val="24"/>
        </w:rPr>
        <w:t>计算结果为</w:t>
      </w:r>
      <w:r w:rsidRPr="00470D69">
        <w:rPr>
          <w:rFonts w:ascii="Times New Roman" w:eastAsia="仿宋_GB2312" w:hAnsi="宋体" w:hint="eastAsia"/>
          <w:spacing w:val="-2"/>
          <w:sz w:val="32"/>
          <w:szCs w:val="24"/>
        </w:rPr>
        <w:t>33580.53</w:t>
      </w:r>
      <w:r w:rsidRPr="00470D69">
        <w:rPr>
          <w:rFonts w:ascii="Times New Roman" w:eastAsia="仿宋_GB2312" w:hAnsi="宋体" w:hint="eastAsia"/>
          <w:spacing w:val="-2"/>
          <w:sz w:val="32"/>
          <w:szCs w:val="24"/>
        </w:rPr>
        <w:t>万</w:t>
      </w:r>
      <w:r>
        <w:rPr>
          <w:rFonts w:ascii="Times New Roman" w:eastAsia="仿宋_GB2312" w:hAnsi="宋体" w:hint="eastAsia"/>
          <w:spacing w:val="-2"/>
          <w:sz w:val="32"/>
          <w:szCs w:val="24"/>
        </w:rPr>
        <w:t>元。敏感性计算具体结果如下表：</w:t>
      </w:r>
    </w:p>
    <w:tbl>
      <w:tblPr>
        <w:tblW w:w="5236" w:type="dxa"/>
        <w:tblInd w:w="93" w:type="dxa"/>
        <w:tblLook w:val="04A0" w:firstRow="1" w:lastRow="0" w:firstColumn="1" w:lastColumn="0" w:noHBand="0" w:noVBand="1"/>
      </w:tblPr>
      <w:tblGrid>
        <w:gridCol w:w="724"/>
        <w:gridCol w:w="709"/>
        <w:gridCol w:w="1336"/>
        <w:gridCol w:w="1336"/>
        <w:gridCol w:w="1336"/>
        <w:gridCol w:w="1336"/>
        <w:gridCol w:w="1336"/>
      </w:tblGrid>
      <w:tr w:rsidR="008B06DA" w:rsidRPr="00AD5D81" w:rsidTr="007D7FEA">
        <w:trPr>
          <w:trHeight w:val="2520"/>
        </w:trPr>
        <w:tc>
          <w:tcPr>
            <w:tcW w:w="5236" w:type="dxa"/>
            <w:gridSpan w:val="7"/>
            <w:tcBorders>
              <w:top w:val="single" w:sz="4" w:space="0" w:color="FFFFFF" w:themeColor="background1"/>
              <w:left w:val="nil"/>
              <w:bottom w:val="single" w:sz="4" w:space="0" w:color="FFFFFF" w:themeColor="background1"/>
              <w:right w:val="nil"/>
            </w:tcBorders>
          </w:tcPr>
          <w:p w:rsidR="00F70808" w:rsidRDefault="00F70808" w:rsidP="00D83BE4">
            <w:pPr>
              <w:widowControl/>
              <w:rPr>
                <w:rFonts w:ascii="Times New Roman" w:eastAsia="仿宋_GB2312" w:hAnsi="Times New Roman"/>
                <w:color w:val="000000"/>
                <w:kern w:val="0"/>
                <w:sz w:val="28"/>
                <w:szCs w:val="28"/>
              </w:rPr>
            </w:pPr>
          </w:p>
          <w:p w:rsidR="007D7FEA" w:rsidRDefault="007D7FEA" w:rsidP="0035003C">
            <w:pPr>
              <w:widowControl/>
              <w:jc w:val="center"/>
              <w:rPr>
                <w:rFonts w:ascii="Times New Roman" w:eastAsia="仿宋_GB2312" w:hAnsi="Times New Roman"/>
                <w:color w:val="000000"/>
                <w:kern w:val="0"/>
                <w:sz w:val="28"/>
                <w:szCs w:val="28"/>
              </w:rPr>
            </w:pPr>
          </w:p>
          <w:p w:rsidR="007D7FEA" w:rsidRDefault="007D7FEA" w:rsidP="0035003C">
            <w:pPr>
              <w:widowControl/>
              <w:jc w:val="center"/>
              <w:rPr>
                <w:rFonts w:ascii="Times New Roman" w:eastAsia="仿宋_GB2312" w:hAnsi="Times New Roman"/>
                <w:color w:val="000000"/>
                <w:kern w:val="0"/>
                <w:sz w:val="28"/>
                <w:szCs w:val="28"/>
              </w:rPr>
            </w:pPr>
          </w:p>
          <w:p w:rsidR="008B06DA" w:rsidRPr="00041804" w:rsidRDefault="008B06DA" w:rsidP="0035003C">
            <w:pPr>
              <w:widowControl/>
              <w:jc w:val="center"/>
              <w:rPr>
                <w:rFonts w:ascii="Times New Roman" w:eastAsia="仿宋_GB2312" w:hAnsi="Times New Roman"/>
                <w:color w:val="000000"/>
                <w:kern w:val="0"/>
                <w:sz w:val="28"/>
                <w:szCs w:val="28"/>
              </w:rPr>
            </w:pPr>
          </w:p>
        </w:tc>
      </w:tr>
      <w:tr w:rsidR="007D7FEA" w:rsidRPr="00AD5D81" w:rsidTr="007D7FEA">
        <w:trPr>
          <w:trHeight w:val="615"/>
        </w:trPr>
        <w:tc>
          <w:tcPr>
            <w:tcW w:w="5236" w:type="dxa"/>
            <w:gridSpan w:val="7"/>
            <w:tcBorders>
              <w:top w:val="single" w:sz="4" w:space="0" w:color="FFFFFF" w:themeColor="background1"/>
              <w:left w:val="nil"/>
              <w:bottom w:val="single" w:sz="4" w:space="0" w:color="auto"/>
              <w:right w:val="nil"/>
            </w:tcBorders>
          </w:tcPr>
          <w:p w:rsidR="007D7FEA" w:rsidRDefault="007D7FEA" w:rsidP="0035003C">
            <w:pPr>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lastRenderedPageBreak/>
              <w:t>各</w:t>
            </w:r>
            <w:r>
              <w:rPr>
                <w:rFonts w:ascii="Times New Roman" w:eastAsia="仿宋_GB2312" w:hAnsi="Times New Roman" w:hint="eastAsia"/>
                <w:color w:val="000000"/>
                <w:kern w:val="0"/>
                <w:sz w:val="28"/>
                <w:szCs w:val="28"/>
              </w:rPr>
              <w:t>敏感性因素</w:t>
            </w:r>
            <w:r w:rsidRPr="00AD5D81">
              <w:rPr>
                <w:rFonts w:ascii="Times New Roman" w:eastAsia="仿宋_GB2312" w:hAnsi="Times New Roman"/>
                <w:color w:val="000000"/>
                <w:kern w:val="0"/>
                <w:sz w:val="28"/>
                <w:szCs w:val="28"/>
              </w:rPr>
              <w:t>分别变动</w:t>
            </w:r>
            <w:r>
              <w:rPr>
                <w:rFonts w:ascii="Times New Roman" w:eastAsia="仿宋_GB2312" w:hAnsi="Times New Roman" w:hint="eastAsia"/>
                <w:color w:val="000000"/>
                <w:kern w:val="0"/>
                <w:sz w:val="28"/>
                <w:szCs w:val="28"/>
              </w:rPr>
              <w:t>下</w:t>
            </w:r>
            <w:r w:rsidRPr="00AD5D81">
              <w:rPr>
                <w:rFonts w:ascii="Times New Roman" w:eastAsia="仿宋_GB2312" w:hAnsi="Times New Roman"/>
                <w:color w:val="000000"/>
                <w:kern w:val="0"/>
                <w:sz w:val="28"/>
                <w:szCs w:val="28"/>
              </w:rPr>
              <w:t>的评估值（万元）</w:t>
            </w:r>
          </w:p>
        </w:tc>
      </w:tr>
      <w:tr w:rsidR="008B06DA" w:rsidRPr="00AD5D81" w:rsidTr="0035003C">
        <w:trPr>
          <w:trHeight w:val="270"/>
        </w:trPr>
        <w:tc>
          <w:tcPr>
            <w:tcW w:w="1433"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kern w:val="0"/>
                <w:sz w:val="28"/>
                <w:szCs w:val="28"/>
              </w:rPr>
            </w:pPr>
          </w:p>
        </w:tc>
        <w:tc>
          <w:tcPr>
            <w:tcW w:w="3803" w:type="dxa"/>
            <w:gridSpan w:val="5"/>
            <w:tcBorders>
              <w:top w:val="single" w:sz="4" w:space="0" w:color="auto"/>
              <w:left w:val="single" w:sz="4" w:space="0" w:color="auto"/>
              <w:right w:val="single" w:sz="4" w:space="0" w:color="auto"/>
            </w:tcBorders>
          </w:tcPr>
          <w:p w:rsidR="008B06DA" w:rsidRPr="00AD5D81" w:rsidRDefault="008B06DA" w:rsidP="0035003C">
            <w:pPr>
              <w:widowControl/>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折现率</w:t>
            </w:r>
          </w:p>
        </w:tc>
      </w:tr>
      <w:tr w:rsidR="008B06DA" w:rsidRPr="00AD5D81" w:rsidTr="0035003C">
        <w:trPr>
          <w:trHeight w:val="270"/>
        </w:trPr>
        <w:tc>
          <w:tcPr>
            <w:tcW w:w="1433" w:type="dxa"/>
            <w:gridSpan w:val="2"/>
            <w:vMerge/>
            <w:tcBorders>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8</w:t>
            </w:r>
            <w:r w:rsidRPr="00041804">
              <w:rPr>
                <w:rFonts w:ascii="Times New Roman" w:eastAsia="仿宋_GB2312" w:hAnsi="Times New Roman"/>
                <w:color w:val="000000"/>
                <w:kern w:val="0"/>
                <w:sz w:val="28"/>
                <w:szCs w:val="28"/>
              </w:rPr>
              <w:t>%</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8.5</w:t>
            </w:r>
            <w:r w:rsidRPr="00041804">
              <w:rPr>
                <w:rFonts w:ascii="Times New Roman" w:eastAsia="仿宋_GB2312" w:hAnsi="Times New Roman"/>
                <w:color w:val="000000"/>
                <w:kern w:val="0"/>
                <w:sz w:val="28"/>
                <w:szCs w:val="28"/>
              </w:rPr>
              <w:t>%</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9</w:t>
            </w:r>
            <w:r w:rsidRPr="00041804">
              <w:rPr>
                <w:rFonts w:ascii="Times New Roman" w:eastAsia="仿宋_GB2312" w:hAnsi="Times New Roman"/>
                <w:color w:val="000000"/>
                <w:kern w:val="0"/>
                <w:sz w:val="28"/>
                <w:szCs w:val="28"/>
              </w:rPr>
              <w:t>%</w:t>
            </w:r>
          </w:p>
        </w:tc>
        <w:tc>
          <w:tcPr>
            <w:tcW w:w="793" w:type="dxa"/>
            <w:tcBorders>
              <w:top w:val="single" w:sz="4" w:space="0" w:color="auto"/>
              <w:left w:val="single" w:sz="4" w:space="0" w:color="auto"/>
              <w:bottom w:val="single" w:sz="4" w:space="0" w:color="auto"/>
              <w:right w:val="single" w:sz="4" w:space="0" w:color="auto"/>
            </w:tcBorders>
          </w:tcPr>
          <w:p w:rsidR="008B06DA" w:rsidRPr="00AD5D81" w:rsidRDefault="008B06DA" w:rsidP="0035003C">
            <w:pPr>
              <w:widowControl/>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9.5%</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center"/>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10%</w:t>
            </w:r>
          </w:p>
        </w:tc>
      </w:tr>
      <w:tr w:rsidR="008B06DA" w:rsidRPr="00AD5D81" w:rsidTr="0035003C">
        <w:trPr>
          <w:trHeight w:val="270"/>
        </w:trPr>
        <w:tc>
          <w:tcPr>
            <w:tcW w:w="724" w:type="dxa"/>
            <w:vMerge w:val="restart"/>
            <w:tcBorders>
              <w:top w:val="single" w:sz="4" w:space="0" w:color="auto"/>
              <w:left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租金</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4.5</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40,580.68 </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38,607.15 </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36,793.19 </w:t>
            </w:r>
          </w:p>
        </w:tc>
        <w:tc>
          <w:tcPr>
            <w:tcW w:w="793" w:type="dxa"/>
            <w:tcBorders>
              <w:top w:val="single" w:sz="4" w:space="0" w:color="auto"/>
              <w:left w:val="single" w:sz="4" w:space="0" w:color="auto"/>
              <w:bottom w:val="single" w:sz="4" w:space="0" w:color="auto"/>
              <w:right w:val="single" w:sz="4" w:space="0" w:color="auto"/>
            </w:tcBorders>
            <w:vAlign w:val="center"/>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35,122.46 </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33,580.53 </w:t>
            </w:r>
          </w:p>
        </w:tc>
      </w:tr>
      <w:tr w:rsidR="008B06DA" w:rsidRPr="00AD5D81" w:rsidTr="0035003C">
        <w:trPr>
          <w:trHeight w:val="270"/>
        </w:trPr>
        <w:tc>
          <w:tcPr>
            <w:tcW w:w="724" w:type="dxa"/>
            <w:vMerge/>
            <w:tcBorders>
              <w:left w:val="single" w:sz="4" w:space="0" w:color="auto"/>
              <w:right w:val="single" w:sz="4" w:space="0" w:color="auto"/>
            </w:tcBorders>
            <w:shd w:val="clear" w:color="auto" w:fill="auto"/>
            <w:noWrap/>
            <w:vAlign w:val="center"/>
            <w:hideMark/>
          </w:tcPr>
          <w:p w:rsidR="008B06DA" w:rsidRPr="00041804" w:rsidRDefault="008B06DA" w:rsidP="0035003C">
            <w:pPr>
              <w:jc w:val="left"/>
              <w:rPr>
                <w:rFonts w:ascii="Times New Roman" w:eastAsia="仿宋_GB2312" w:hAnsi="Times New Roman"/>
                <w:color w:val="000000"/>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4.75</w:t>
            </w:r>
            <w:r w:rsidRPr="00041804">
              <w:rPr>
                <w:rFonts w:ascii="Times New Roman" w:eastAsia="仿宋_GB2312" w:hAnsi="Times New Roman"/>
                <w:color w:val="000000"/>
                <w:kern w:val="0"/>
                <w:sz w:val="28"/>
                <w:szCs w:val="28"/>
              </w:rPr>
              <w:t xml:space="preserve"> </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43,029.40 </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40,936.79 </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39,013.37 </w:t>
            </w:r>
          </w:p>
        </w:tc>
        <w:tc>
          <w:tcPr>
            <w:tcW w:w="793" w:type="dxa"/>
            <w:tcBorders>
              <w:top w:val="single" w:sz="4" w:space="0" w:color="auto"/>
              <w:left w:val="single" w:sz="4" w:space="0" w:color="auto"/>
              <w:bottom w:val="single" w:sz="4" w:space="0" w:color="auto"/>
              <w:right w:val="single" w:sz="4" w:space="0" w:color="auto"/>
            </w:tcBorders>
            <w:vAlign w:val="center"/>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37,241.82 </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35,606.85 </w:t>
            </w:r>
          </w:p>
        </w:tc>
      </w:tr>
      <w:tr w:rsidR="008B06DA" w:rsidRPr="00AD5D81" w:rsidTr="0035003C">
        <w:trPr>
          <w:trHeight w:val="270"/>
        </w:trPr>
        <w:tc>
          <w:tcPr>
            <w:tcW w:w="724" w:type="dxa"/>
            <w:vMerge/>
            <w:tcBorders>
              <w:left w:val="single" w:sz="4" w:space="0" w:color="auto"/>
              <w:right w:val="single" w:sz="4" w:space="0" w:color="auto"/>
            </w:tcBorders>
            <w:shd w:val="clear" w:color="auto" w:fill="auto"/>
            <w:noWrap/>
            <w:vAlign w:val="center"/>
            <w:hideMark/>
          </w:tcPr>
          <w:p w:rsidR="008B06DA" w:rsidRPr="00041804" w:rsidRDefault="008B06DA" w:rsidP="0035003C">
            <w:pPr>
              <w:jc w:val="left"/>
              <w:rPr>
                <w:rFonts w:ascii="Times New Roman" w:eastAsia="仿宋_GB2312" w:hAnsi="Times New Roman"/>
                <w:color w:val="000000"/>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5</w:t>
            </w:r>
            <w:r w:rsidRPr="00041804">
              <w:rPr>
                <w:rFonts w:ascii="Times New Roman" w:eastAsia="仿宋_GB2312" w:hAnsi="Times New Roman"/>
                <w:color w:val="000000"/>
                <w:kern w:val="0"/>
                <w:sz w:val="28"/>
                <w:szCs w:val="28"/>
              </w:rPr>
              <w:t xml:space="preserve"> </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45,478.13 </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43,266.43 </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967607" w:rsidRDefault="008B06DA" w:rsidP="0035003C">
            <w:pPr>
              <w:jc w:val="right"/>
              <w:rPr>
                <w:rFonts w:ascii="Times New Roman" w:eastAsia="仿宋_GB2312" w:hAnsi="Times New Roman"/>
                <w:b/>
                <w:color w:val="000000"/>
                <w:sz w:val="28"/>
                <w:szCs w:val="28"/>
              </w:rPr>
            </w:pPr>
            <w:r w:rsidRPr="00967607">
              <w:rPr>
                <w:rFonts w:ascii="Times New Roman" w:eastAsia="仿宋_GB2312" w:hAnsi="Times New Roman"/>
                <w:b/>
                <w:color w:val="000000"/>
                <w:sz w:val="28"/>
                <w:szCs w:val="28"/>
              </w:rPr>
              <w:t xml:space="preserve">41,233.55 </w:t>
            </w:r>
          </w:p>
        </w:tc>
        <w:tc>
          <w:tcPr>
            <w:tcW w:w="793" w:type="dxa"/>
            <w:tcBorders>
              <w:top w:val="single" w:sz="4" w:space="0" w:color="auto"/>
              <w:left w:val="single" w:sz="4" w:space="0" w:color="auto"/>
              <w:bottom w:val="single" w:sz="4" w:space="0" w:color="auto"/>
              <w:right w:val="single" w:sz="4" w:space="0" w:color="auto"/>
            </w:tcBorders>
            <w:vAlign w:val="center"/>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39,361.19 </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37,633.17 </w:t>
            </w:r>
          </w:p>
        </w:tc>
      </w:tr>
      <w:tr w:rsidR="008B06DA" w:rsidRPr="00AD5D81" w:rsidTr="0035003C">
        <w:trPr>
          <w:trHeight w:val="270"/>
        </w:trPr>
        <w:tc>
          <w:tcPr>
            <w:tcW w:w="724" w:type="dxa"/>
            <w:vMerge/>
            <w:tcBorders>
              <w:left w:val="single" w:sz="4" w:space="0" w:color="auto"/>
              <w:right w:val="single" w:sz="4" w:space="0" w:color="auto"/>
            </w:tcBorders>
            <w:shd w:val="clear" w:color="auto" w:fill="auto"/>
            <w:noWrap/>
            <w:vAlign w:val="center"/>
            <w:hideMark/>
          </w:tcPr>
          <w:p w:rsidR="008B06DA" w:rsidRPr="00041804" w:rsidRDefault="008B06DA" w:rsidP="0035003C">
            <w:pPr>
              <w:jc w:val="left"/>
              <w:rPr>
                <w:rFonts w:ascii="Times New Roman" w:eastAsia="仿宋_GB2312" w:hAnsi="Times New Roman"/>
                <w:color w:val="000000"/>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5.25</w:t>
            </w:r>
            <w:r w:rsidRPr="00041804">
              <w:rPr>
                <w:rFonts w:ascii="Times New Roman" w:eastAsia="仿宋_GB2312" w:hAnsi="Times New Roman"/>
                <w:color w:val="000000"/>
                <w:kern w:val="0"/>
                <w:sz w:val="28"/>
                <w:szCs w:val="28"/>
              </w:rPr>
              <w:t xml:space="preserve"> </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47,926.85 </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45,596.07 </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43,453.73 </w:t>
            </w:r>
          </w:p>
        </w:tc>
        <w:tc>
          <w:tcPr>
            <w:tcW w:w="793" w:type="dxa"/>
            <w:tcBorders>
              <w:top w:val="single" w:sz="4" w:space="0" w:color="auto"/>
              <w:left w:val="single" w:sz="4" w:space="0" w:color="auto"/>
              <w:bottom w:val="single" w:sz="4" w:space="0" w:color="auto"/>
              <w:right w:val="single" w:sz="4" w:space="0" w:color="auto"/>
            </w:tcBorders>
            <w:vAlign w:val="center"/>
          </w:tcPr>
          <w:p w:rsidR="008B06DA" w:rsidRPr="00967607" w:rsidRDefault="008B06DA" w:rsidP="0035003C">
            <w:pPr>
              <w:jc w:val="right"/>
              <w:rPr>
                <w:rFonts w:ascii="Times New Roman" w:eastAsia="仿宋_GB2312" w:hAnsi="Times New Roman"/>
                <w:color w:val="000000"/>
                <w:sz w:val="28"/>
                <w:szCs w:val="28"/>
              </w:rPr>
            </w:pPr>
            <w:r w:rsidRPr="00967607">
              <w:rPr>
                <w:rFonts w:ascii="Times New Roman" w:eastAsia="仿宋_GB2312" w:hAnsi="Times New Roman"/>
                <w:color w:val="000000"/>
                <w:sz w:val="28"/>
                <w:szCs w:val="28"/>
              </w:rPr>
              <w:t xml:space="preserve">41,480.55 </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39,659.49 </w:t>
            </w:r>
          </w:p>
        </w:tc>
      </w:tr>
      <w:tr w:rsidR="008B06DA" w:rsidRPr="00AD5D81" w:rsidTr="0035003C">
        <w:trPr>
          <w:trHeight w:val="270"/>
        </w:trPr>
        <w:tc>
          <w:tcPr>
            <w:tcW w:w="724" w:type="dxa"/>
            <w:vMerge/>
            <w:tcBorders>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5.5</w:t>
            </w:r>
            <w:r w:rsidRPr="00041804">
              <w:rPr>
                <w:rFonts w:ascii="Times New Roman" w:eastAsia="仿宋_GB2312" w:hAnsi="Times New Roman"/>
                <w:color w:val="000000"/>
                <w:kern w:val="0"/>
                <w:sz w:val="28"/>
                <w:szCs w:val="28"/>
              </w:rPr>
              <w:t xml:space="preserve"> </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50,375.58 </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47,925.71 </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45,673.92 </w:t>
            </w:r>
          </w:p>
        </w:tc>
        <w:tc>
          <w:tcPr>
            <w:tcW w:w="793" w:type="dxa"/>
            <w:tcBorders>
              <w:top w:val="single" w:sz="4" w:space="0" w:color="auto"/>
              <w:left w:val="single" w:sz="4" w:space="0" w:color="auto"/>
              <w:bottom w:val="single" w:sz="4" w:space="0" w:color="auto"/>
              <w:right w:val="single" w:sz="4" w:space="0" w:color="auto"/>
            </w:tcBorders>
            <w:vAlign w:val="center"/>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43,599.92 </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AD5D81" w:rsidRDefault="008B06DA" w:rsidP="0035003C">
            <w:pPr>
              <w:jc w:val="right"/>
              <w:rPr>
                <w:rFonts w:ascii="Times New Roman" w:eastAsia="仿宋_GB2312" w:hAnsi="Times New Roman"/>
                <w:color w:val="000000"/>
                <w:sz w:val="28"/>
                <w:szCs w:val="28"/>
              </w:rPr>
            </w:pPr>
            <w:r w:rsidRPr="00AD5D81">
              <w:rPr>
                <w:rFonts w:ascii="Times New Roman" w:eastAsia="仿宋_GB2312" w:hAnsi="Times New Roman"/>
                <w:color w:val="000000"/>
                <w:sz w:val="28"/>
                <w:szCs w:val="28"/>
              </w:rPr>
              <w:t xml:space="preserve">41,685.81 </w:t>
            </w:r>
          </w:p>
        </w:tc>
      </w:tr>
    </w:tbl>
    <w:p w:rsidR="00337D7F" w:rsidRDefault="008B06DA" w:rsidP="00337D7F">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Pr>
          <w:rFonts w:ascii="Times New Roman" w:eastAsia="仿宋_GB2312" w:hAnsi="宋体" w:hint="eastAsia"/>
          <w:spacing w:val="-2"/>
          <w:sz w:val="32"/>
          <w:szCs w:val="24"/>
        </w:rPr>
        <w:t>上述敏感性分析计算仅为揭示评估参数估计的不确定性对评估值的影响，以及说明</w:t>
      </w:r>
      <w:r w:rsidRPr="00470D69">
        <w:rPr>
          <w:rFonts w:ascii="Times New Roman" w:eastAsia="仿宋_GB2312" w:hAnsi="宋体" w:hint="eastAsia"/>
          <w:spacing w:val="-2"/>
          <w:sz w:val="32"/>
          <w:szCs w:val="24"/>
        </w:rPr>
        <w:t>评估结论存在的不确定性</w:t>
      </w:r>
      <w:r>
        <w:rPr>
          <w:rFonts w:ascii="Times New Roman" w:eastAsia="仿宋_GB2312" w:hAnsi="宋体" w:hint="eastAsia"/>
          <w:spacing w:val="-2"/>
          <w:sz w:val="32"/>
          <w:szCs w:val="24"/>
        </w:rPr>
        <w:t>，</w:t>
      </w:r>
      <w:proofErr w:type="gramStart"/>
      <w:r>
        <w:rPr>
          <w:rFonts w:ascii="Times New Roman" w:eastAsia="仿宋_GB2312" w:hAnsi="宋体" w:hint="eastAsia"/>
          <w:spacing w:val="-2"/>
          <w:sz w:val="32"/>
          <w:szCs w:val="24"/>
        </w:rPr>
        <w:t>供委托</w:t>
      </w:r>
      <w:proofErr w:type="gramEnd"/>
      <w:r>
        <w:rPr>
          <w:rFonts w:ascii="Times New Roman" w:eastAsia="仿宋_GB2312" w:hAnsi="宋体" w:hint="eastAsia"/>
          <w:spacing w:val="-2"/>
          <w:sz w:val="32"/>
          <w:szCs w:val="24"/>
        </w:rPr>
        <w:t>方和评估报告使用者参考，但并不影响评估师基于已掌握</w:t>
      </w:r>
      <w:r w:rsidR="00803FE9">
        <w:rPr>
          <w:rFonts w:ascii="Times New Roman" w:eastAsia="仿宋_GB2312" w:hAnsi="宋体" w:hint="eastAsia"/>
          <w:spacing w:val="-2"/>
          <w:sz w:val="32"/>
          <w:szCs w:val="24"/>
        </w:rPr>
        <w:t>的信息资料对相关评估参数</w:t>
      </w:r>
      <w:proofErr w:type="gramStart"/>
      <w:r w:rsidR="00803FE9">
        <w:rPr>
          <w:rFonts w:ascii="Times New Roman" w:eastAsia="仿宋_GB2312" w:hAnsi="宋体" w:hint="eastAsia"/>
          <w:spacing w:val="-2"/>
          <w:sz w:val="32"/>
          <w:szCs w:val="24"/>
        </w:rPr>
        <w:t>作出</w:t>
      </w:r>
      <w:proofErr w:type="gramEnd"/>
      <w:r w:rsidR="00803FE9">
        <w:rPr>
          <w:rFonts w:ascii="Times New Roman" w:eastAsia="仿宋_GB2312" w:hAnsi="宋体" w:hint="eastAsia"/>
          <w:spacing w:val="-2"/>
          <w:sz w:val="32"/>
          <w:szCs w:val="24"/>
        </w:rPr>
        <w:t>的估计判断，也不影响评估结论的成立</w:t>
      </w:r>
      <w:r>
        <w:rPr>
          <w:rFonts w:ascii="Times New Roman" w:eastAsia="仿宋_GB2312" w:hAnsi="宋体" w:hint="eastAsia"/>
          <w:spacing w:val="-2"/>
          <w:sz w:val="32"/>
          <w:szCs w:val="24"/>
        </w:rPr>
        <w:t>。</w:t>
      </w:r>
    </w:p>
    <w:p w:rsidR="008B06DA" w:rsidRPr="00470D69" w:rsidRDefault="008B06DA" w:rsidP="00337D7F">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示例</w:t>
      </w:r>
      <w:r>
        <w:rPr>
          <w:rFonts w:ascii="Times New Roman" w:eastAsia="仿宋_GB2312" w:hAnsi="宋体" w:hint="eastAsia"/>
          <w:spacing w:val="-2"/>
          <w:sz w:val="32"/>
          <w:szCs w:val="24"/>
        </w:rPr>
        <w:t>二</w:t>
      </w:r>
    </w:p>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一、有关数据及评估结论</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评估对象为</w:t>
      </w:r>
      <w:r>
        <w:rPr>
          <w:rFonts w:ascii="Times New Roman" w:eastAsia="仿宋_GB2312" w:hAnsi="宋体" w:hint="eastAsia"/>
          <w:spacing w:val="-2"/>
          <w:sz w:val="32"/>
          <w:szCs w:val="24"/>
        </w:rPr>
        <w:t>某公司股东全部权益。采用</w:t>
      </w:r>
      <w:r w:rsidRPr="007F331D">
        <w:rPr>
          <w:rFonts w:ascii="Times New Roman" w:eastAsia="仿宋_GB2312" w:hAnsi="宋体" w:hint="eastAsia"/>
          <w:spacing w:val="-2"/>
          <w:sz w:val="32"/>
          <w:szCs w:val="24"/>
        </w:rPr>
        <w:t>企业自由现金流</w:t>
      </w:r>
      <w:r>
        <w:rPr>
          <w:rFonts w:ascii="Times New Roman" w:eastAsia="仿宋_GB2312" w:hAnsi="宋体" w:hint="eastAsia"/>
          <w:spacing w:val="-2"/>
          <w:sz w:val="32"/>
          <w:szCs w:val="24"/>
        </w:rPr>
        <w:t>折现模型进行评估。主要数据及计算过程如下（单位：万元）：</w:t>
      </w:r>
    </w:p>
    <w:tbl>
      <w:tblPr>
        <w:tblW w:w="6088" w:type="dxa"/>
        <w:jc w:val="center"/>
        <w:tblInd w:w="108" w:type="dxa"/>
        <w:tblLook w:val="04A0" w:firstRow="1" w:lastRow="0" w:firstColumn="1" w:lastColumn="0" w:noHBand="0" w:noVBand="1"/>
      </w:tblPr>
      <w:tblGrid>
        <w:gridCol w:w="3896"/>
        <w:gridCol w:w="1096"/>
        <w:gridCol w:w="1096"/>
      </w:tblGrid>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b/>
                <w:bCs/>
                <w:kern w:val="0"/>
                <w:sz w:val="18"/>
                <w:szCs w:val="18"/>
              </w:rPr>
            </w:pPr>
            <w:r w:rsidRPr="007F331D">
              <w:rPr>
                <w:rFonts w:ascii="宋体" w:hAnsi="宋体" w:cs="宋体" w:hint="eastAsia"/>
                <w:b/>
                <w:bCs/>
                <w:kern w:val="0"/>
                <w:sz w:val="18"/>
                <w:szCs w:val="18"/>
              </w:rPr>
              <w:t>项目</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b/>
                <w:bCs/>
                <w:kern w:val="0"/>
                <w:sz w:val="18"/>
                <w:szCs w:val="18"/>
              </w:rPr>
            </w:pPr>
            <w:r w:rsidRPr="007F331D">
              <w:rPr>
                <w:rFonts w:ascii="宋体" w:hAnsi="宋体" w:cs="宋体" w:hint="eastAsia"/>
                <w:b/>
                <w:bCs/>
                <w:kern w:val="0"/>
                <w:sz w:val="18"/>
                <w:szCs w:val="18"/>
              </w:rPr>
              <w:t>预测</w:t>
            </w:r>
            <w:r>
              <w:rPr>
                <w:rFonts w:ascii="宋体" w:hAnsi="宋体" w:cs="宋体" w:hint="eastAsia"/>
                <w:b/>
                <w:bCs/>
                <w:kern w:val="0"/>
                <w:sz w:val="18"/>
                <w:szCs w:val="18"/>
              </w:rPr>
              <w:t>期</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b/>
                <w:bCs/>
                <w:kern w:val="0"/>
                <w:sz w:val="18"/>
                <w:szCs w:val="18"/>
              </w:rPr>
            </w:pPr>
            <w:r w:rsidRPr="007F331D">
              <w:rPr>
                <w:rFonts w:ascii="宋体" w:hAnsi="宋体" w:cs="宋体" w:hint="eastAsia"/>
                <w:b/>
                <w:bCs/>
                <w:kern w:val="0"/>
                <w:sz w:val="18"/>
                <w:szCs w:val="18"/>
              </w:rPr>
              <w:t>永续期</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Pr>
                <w:rFonts w:ascii="宋体" w:hAnsi="宋体" w:cs="宋体" w:hint="eastAsia"/>
                <w:kern w:val="0"/>
                <w:sz w:val="18"/>
                <w:szCs w:val="18"/>
              </w:rPr>
              <w:t>业务单</w:t>
            </w:r>
            <w:r w:rsidRPr="007F331D">
              <w:rPr>
                <w:rFonts w:ascii="宋体" w:hAnsi="宋体" w:cs="宋体" w:hint="eastAsia"/>
                <w:kern w:val="0"/>
                <w:sz w:val="18"/>
                <w:szCs w:val="18"/>
              </w:rPr>
              <w:t>价</w:t>
            </w:r>
            <w:r>
              <w:rPr>
                <w:rFonts w:ascii="宋体" w:hAnsi="宋体" w:cs="宋体" w:hint="eastAsia"/>
                <w:kern w:val="0"/>
                <w:sz w:val="18"/>
                <w:szCs w:val="18"/>
              </w:rPr>
              <w:t>（元）</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32.00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32.00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业务量</w:t>
            </w:r>
            <w:r>
              <w:rPr>
                <w:rFonts w:ascii="宋体" w:hAnsi="宋体" w:cs="宋体" w:hint="eastAsia"/>
                <w:kern w:val="0"/>
                <w:sz w:val="18"/>
                <w:szCs w:val="18"/>
              </w:rPr>
              <w:t>（万个）</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152.00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152.00 </w:t>
            </w:r>
          </w:p>
        </w:tc>
      </w:tr>
      <w:tr w:rsidR="008B06DA" w:rsidRPr="007F331D" w:rsidTr="0035003C">
        <w:trPr>
          <w:trHeight w:val="225"/>
          <w:jc w:val="center"/>
        </w:trPr>
        <w:tc>
          <w:tcPr>
            <w:tcW w:w="3896" w:type="dxa"/>
            <w:tcBorders>
              <w:top w:val="nil"/>
              <w:left w:val="nil"/>
              <w:bottom w:val="single" w:sz="4" w:space="0" w:color="auto"/>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Pr>
                <w:rFonts w:ascii="宋体" w:hAnsi="宋体" w:cs="宋体" w:hint="eastAsia"/>
                <w:kern w:val="0"/>
                <w:sz w:val="18"/>
                <w:szCs w:val="18"/>
              </w:rPr>
              <w:t>单位变动成本（元）</w:t>
            </w:r>
          </w:p>
        </w:tc>
        <w:tc>
          <w:tcPr>
            <w:tcW w:w="1096" w:type="dxa"/>
            <w:tcBorders>
              <w:top w:val="nil"/>
              <w:left w:val="nil"/>
              <w:bottom w:val="single" w:sz="4" w:space="0" w:color="auto"/>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Pr>
                <w:rFonts w:ascii="Tahoma" w:hAnsi="Tahoma" w:cs="Tahoma" w:hint="eastAsia"/>
                <w:kern w:val="0"/>
                <w:sz w:val="18"/>
                <w:szCs w:val="18"/>
              </w:rPr>
              <w:t>16</w:t>
            </w:r>
            <w:r w:rsidRPr="007F331D">
              <w:rPr>
                <w:rFonts w:ascii="Tahoma" w:hAnsi="Tahoma" w:cs="Tahoma"/>
                <w:kern w:val="0"/>
                <w:sz w:val="18"/>
                <w:szCs w:val="18"/>
              </w:rPr>
              <w:t xml:space="preserve">.00 </w:t>
            </w:r>
          </w:p>
        </w:tc>
        <w:tc>
          <w:tcPr>
            <w:tcW w:w="1096" w:type="dxa"/>
            <w:tcBorders>
              <w:top w:val="nil"/>
              <w:left w:val="nil"/>
              <w:bottom w:val="single" w:sz="4" w:space="0" w:color="auto"/>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Pr>
                <w:rFonts w:ascii="Tahoma" w:hAnsi="Tahoma" w:cs="Tahoma" w:hint="eastAsia"/>
                <w:kern w:val="0"/>
                <w:sz w:val="18"/>
                <w:szCs w:val="18"/>
              </w:rPr>
              <w:t>16</w:t>
            </w:r>
            <w:r w:rsidRPr="007F331D">
              <w:rPr>
                <w:rFonts w:ascii="Tahoma" w:hAnsi="Tahoma" w:cs="Tahoma"/>
                <w:kern w:val="0"/>
                <w:sz w:val="18"/>
                <w:szCs w:val="18"/>
              </w:rPr>
              <w:t xml:space="preserve">.00 </w:t>
            </w:r>
          </w:p>
        </w:tc>
      </w:tr>
      <w:tr w:rsidR="008B06DA" w:rsidRPr="007F331D" w:rsidTr="0035003C">
        <w:trPr>
          <w:trHeight w:val="225"/>
          <w:jc w:val="center"/>
        </w:trPr>
        <w:tc>
          <w:tcPr>
            <w:tcW w:w="3896" w:type="dxa"/>
            <w:tcBorders>
              <w:top w:val="single" w:sz="4" w:space="0" w:color="auto"/>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营业收入</w:t>
            </w:r>
          </w:p>
        </w:tc>
        <w:tc>
          <w:tcPr>
            <w:tcW w:w="1096" w:type="dxa"/>
            <w:tcBorders>
              <w:top w:val="single" w:sz="4" w:space="0" w:color="auto"/>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4864.00 </w:t>
            </w:r>
          </w:p>
        </w:tc>
        <w:tc>
          <w:tcPr>
            <w:tcW w:w="1096" w:type="dxa"/>
            <w:tcBorders>
              <w:top w:val="single" w:sz="4" w:space="0" w:color="auto"/>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4864.00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减：营业成本</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3012.00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3012.00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 xml:space="preserve">    营业税金及附加</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267.52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267.52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 xml:space="preserve">    营业费用</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100.00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100.00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 xml:space="preserve">    管理费用</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150.00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150.00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 xml:space="preserve">    财务费用</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35.00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35.00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营业利润</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1299.48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1299.48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lastRenderedPageBreak/>
              <w:t>减：所得税</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324.87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324.87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bCs/>
                <w:kern w:val="0"/>
                <w:sz w:val="18"/>
                <w:szCs w:val="18"/>
              </w:rPr>
            </w:pPr>
            <w:r w:rsidRPr="007F331D">
              <w:rPr>
                <w:rFonts w:ascii="宋体" w:hAnsi="宋体" w:cs="宋体" w:hint="eastAsia"/>
                <w:bCs/>
                <w:kern w:val="0"/>
                <w:sz w:val="18"/>
                <w:szCs w:val="18"/>
              </w:rPr>
              <w:t>净利润</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bCs/>
                <w:kern w:val="0"/>
                <w:sz w:val="18"/>
                <w:szCs w:val="18"/>
              </w:rPr>
            </w:pPr>
            <w:r w:rsidRPr="007F331D">
              <w:rPr>
                <w:rFonts w:ascii="Tahoma" w:hAnsi="Tahoma" w:cs="Tahoma"/>
                <w:bCs/>
                <w:kern w:val="0"/>
                <w:sz w:val="18"/>
                <w:szCs w:val="18"/>
              </w:rPr>
              <w:t xml:space="preserve">974.61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bCs/>
                <w:kern w:val="0"/>
                <w:sz w:val="18"/>
                <w:szCs w:val="18"/>
              </w:rPr>
            </w:pPr>
            <w:r w:rsidRPr="007F331D">
              <w:rPr>
                <w:rFonts w:ascii="Tahoma" w:hAnsi="Tahoma" w:cs="Tahoma"/>
                <w:bCs/>
                <w:kern w:val="0"/>
                <w:sz w:val="18"/>
                <w:szCs w:val="18"/>
              </w:rPr>
              <w:t xml:space="preserve">974.61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加：扣税利息</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26.25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26.25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r w:rsidRPr="007F331D">
              <w:rPr>
                <w:rFonts w:ascii="Tahoma" w:hAnsi="Tahoma" w:cs="Tahoma"/>
                <w:kern w:val="0"/>
                <w:sz w:val="18"/>
                <w:szCs w:val="18"/>
              </w:rPr>
              <w:t xml:space="preserve">      </w:t>
            </w:r>
            <w:r w:rsidRPr="007F331D">
              <w:rPr>
                <w:rFonts w:ascii="宋体" w:hAnsi="宋体" w:cs="Tahoma" w:hint="eastAsia"/>
                <w:kern w:val="0"/>
                <w:sz w:val="18"/>
                <w:szCs w:val="18"/>
              </w:rPr>
              <w:t>折旧</w:t>
            </w:r>
            <w:r w:rsidRPr="007F331D">
              <w:rPr>
                <w:rFonts w:ascii="Tahoma" w:hAnsi="Tahoma" w:cs="Tahoma"/>
                <w:kern w:val="0"/>
                <w:sz w:val="18"/>
                <w:szCs w:val="18"/>
              </w:rPr>
              <w:t>/</w:t>
            </w:r>
            <w:r w:rsidRPr="007F331D">
              <w:rPr>
                <w:rFonts w:ascii="宋体" w:hAnsi="宋体" w:cs="Tahoma" w:hint="eastAsia"/>
                <w:kern w:val="0"/>
                <w:sz w:val="18"/>
                <w:szCs w:val="18"/>
              </w:rPr>
              <w:t>摊销</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500.00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500.00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减：资本性支出</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1000.00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520.00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r w:rsidRPr="007F331D">
              <w:rPr>
                <w:rFonts w:ascii="Tahoma" w:hAnsi="Tahoma" w:cs="Tahoma"/>
                <w:kern w:val="0"/>
                <w:sz w:val="18"/>
                <w:szCs w:val="18"/>
              </w:rPr>
              <w:t xml:space="preserve">      </w:t>
            </w:r>
            <w:r w:rsidRPr="007F331D">
              <w:rPr>
                <w:rFonts w:ascii="宋体" w:hAnsi="宋体" w:cs="Tahoma" w:hint="eastAsia"/>
                <w:kern w:val="0"/>
                <w:sz w:val="18"/>
                <w:szCs w:val="18"/>
              </w:rPr>
              <w:t>营运资金增加</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17.61 </w:t>
            </w:r>
          </w:p>
        </w:tc>
        <w:tc>
          <w:tcPr>
            <w:tcW w:w="1096" w:type="dxa"/>
            <w:tcBorders>
              <w:top w:val="nil"/>
              <w:left w:val="nil"/>
              <w:bottom w:val="nil"/>
              <w:right w:val="nil"/>
            </w:tcBorders>
            <w:shd w:val="clear" w:color="auto" w:fill="auto"/>
            <w:noWrap/>
            <w:vAlign w:val="center"/>
            <w:hideMark/>
          </w:tcPr>
          <w:p w:rsidR="008B06DA" w:rsidRPr="00135CDE" w:rsidRDefault="008B06DA" w:rsidP="0035003C">
            <w:pPr>
              <w:widowControl/>
              <w:jc w:val="right"/>
              <w:rPr>
                <w:rFonts w:ascii="Tahoma" w:hAnsi="Tahoma" w:cs="Tahoma"/>
                <w:kern w:val="0"/>
                <w:sz w:val="18"/>
                <w:szCs w:val="18"/>
              </w:rPr>
            </w:pPr>
            <w:r w:rsidRPr="00283768">
              <w:rPr>
                <w:rFonts w:ascii="Tahoma" w:hAnsi="Tahoma" w:cs="Tahoma"/>
                <w:kern w:val="0"/>
                <w:sz w:val="18"/>
                <w:szCs w:val="18"/>
              </w:rPr>
              <w:t xml:space="preserve">0.00 </w:t>
            </w:r>
          </w:p>
        </w:tc>
      </w:tr>
      <w:tr w:rsidR="008B06DA" w:rsidRPr="007F331D" w:rsidTr="0035003C">
        <w:trPr>
          <w:trHeight w:val="225"/>
          <w:jc w:val="center"/>
        </w:trPr>
        <w:tc>
          <w:tcPr>
            <w:tcW w:w="3896" w:type="dxa"/>
            <w:tcBorders>
              <w:top w:val="nil"/>
              <w:left w:val="nil"/>
              <w:bottom w:val="single" w:sz="4" w:space="0" w:color="auto"/>
              <w:right w:val="nil"/>
            </w:tcBorders>
            <w:shd w:val="clear" w:color="auto" w:fill="auto"/>
            <w:noWrap/>
            <w:vAlign w:val="center"/>
            <w:hideMark/>
          </w:tcPr>
          <w:p w:rsidR="008B06DA" w:rsidRPr="007F331D" w:rsidRDefault="008B06DA" w:rsidP="0035003C">
            <w:pPr>
              <w:widowControl/>
              <w:jc w:val="left"/>
              <w:rPr>
                <w:rFonts w:ascii="宋体" w:hAnsi="宋体" w:cs="宋体"/>
                <w:bCs/>
                <w:kern w:val="0"/>
                <w:sz w:val="18"/>
                <w:szCs w:val="18"/>
              </w:rPr>
            </w:pPr>
            <w:r w:rsidRPr="007F331D">
              <w:rPr>
                <w:rFonts w:ascii="宋体" w:hAnsi="宋体" w:cs="宋体" w:hint="eastAsia"/>
                <w:bCs/>
                <w:kern w:val="0"/>
                <w:sz w:val="18"/>
                <w:szCs w:val="18"/>
              </w:rPr>
              <w:t>企业自由现金流</w:t>
            </w:r>
          </w:p>
        </w:tc>
        <w:tc>
          <w:tcPr>
            <w:tcW w:w="1096" w:type="dxa"/>
            <w:tcBorders>
              <w:top w:val="nil"/>
              <w:left w:val="nil"/>
              <w:bottom w:val="single" w:sz="4" w:space="0" w:color="auto"/>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483.25 </w:t>
            </w:r>
          </w:p>
        </w:tc>
        <w:tc>
          <w:tcPr>
            <w:tcW w:w="1096" w:type="dxa"/>
            <w:tcBorders>
              <w:top w:val="nil"/>
              <w:left w:val="nil"/>
              <w:bottom w:val="single" w:sz="4" w:space="0" w:color="auto"/>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980.86 </w:t>
            </w:r>
          </w:p>
        </w:tc>
      </w:tr>
      <w:tr w:rsidR="008B06DA" w:rsidRPr="007F331D" w:rsidTr="0035003C">
        <w:trPr>
          <w:trHeight w:val="225"/>
          <w:jc w:val="center"/>
        </w:trPr>
        <w:tc>
          <w:tcPr>
            <w:tcW w:w="3896" w:type="dxa"/>
            <w:tcBorders>
              <w:top w:val="single" w:sz="4" w:space="0" w:color="auto"/>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无风险报酬率</w:t>
            </w:r>
            <w:r w:rsidRPr="007F331D">
              <w:rPr>
                <w:rFonts w:ascii="Tahoma" w:hAnsi="Tahoma" w:cs="Tahoma"/>
                <w:kern w:val="0"/>
                <w:sz w:val="18"/>
                <w:szCs w:val="18"/>
              </w:rPr>
              <w:t xml:space="preserve"> </w:t>
            </w:r>
            <w:proofErr w:type="spellStart"/>
            <w:r w:rsidRPr="007F331D">
              <w:rPr>
                <w:rFonts w:ascii="Tahoma" w:hAnsi="Tahoma" w:cs="Tahoma"/>
                <w:kern w:val="0"/>
                <w:sz w:val="18"/>
                <w:szCs w:val="18"/>
              </w:rPr>
              <w:t>Rf</w:t>
            </w:r>
            <w:proofErr w:type="spellEnd"/>
          </w:p>
        </w:tc>
        <w:tc>
          <w:tcPr>
            <w:tcW w:w="1096" w:type="dxa"/>
            <w:tcBorders>
              <w:top w:val="single" w:sz="4" w:space="0" w:color="auto"/>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4%</w:t>
            </w:r>
          </w:p>
        </w:tc>
        <w:tc>
          <w:tcPr>
            <w:tcW w:w="1096" w:type="dxa"/>
            <w:tcBorders>
              <w:top w:val="single" w:sz="4" w:space="0" w:color="auto"/>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Pr>
                <w:rFonts w:ascii="宋体" w:hAnsi="宋体" w:cs="宋体" w:hint="eastAsia"/>
                <w:kern w:val="0"/>
                <w:sz w:val="18"/>
                <w:szCs w:val="18"/>
              </w:rPr>
              <w:t>市场</w:t>
            </w:r>
            <w:r w:rsidRPr="007F331D">
              <w:rPr>
                <w:rFonts w:ascii="宋体" w:hAnsi="宋体" w:cs="宋体" w:hint="eastAsia"/>
                <w:kern w:val="0"/>
                <w:sz w:val="18"/>
                <w:szCs w:val="18"/>
              </w:rPr>
              <w:t>风险溢价</w:t>
            </w:r>
            <w:r w:rsidRPr="007F331D">
              <w:rPr>
                <w:rFonts w:ascii="Tahoma" w:hAnsi="Tahoma" w:cs="Tahoma"/>
                <w:kern w:val="0"/>
                <w:sz w:val="18"/>
                <w:szCs w:val="18"/>
              </w:rPr>
              <w:t xml:space="preserve"> MRP Market risk premium</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7%</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b/>
                <w:bCs/>
                <w:kern w:val="0"/>
                <w:sz w:val="18"/>
                <w:szCs w:val="18"/>
              </w:rPr>
            </w:pP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r w:rsidRPr="007F331D">
              <w:rPr>
                <w:rFonts w:ascii="Tahoma" w:hAnsi="Tahoma" w:cs="Tahoma"/>
                <w:kern w:val="0"/>
                <w:sz w:val="18"/>
                <w:szCs w:val="18"/>
              </w:rPr>
              <w:t>Beta U</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1.12</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所得税率</w:t>
            </w:r>
            <w:r w:rsidRPr="007F331D">
              <w:rPr>
                <w:rFonts w:ascii="Tahoma" w:hAnsi="Tahoma" w:cs="Tahoma"/>
                <w:kern w:val="0"/>
                <w:sz w:val="18"/>
                <w:szCs w:val="18"/>
              </w:rPr>
              <w:t>t</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25%</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付息债务市值</w:t>
            </w:r>
            <w:r w:rsidRPr="007F331D">
              <w:rPr>
                <w:rFonts w:ascii="Tahoma" w:hAnsi="Tahoma" w:cs="Tahoma"/>
                <w:kern w:val="0"/>
                <w:sz w:val="18"/>
                <w:szCs w:val="18"/>
              </w:rPr>
              <w:t xml:space="preserve"> D</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500.00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135CDE" w:rsidRDefault="008B06DA" w:rsidP="0035003C">
            <w:pPr>
              <w:widowControl/>
              <w:jc w:val="left"/>
              <w:rPr>
                <w:rFonts w:ascii="宋体" w:hAnsi="宋体" w:cs="宋体"/>
                <w:b/>
                <w:kern w:val="0"/>
                <w:sz w:val="18"/>
                <w:szCs w:val="18"/>
              </w:rPr>
            </w:pPr>
            <w:r w:rsidRPr="00283768">
              <w:rPr>
                <w:rFonts w:ascii="宋体" w:hAnsi="宋体" w:cs="宋体" w:hint="eastAsia"/>
                <w:b/>
                <w:kern w:val="0"/>
                <w:sz w:val="18"/>
                <w:szCs w:val="18"/>
              </w:rPr>
              <w:t>股权市值</w:t>
            </w:r>
            <w:r w:rsidRPr="00283768">
              <w:rPr>
                <w:rFonts w:ascii="Tahoma" w:hAnsi="Tahoma" w:cs="Tahoma"/>
                <w:b/>
                <w:kern w:val="0"/>
                <w:sz w:val="18"/>
                <w:szCs w:val="18"/>
              </w:rPr>
              <w:t xml:space="preserve"> E</w:t>
            </w:r>
          </w:p>
        </w:tc>
        <w:tc>
          <w:tcPr>
            <w:tcW w:w="1096" w:type="dxa"/>
            <w:tcBorders>
              <w:top w:val="nil"/>
              <w:left w:val="nil"/>
              <w:bottom w:val="nil"/>
              <w:right w:val="nil"/>
            </w:tcBorders>
            <w:shd w:val="clear" w:color="auto" w:fill="auto"/>
            <w:noWrap/>
            <w:vAlign w:val="center"/>
            <w:hideMark/>
          </w:tcPr>
          <w:p w:rsidR="008B06DA" w:rsidRPr="00135CDE" w:rsidRDefault="008B06DA" w:rsidP="0035003C">
            <w:pPr>
              <w:widowControl/>
              <w:jc w:val="right"/>
              <w:rPr>
                <w:rFonts w:ascii="Tahoma" w:hAnsi="Tahoma" w:cs="Tahoma"/>
                <w:b/>
                <w:bCs/>
                <w:kern w:val="0"/>
                <w:sz w:val="18"/>
                <w:szCs w:val="18"/>
              </w:rPr>
            </w:pPr>
            <w:r w:rsidRPr="00135CDE">
              <w:rPr>
                <w:rFonts w:ascii="Tahoma" w:hAnsi="Tahoma" w:cs="Tahoma"/>
                <w:b/>
                <w:bCs/>
                <w:kern w:val="0"/>
                <w:sz w:val="18"/>
                <w:szCs w:val="18"/>
              </w:rPr>
              <w:t xml:space="preserve">7370.86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r w:rsidRPr="007F331D">
              <w:rPr>
                <w:rFonts w:ascii="Tahoma" w:hAnsi="Tahoma" w:cs="Tahoma"/>
                <w:kern w:val="0"/>
                <w:sz w:val="18"/>
                <w:szCs w:val="18"/>
              </w:rPr>
              <w:t>D/E</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6.78%</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企业整体价值</w:t>
            </w:r>
            <w:r w:rsidRPr="007F331D">
              <w:rPr>
                <w:rFonts w:ascii="Tahoma" w:hAnsi="Tahoma" w:cs="Tahoma"/>
                <w:kern w:val="0"/>
                <w:sz w:val="18"/>
                <w:szCs w:val="18"/>
              </w:rPr>
              <w:t xml:space="preserve"> V=D+E</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7870.86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b/>
                <w:bCs/>
                <w:kern w:val="0"/>
                <w:sz w:val="18"/>
                <w:szCs w:val="18"/>
              </w:rPr>
            </w:pP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r w:rsidRPr="007F331D">
              <w:rPr>
                <w:rFonts w:ascii="Tahoma" w:hAnsi="Tahoma" w:cs="Tahoma"/>
                <w:kern w:val="0"/>
                <w:sz w:val="18"/>
                <w:szCs w:val="18"/>
              </w:rPr>
              <w:t>Beta L=Beta U*(1+(1-t)*D/E)</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1.1770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216566" w:rsidRDefault="008B06DA" w:rsidP="0035003C">
            <w:pPr>
              <w:widowControl/>
              <w:jc w:val="left"/>
              <w:rPr>
                <w:rFonts w:ascii="宋体" w:hAnsi="宋体" w:cs="宋体"/>
                <w:kern w:val="0"/>
                <w:sz w:val="18"/>
                <w:szCs w:val="18"/>
              </w:rPr>
            </w:pPr>
            <w:r w:rsidRPr="00216566">
              <w:rPr>
                <w:rFonts w:ascii="宋体" w:hAnsi="宋体" w:cs="宋体" w:hint="eastAsia"/>
                <w:kern w:val="0"/>
                <w:sz w:val="18"/>
                <w:szCs w:val="18"/>
              </w:rPr>
              <w:t>特别风险系数</w:t>
            </w:r>
            <w:proofErr w:type="spellStart"/>
            <w:r w:rsidRPr="00216566">
              <w:rPr>
                <w:rFonts w:ascii="Tahoma" w:hAnsi="Tahoma" w:cs="Tahoma"/>
                <w:kern w:val="0"/>
                <w:sz w:val="18"/>
                <w:szCs w:val="18"/>
              </w:rPr>
              <w:t>Rc</w:t>
            </w:r>
            <w:proofErr w:type="spellEnd"/>
          </w:p>
        </w:tc>
        <w:tc>
          <w:tcPr>
            <w:tcW w:w="1096" w:type="dxa"/>
            <w:tcBorders>
              <w:top w:val="nil"/>
              <w:left w:val="nil"/>
              <w:bottom w:val="nil"/>
              <w:right w:val="nil"/>
            </w:tcBorders>
            <w:shd w:val="clear" w:color="auto" w:fill="auto"/>
            <w:noWrap/>
            <w:vAlign w:val="center"/>
            <w:hideMark/>
          </w:tcPr>
          <w:p w:rsidR="008B06DA" w:rsidRPr="00216566" w:rsidRDefault="008B06DA" w:rsidP="0035003C">
            <w:pPr>
              <w:widowControl/>
              <w:jc w:val="right"/>
              <w:rPr>
                <w:rFonts w:ascii="Tahoma" w:hAnsi="Tahoma" w:cs="Tahoma"/>
                <w:kern w:val="0"/>
                <w:sz w:val="18"/>
                <w:szCs w:val="18"/>
              </w:rPr>
            </w:pPr>
            <w:r w:rsidRPr="00216566">
              <w:rPr>
                <w:rFonts w:ascii="Tahoma" w:hAnsi="Tahoma" w:cs="Tahoma"/>
                <w:kern w:val="0"/>
                <w:sz w:val="18"/>
                <w:szCs w:val="18"/>
              </w:rPr>
              <w:t>0%</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股权资本成本</w:t>
            </w:r>
            <w:r w:rsidRPr="007F331D">
              <w:rPr>
                <w:rFonts w:ascii="Tahoma" w:hAnsi="Tahoma" w:cs="Tahoma"/>
                <w:kern w:val="0"/>
                <w:sz w:val="18"/>
                <w:szCs w:val="18"/>
              </w:rPr>
              <w:t xml:space="preserve"> </w:t>
            </w:r>
            <w:proofErr w:type="spellStart"/>
            <w:r w:rsidRPr="007F331D">
              <w:rPr>
                <w:rFonts w:ascii="Tahoma" w:hAnsi="Tahoma" w:cs="Tahoma"/>
                <w:kern w:val="0"/>
                <w:sz w:val="18"/>
                <w:szCs w:val="18"/>
              </w:rPr>
              <w:t>Ke</w:t>
            </w:r>
            <w:proofErr w:type="spellEnd"/>
            <w:r w:rsidRPr="007F331D">
              <w:rPr>
                <w:rFonts w:ascii="Tahoma" w:hAnsi="Tahoma" w:cs="Tahoma"/>
                <w:kern w:val="0"/>
                <w:sz w:val="18"/>
                <w:szCs w:val="18"/>
              </w:rPr>
              <w:t>=</w:t>
            </w:r>
            <w:proofErr w:type="spellStart"/>
            <w:r w:rsidRPr="007F331D">
              <w:rPr>
                <w:rFonts w:ascii="Tahoma" w:hAnsi="Tahoma" w:cs="Tahoma"/>
                <w:kern w:val="0"/>
                <w:sz w:val="18"/>
                <w:szCs w:val="18"/>
              </w:rPr>
              <w:t>Rf+Beta</w:t>
            </w:r>
            <w:proofErr w:type="spellEnd"/>
            <w:r w:rsidRPr="007F331D">
              <w:rPr>
                <w:rFonts w:ascii="Tahoma" w:hAnsi="Tahoma" w:cs="Tahoma"/>
                <w:kern w:val="0"/>
                <w:sz w:val="18"/>
                <w:szCs w:val="18"/>
              </w:rPr>
              <w:t xml:space="preserve"> L*</w:t>
            </w:r>
            <w:proofErr w:type="spellStart"/>
            <w:r w:rsidRPr="007F331D">
              <w:rPr>
                <w:rFonts w:ascii="Tahoma" w:hAnsi="Tahoma" w:cs="Tahoma"/>
                <w:kern w:val="0"/>
                <w:sz w:val="18"/>
                <w:szCs w:val="18"/>
              </w:rPr>
              <w:t>MRP+Rc</w:t>
            </w:r>
            <w:proofErr w:type="spellEnd"/>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12.24%</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债权资本成本</w:t>
            </w:r>
            <w:r w:rsidRPr="007F331D">
              <w:rPr>
                <w:rFonts w:ascii="Tahoma" w:hAnsi="Tahoma" w:cs="Tahoma"/>
                <w:kern w:val="0"/>
                <w:sz w:val="18"/>
                <w:szCs w:val="18"/>
              </w:rPr>
              <w:t xml:space="preserve"> </w:t>
            </w:r>
            <w:proofErr w:type="spellStart"/>
            <w:r w:rsidRPr="007F331D">
              <w:rPr>
                <w:rFonts w:ascii="Tahoma" w:hAnsi="Tahoma" w:cs="Tahoma"/>
                <w:kern w:val="0"/>
                <w:sz w:val="18"/>
                <w:szCs w:val="18"/>
              </w:rPr>
              <w:t>Kd</w:t>
            </w:r>
            <w:proofErr w:type="spellEnd"/>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7%</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r w:rsidR="008B06DA" w:rsidRPr="007F331D" w:rsidTr="0035003C">
        <w:trPr>
          <w:trHeight w:val="225"/>
          <w:jc w:val="center"/>
        </w:trPr>
        <w:tc>
          <w:tcPr>
            <w:tcW w:w="3896" w:type="dxa"/>
            <w:tcBorders>
              <w:top w:val="nil"/>
              <w:left w:val="nil"/>
              <w:bottom w:val="single" w:sz="4" w:space="0" w:color="auto"/>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r>
              <w:rPr>
                <w:rFonts w:ascii="Tahoma" w:hAnsi="Tahoma" w:cs="Tahoma" w:hint="eastAsia"/>
                <w:kern w:val="0"/>
                <w:sz w:val="18"/>
                <w:szCs w:val="18"/>
              </w:rPr>
              <w:t>折现率</w:t>
            </w:r>
            <w:r w:rsidRPr="007F331D">
              <w:rPr>
                <w:rFonts w:ascii="Tahoma" w:hAnsi="Tahoma" w:cs="Tahoma"/>
                <w:kern w:val="0"/>
                <w:sz w:val="18"/>
                <w:szCs w:val="18"/>
              </w:rPr>
              <w:t>WACC=</w:t>
            </w:r>
            <w:proofErr w:type="spellStart"/>
            <w:r w:rsidRPr="007F331D">
              <w:rPr>
                <w:rFonts w:ascii="Tahoma" w:hAnsi="Tahoma" w:cs="Tahoma"/>
                <w:kern w:val="0"/>
                <w:sz w:val="18"/>
                <w:szCs w:val="18"/>
              </w:rPr>
              <w:t>Ke</w:t>
            </w:r>
            <w:proofErr w:type="spellEnd"/>
            <w:r w:rsidRPr="007F331D">
              <w:rPr>
                <w:rFonts w:ascii="Tahoma" w:hAnsi="Tahoma" w:cs="Tahoma"/>
                <w:kern w:val="0"/>
                <w:sz w:val="18"/>
                <w:szCs w:val="18"/>
              </w:rPr>
              <w:t>*E/</w:t>
            </w:r>
            <w:proofErr w:type="spellStart"/>
            <w:r w:rsidRPr="007F331D">
              <w:rPr>
                <w:rFonts w:ascii="Tahoma" w:hAnsi="Tahoma" w:cs="Tahoma"/>
                <w:kern w:val="0"/>
                <w:sz w:val="18"/>
                <w:szCs w:val="18"/>
              </w:rPr>
              <w:t>V+Kd</w:t>
            </w:r>
            <w:proofErr w:type="spellEnd"/>
            <w:r w:rsidRPr="007F331D">
              <w:rPr>
                <w:rFonts w:ascii="Tahoma" w:hAnsi="Tahoma" w:cs="Tahoma"/>
                <w:kern w:val="0"/>
                <w:sz w:val="18"/>
                <w:szCs w:val="18"/>
              </w:rPr>
              <w:t>*(1-t)*D/V</w:t>
            </w:r>
          </w:p>
        </w:tc>
        <w:tc>
          <w:tcPr>
            <w:tcW w:w="1096" w:type="dxa"/>
            <w:tcBorders>
              <w:top w:val="nil"/>
              <w:left w:val="nil"/>
              <w:bottom w:val="single" w:sz="4" w:space="0" w:color="auto"/>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11.79%</w:t>
            </w:r>
          </w:p>
        </w:tc>
        <w:tc>
          <w:tcPr>
            <w:tcW w:w="1096" w:type="dxa"/>
            <w:tcBorders>
              <w:top w:val="nil"/>
              <w:left w:val="nil"/>
              <w:bottom w:val="single" w:sz="4" w:space="0" w:color="auto"/>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r w:rsidR="008B06DA" w:rsidRPr="007F331D" w:rsidTr="0035003C">
        <w:trPr>
          <w:trHeight w:val="225"/>
          <w:jc w:val="center"/>
        </w:trPr>
        <w:tc>
          <w:tcPr>
            <w:tcW w:w="3896" w:type="dxa"/>
            <w:tcBorders>
              <w:top w:val="single" w:sz="4" w:space="0" w:color="auto"/>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r w:rsidRPr="007F331D">
              <w:rPr>
                <w:rFonts w:ascii="宋体" w:hAnsi="宋体" w:cs="Tahoma" w:hint="eastAsia"/>
                <w:kern w:val="0"/>
                <w:sz w:val="18"/>
                <w:szCs w:val="18"/>
              </w:rPr>
              <w:t>折现系数</w:t>
            </w:r>
          </w:p>
        </w:tc>
        <w:tc>
          <w:tcPr>
            <w:tcW w:w="1096" w:type="dxa"/>
            <w:tcBorders>
              <w:top w:val="single" w:sz="4" w:space="0" w:color="auto"/>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0.8945 </w:t>
            </w:r>
          </w:p>
        </w:tc>
        <w:tc>
          <w:tcPr>
            <w:tcW w:w="1096" w:type="dxa"/>
            <w:tcBorders>
              <w:top w:val="single" w:sz="4" w:space="0" w:color="auto"/>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7.5837 </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折现值</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432.26</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7438.59</w:t>
            </w: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企业整体价值</w:t>
            </w:r>
            <w:r w:rsidRPr="007F331D">
              <w:rPr>
                <w:rFonts w:ascii="Tahoma" w:hAnsi="Tahoma" w:cs="Tahoma"/>
                <w:kern w:val="0"/>
                <w:sz w:val="18"/>
                <w:szCs w:val="18"/>
              </w:rPr>
              <w:t>V</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7870.86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kern w:val="0"/>
                <w:sz w:val="18"/>
                <w:szCs w:val="18"/>
              </w:rPr>
            </w:pPr>
            <w:r w:rsidRPr="007F331D">
              <w:rPr>
                <w:rFonts w:ascii="宋体" w:hAnsi="宋体" w:cs="宋体" w:hint="eastAsia"/>
                <w:kern w:val="0"/>
                <w:sz w:val="18"/>
                <w:szCs w:val="18"/>
              </w:rPr>
              <w:t>付息债务市值</w:t>
            </w:r>
            <w:r w:rsidRPr="007F331D">
              <w:rPr>
                <w:rFonts w:ascii="Tahoma" w:hAnsi="Tahoma" w:cs="Tahoma"/>
                <w:kern w:val="0"/>
                <w:sz w:val="18"/>
                <w:szCs w:val="18"/>
              </w:rPr>
              <w:t>D</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kern w:val="0"/>
                <w:sz w:val="18"/>
                <w:szCs w:val="18"/>
              </w:rPr>
            </w:pPr>
            <w:r w:rsidRPr="007F331D">
              <w:rPr>
                <w:rFonts w:ascii="Tahoma" w:hAnsi="Tahoma" w:cs="Tahoma"/>
                <w:kern w:val="0"/>
                <w:sz w:val="18"/>
                <w:szCs w:val="18"/>
              </w:rPr>
              <w:t xml:space="preserve">500.00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r w:rsidR="008B06DA" w:rsidRPr="007F331D" w:rsidTr="0035003C">
        <w:trPr>
          <w:trHeight w:val="225"/>
          <w:jc w:val="center"/>
        </w:trPr>
        <w:tc>
          <w:tcPr>
            <w:tcW w:w="38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宋体" w:hAnsi="宋体" w:cs="宋体"/>
                <w:b/>
                <w:bCs/>
                <w:kern w:val="0"/>
                <w:sz w:val="18"/>
                <w:szCs w:val="18"/>
              </w:rPr>
            </w:pPr>
            <w:r w:rsidRPr="007F331D">
              <w:rPr>
                <w:rFonts w:ascii="宋体" w:hAnsi="宋体" w:cs="宋体" w:hint="eastAsia"/>
                <w:b/>
                <w:bCs/>
                <w:kern w:val="0"/>
                <w:sz w:val="18"/>
                <w:szCs w:val="18"/>
              </w:rPr>
              <w:t>股权评估价值</w:t>
            </w:r>
            <w:r w:rsidRPr="007F331D">
              <w:rPr>
                <w:rFonts w:ascii="Tahoma" w:hAnsi="Tahoma" w:cs="Tahoma"/>
                <w:b/>
                <w:bCs/>
                <w:kern w:val="0"/>
                <w:sz w:val="18"/>
                <w:szCs w:val="18"/>
              </w:rPr>
              <w:t>E=V-D</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right"/>
              <w:rPr>
                <w:rFonts w:ascii="Tahoma" w:hAnsi="Tahoma" w:cs="Tahoma"/>
                <w:b/>
                <w:bCs/>
                <w:kern w:val="0"/>
                <w:sz w:val="18"/>
                <w:szCs w:val="18"/>
              </w:rPr>
            </w:pPr>
            <w:r w:rsidRPr="007F331D">
              <w:rPr>
                <w:rFonts w:ascii="Tahoma" w:hAnsi="Tahoma" w:cs="Tahoma"/>
                <w:b/>
                <w:bCs/>
                <w:kern w:val="0"/>
                <w:sz w:val="18"/>
                <w:szCs w:val="18"/>
              </w:rPr>
              <w:t xml:space="preserve">7370.86 </w:t>
            </w:r>
          </w:p>
        </w:tc>
        <w:tc>
          <w:tcPr>
            <w:tcW w:w="1096" w:type="dxa"/>
            <w:tcBorders>
              <w:top w:val="nil"/>
              <w:left w:val="nil"/>
              <w:bottom w:val="nil"/>
              <w:right w:val="nil"/>
            </w:tcBorders>
            <w:shd w:val="clear" w:color="auto" w:fill="auto"/>
            <w:noWrap/>
            <w:vAlign w:val="center"/>
            <w:hideMark/>
          </w:tcPr>
          <w:p w:rsidR="008B06DA" w:rsidRPr="007F331D" w:rsidRDefault="008B06DA" w:rsidP="0035003C">
            <w:pPr>
              <w:widowControl/>
              <w:jc w:val="left"/>
              <w:rPr>
                <w:rFonts w:ascii="Tahoma" w:hAnsi="Tahoma" w:cs="Tahoma"/>
                <w:kern w:val="0"/>
                <w:sz w:val="18"/>
                <w:szCs w:val="18"/>
              </w:rPr>
            </w:pPr>
          </w:p>
        </w:tc>
      </w:tr>
    </w:tbl>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二、敏感性分析</w:t>
      </w:r>
    </w:p>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（一）识别敏感性</w:t>
      </w:r>
      <w:r>
        <w:rPr>
          <w:rFonts w:ascii="Times New Roman" w:eastAsia="仿宋_GB2312" w:hAnsi="宋体" w:hint="eastAsia"/>
          <w:spacing w:val="-2"/>
          <w:sz w:val="32"/>
          <w:szCs w:val="24"/>
        </w:rPr>
        <w:t>因素</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首先根据实际情况，充分考虑各主要评估参数的经济意义，对主要评估参数进行分析筛选。</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Pr>
          <w:rFonts w:ascii="Times New Roman" w:eastAsia="仿宋_GB2312" w:hAnsi="宋体" w:hint="eastAsia"/>
          <w:spacing w:val="-2"/>
          <w:sz w:val="32"/>
          <w:szCs w:val="24"/>
        </w:rPr>
        <w:t>在与现金</w:t>
      </w:r>
      <w:proofErr w:type="gramStart"/>
      <w:r>
        <w:rPr>
          <w:rFonts w:ascii="Times New Roman" w:eastAsia="仿宋_GB2312" w:hAnsi="宋体" w:hint="eastAsia"/>
          <w:spacing w:val="-2"/>
          <w:sz w:val="32"/>
          <w:szCs w:val="24"/>
        </w:rPr>
        <w:t>流有关</w:t>
      </w:r>
      <w:proofErr w:type="gramEnd"/>
      <w:r>
        <w:rPr>
          <w:rFonts w:ascii="Times New Roman" w:eastAsia="仿宋_GB2312" w:hAnsi="宋体" w:hint="eastAsia"/>
          <w:spacing w:val="-2"/>
          <w:sz w:val="32"/>
          <w:szCs w:val="24"/>
        </w:rPr>
        <w:t>的参数中，选择业务单价、业务量、单位可变成本和永续期资本性支出作为考察对象。由于固定成本相对较小，各项费用总额较低，税率和利率固定，因此对这些参数不需考察。</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Pr>
          <w:rFonts w:ascii="Times New Roman" w:eastAsia="仿宋_GB2312" w:hAnsi="宋体" w:hint="eastAsia"/>
          <w:spacing w:val="-2"/>
          <w:sz w:val="32"/>
          <w:szCs w:val="24"/>
        </w:rPr>
        <w:t>在与折现率有关的参数中，无风险报酬率、贝塔系数、所得税率和债务市值等都有明确取值依据或来源，故选择市</w:t>
      </w:r>
      <w:r>
        <w:rPr>
          <w:rFonts w:ascii="Times New Roman" w:eastAsia="仿宋_GB2312" w:hAnsi="宋体" w:hint="eastAsia"/>
          <w:spacing w:val="-2"/>
          <w:sz w:val="32"/>
          <w:szCs w:val="24"/>
        </w:rPr>
        <w:lastRenderedPageBreak/>
        <w:t>场风险溢价作为考察对象。</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spacing w:val="-2"/>
          <w:sz w:val="32"/>
          <w:szCs w:val="24"/>
        </w:rPr>
        <w:t>对各参数分别取</w:t>
      </w:r>
      <w:r w:rsidRPr="00470D69">
        <w:rPr>
          <w:rFonts w:ascii="Times New Roman" w:eastAsia="仿宋_GB2312" w:hAnsi="宋体"/>
          <w:spacing w:val="-2"/>
          <w:sz w:val="32"/>
          <w:szCs w:val="24"/>
        </w:rPr>
        <w:t>±</w:t>
      </w:r>
      <w:r w:rsidRPr="00470D69">
        <w:rPr>
          <w:rFonts w:ascii="Times New Roman" w:eastAsia="仿宋_GB2312" w:hAnsi="宋体"/>
          <w:spacing w:val="-2"/>
          <w:sz w:val="32"/>
          <w:szCs w:val="24"/>
        </w:rPr>
        <w:t>5%</w:t>
      </w:r>
      <w:r w:rsidRPr="00470D69">
        <w:rPr>
          <w:rFonts w:ascii="Times New Roman" w:eastAsia="仿宋_GB2312" w:hAnsi="宋体"/>
          <w:spacing w:val="-2"/>
          <w:sz w:val="32"/>
          <w:szCs w:val="24"/>
        </w:rPr>
        <w:t>的相对变动幅度，计算各</w:t>
      </w:r>
      <w:r>
        <w:rPr>
          <w:rFonts w:ascii="Times New Roman" w:eastAsia="仿宋_GB2312" w:hAnsi="宋体" w:hint="eastAsia"/>
          <w:spacing w:val="-2"/>
          <w:sz w:val="32"/>
          <w:szCs w:val="24"/>
        </w:rPr>
        <w:t>种变动情况下的评估值、评估值变动率，得到各参数的</w:t>
      </w:r>
      <w:r w:rsidRPr="00470D69">
        <w:rPr>
          <w:rFonts w:ascii="Times New Roman" w:eastAsia="仿宋_GB2312" w:hAnsi="宋体"/>
          <w:spacing w:val="-2"/>
          <w:sz w:val="32"/>
          <w:szCs w:val="24"/>
        </w:rPr>
        <w:t>敏感性系数</w:t>
      </w:r>
      <w:r>
        <w:rPr>
          <w:rFonts w:ascii="Times New Roman" w:eastAsia="仿宋_GB2312" w:hAnsi="宋体" w:hint="eastAsia"/>
          <w:spacing w:val="-2"/>
          <w:sz w:val="32"/>
          <w:szCs w:val="24"/>
        </w:rPr>
        <w:t>，</w:t>
      </w:r>
      <w:r w:rsidRPr="00470D69">
        <w:rPr>
          <w:rFonts w:ascii="Times New Roman" w:eastAsia="仿宋_GB2312" w:hAnsi="宋体"/>
          <w:spacing w:val="-2"/>
          <w:sz w:val="32"/>
          <w:szCs w:val="24"/>
        </w:rPr>
        <w:t>如下表</w:t>
      </w:r>
      <w:r>
        <w:rPr>
          <w:rFonts w:ascii="Times New Roman" w:eastAsia="仿宋_GB2312" w:hAnsi="宋体" w:hint="eastAsia"/>
          <w:spacing w:val="-2"/>
          <w:sz w:val="32"/>
          <w:szCs w:val="24"/>
        </w:rPr>
        <w:t>所示。</w:t>
      </w:r>
    </w:p>
    <w:tbl>
      <w:tblPr>
        <w:tblW w:w="6644" w:type="dxa"/>
        <w:jc w:val="center"/>
        <w:tblInd w:w="93" w:type="dxa"/>
        <w:tblLook w:val="04A0" w:firstRow="1" w:lastRow="0" w:firstColumn="1" w:lastColumn="0" w:noHBand="0" w:noVBand="1"/>
      </w:tblPr>
      <w:tblGrid>
        <w:gridCol w:w="2636"/>
        <w:gridCol w:w="1336"/>
        <w:gridCol w:w="1336"/>
        <w:gridCol w:w="1336"/>
      </w:tblGrid>
      <w:tr w:rsidR="008B06DA" w:rsidRPr="00041804" w:rsidTr="0035003C">
        <w:trPr>
          <w:trHeight w:val="270"/>
          <w:jc w:val="center"/>
        </w:trPr>
        <w:tc>
          <w:tcPr>
            <w:tcW w:w="6644" w:type="dxa"/>
            <w:gridSpan w:val="4"/>
            <w:tcBorders>
              <w:bottom w:val="single" w:sz="4" w:space="0" w:color="auto"/>
            </w:tcBorders>
            <w:shd w:val="clear" w:color="auto" w:fill="auto"/>
            <w:noWrap/>
            <w:vAlign w:val="center"/>
            <w:hideMark/>
          </w:tcPr>
          <w:p w:rsidR="008B06DA" w:rsidRPr="00041804" w:rsidRDefault="008B06DA" w:rsidP="0035003C">
            <w:pPr>
              <w:widowControl/>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t>各参数分别变动下的评估值（万元）</w:t>
            </w:r>
          </w:p>
        </w:tc>
      </w:tr>
      <w:tr w:rsidR="008B06DA" w:rsidRPr="00041804" w:rsidTr="0035003C">
        <w:trPr>
          <w:trHeight w:val="270"/>
          <w:jc w:val="center"/>
        </w:trPr>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-5%</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041804">
              <w:rPr>
                <w:rFonts w:ascii="Times New Roman" w:eastAsia="仿宋_GB2312" w:hAnsi="Times New Roman"/>
                <w:color w:val="000000"/>
                <w:kern w:val="0"/>
                <w:sz w:val="28"/>
                <w:szCs w:val="28"/>
              </w:rPr>
              <w:t>5%</w:t>
            </w:r>
          </w:p>
        </w:tc>
      </w:tr>
      <w:tr w:rsidR="008B06DA" w:rsidRPr="00041804" w:rsidTr="0035003C">
        <w:trPr>
          <w:trHeight w:val="270"/>
          <w:jc w:val="center"/>
        </w:trPr>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业务单价</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wordWrap w:val="0"/>
              <w:jc w:val="right"/>
              <w:rPr>
                <w:rFonts w:ascii="Times New Roman" w:eastAsia="仿宋_GB2312" w:hAnsi="Times New Roman"/>
                <w:color w:val="000000"/>
                <w:kern w:val="0"/>
                <w:sz w:val="28"/>
                <w:szCs w:val="28"/>
              </w:rPr>
            </w:pPr>
            <w:r w:rsidRPr="004A0048">
              <w:rPr>
                <w:rFonts w:ascii="Times New Roman" w:eastAsia="仿宋_GB2312" w:hAnsi="Times New Roman"/>
                <w:color w:val="000000"/>
                <w:kern w:val="0"/>
                <w:sz w:val="28"/>
                <w:szCs w:val="28"/>
              </w:rPr>
              <w:t>5923.73</w:t>
            </w:r>
          </w:p>
        </w:tc>
        <w:tc>
          <w:tcPr>
            <w:tcW w:w="1336" w:type="dxa"/>
            <w:tcBorders>
              <w:top w:val="single" w:sz="4" w:space="0" w:color="auto"/>
              <w:left w:val="single" w:sz="4" w:space="0" w:color="auto"/>
              <w:bottom w:val="single" w:sz="4" w:space="0" w:color="auto"/>
              <w:right w:val="single" w:sz="4" w:space="0" w:color="auto"/>
            </w:tcBorders>
            <w:shd w:val="clear" w:color="auto" w:fill="auto"/>
            <w:noWrap/>
            <w:hideMark/>
          </w:tcPr>
          <w:p w:rsidR="008B06DA" w:rsidRPr="004A0048" w:rsidRDefault="008B06DA" w:rsidP="0035003C">
            <w:pPr>
              <w:widowControl/>
              <w:jc w:val="right"/>
              <w:rPr>
                <w:rFonts w:ascii="Times New Roman" w:eastAsia="仿宋_GB2312" w:hAnsi="Times New Roman"/>
                <w:color w:val="000000"/>
                <w:kern w:val="0"/>
                <w:sz w:val="28"/>
                <w:szCs w:val="28"/>
              </w:rPr>
            </w:pPr>
            <w:r w:rsidRPr="00A27BD0">
              <w:rPr>
                <w:rFonts w:ascii="Times New Roman" w:eastAsia="仿宋_GB2312" w:hAnsi="Times New Roman"/>
                <w:color w:val="000000"/>
                <w:kern w:val="0"/>
                <w:sz w:val="28"/>
                <w:szCs w:val="28"/>
              </w:rPr>
              <w:t>7370.86</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4A0048">
              <w:rPr>
                <w:rFonts w:ascii="Times New Roman" w:eastAsia="仿宋_GB2312" w:hAnsi="Times New Roman"/>
                <w:color w:val="000000"/>
                <w:kern w:val="0"/>
                <w:sz w:val="28"/>
                <w:szCs w:val="28"/>
              </w:rPr>
              <w:t xml:space="preserve">8818.97 </w:t>
            </w:r>
            <w:r w:rsidRPr="00041804">
              <w:rPr>
                <w:rFonts w:ascii="Times New Roman" w:eastAsia="仿宋_GB2312" w:hAnsi="Times New Roman"/>
                <w:color w:val="000000"/>
                <w:kern w:val="0"/>
                <w:sz w:val="28"/>
                <w:szCs w:val="28"/>
              </w:rPr>
              <w:t xml:space="preserve"> </w:t>
            </w:r>
          </w:p>
        </w:tc>
      </w:tr>
      <w:tr w:rsidR="008B06DA" w:rsidRPr="00041804" w:rsidTr="0035003C">
        <w:trPr>
          <w:trHeight w:val="270"/>
          <w:jc w:val="center"/>
        </w:trPr>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业务量</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4A0048">
              <w:rPr>
                <w:rFonts w:ascii="Times New Roman" w:eastAsia="仿宋_GB2312" w:hAnsi="Times New Roman"/>
                <w:color w:val="000000"/>
                <w:kern w:val="0"/>
                <w:sz w:val="28"/>
                <w:szCs w:val="28"/>
              </w:rPr>
              <w:t xml:space="preserve">6690.07 </w:t>
            </w:r>
            <w:r w:rsidRPr="00041804">
              <w:rPr>
                <w:rFonts w:ascii="Times New Roman" w:eastAsia="仿宋_GB2312" w:hAnsi="Times New Roman"/>
                <w:color w:val="000000"/>
                <w:kern w:val="0"/>
                <w:sz w:val="28"/>
                <w:szCs w:val="28"/>
              </w:rPr>
              <w:t xml:space="preserve"> </w:t>
            </w:r>
          </w:p>
        </w:tc>
        <w:tc>
          <w:tcPr>
            <w:tcW w:w="1336" w:type="dxa"/>
            <w:tcBorders>
              <w:top w:val="single" w:sz="4" w:space="0" w:color="auto"/>
              <w:left w:val="single" w:sz="4" w:space="0" w:color="auto"/>
              <w:bottom w:val="single" w:sz="4" w:space="0" w:color="auto"/>
              <w:right w:val="single" w:sz="4" w:space="0" w:color="auto"/>
            </w:tcBorders>
            <w:shd w:val="clear" w:color="auto" w:fill="auto"/>
            <w:noWrap/>
            <w:hideMark/>
          </w:tcPr>
          <w:p w:rsidR="008B06DA" w:rsidRPr="004A0048" w:rsidRDefault="008B06DA" w:rsidP="0035003C">
            <w:pPr>
              <w:widowControl/>
              <w:jc w:val="right"/>
              <w:rPr>
                <w:rFonts w:ascii="Times New Roman" w:eastAsia="仿宋_GB2312" w:hAnsi="Times New Roman"/>
                <w:color w:val="000000"/>
                <w:kern w:val="0"/>
                <w:sz w:val="28"/>
                <w:szCs w:val="28"/>
              </w:rPr>
            </w:pPr>
            <w:r w:rsidRPr="00A27BD0">
              <w:rPr>
                <w:rFonts w:ascii="Times New Roman" w:eastAsia="仿宋_GB2312" w:hAnsi="Times New Roman"/>
                <w:color w:val="000000"/>
                <w:kern w:val="0"/>
                <w:sz w:val="28"/>
                <w:szCs w:val="28"/>
              </w:rPr>
              <w:t>7370.86</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4A0048">
              <w:rPr>
                <w:rFonts w:ascii="Times New Roman" w:eastAsia="仿宋_GB2312" w:hAnsi="Times New Roman"/>
                <w:color w:val="000000"/>
                <w:kern w:val="0"/>
                <w:sz w:val="28"/>
                <w:szCs w:val="28"/>
              </w:rPr>
              <w:t xml:space="preserve">8052.56 </w:t>
            </w:r>
            <w:r w:rsidRPr="00041804">
              <w:rPr>
                <w:rFonts w:ascii="Times New Roman" w:eastAsia="仿宋_GB2312" w:hAnsi="Times New Roman"/>
                <w:color w:val="000000"/>
                <w:kern w:val="0"/>
                <w:sz w:val="28"/>
                <w:szCs w:val="28"/>
              </w:rPr>
              <w:t xml:space="preserve"> </w:t>
            </w:r>
          </w:p>
        </w:tc>
      </w:tr>
      <w:tr w:rsidR="008B06DA" w:rsidRPr="00041804" w:rsidTr="0035003C">
        <w:trPr>
          <w:trHeight w:val="270"/>
          <w:jc w:val="center"/>
        </w:trPr>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单位变动成本</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4A0048">
              <w:rPr>
                <w:rFonts w:ascii="Times New Roman" w:eastAsia="仿宋_GB2312" w:hAnsi="Times New Roman"/>
                <w:color w:val="000000"/>
                <w:kern w:val="0"/>
                <w:sz w:val="28"/>
                <w:szCs w:val="28"/>
              </w:rPr>
              <w:t xml:space="preserve">8137.25 </w:t>
            </w:r>
            <w:r w:rsidRPr="00041804">
              <w:rPr>
                <w:rFonts w:ascii="Times New Roman" w:eastAsia="仿宋_GB2312" w:hAnsi="Times New Roman"/>
                <w:color w:val="000000"/>
                <w:kern w:val="0"/>
                <w:sz w:val="28"/>
                <w:szCs w:val="28"/>
              </w:rPr>
              <w:t xml:space="preserve"> </w:t>
            </w:r>
          </w:p>
        </w:tc>
        <w:tc>
          <w:tcPr>
            <w:tcW w:w="1336" w:type="dxa"/>
            <w:tcBorders>
              <w:top w:val="single" w:sz="4" w:space="0" w:color="auto"/>
              <w:left w:val="single" w:sz="4" w:space="0" w:color="auto"/>
              <w:bottom w:val="single" w:sz="4" w:space="0" w:color="auto"/>
              <w:right w:val="single" w:sz="4" w:space="0" w:color="auto"/>
            </w:tcBorders>
            <w:shd w:val="clear" w:color="auto" w:fill="auto"/>
            <w:noWrap/>
            <w:hideMark/>
          </w:tcPr>
          <w:p w:rsidR="008B06DA" w:rsidRPr="004A0048" w:rsidRDefault="008B06DA" w:rsidP="0035003C">
            <w:pPr>
              <w:widowControl/>
              <w:jc w:val="right"/>
              <w:rPr>
                <w:rFonts w:ascii="Times New Roman" w:eastAsia="仿宋_GB2312" w:hAnsi="Times New Roman"/>
                <w:color w:val="000000"/>
                <w:kern w:val="0"/>
                <w:sz w:val="28"/>
                <w:szCs w:val="28"/>
              </w:rPr>
            </w:pPr>
            <w:r w:rsidRPr="00A27BD0">
              <w:rPr>
                <w:rFonts w:ascii="Times New Roman" w:eastAsia="仿宋_GB2312" w:hAnsi="Times New Roman"/>
                <w:color w:val="000000"/>
                <w:kern w:val="0"/>
                <w:sz w:val="28"/>
                <w:szCs w:val="28"/>
              </w:rPr>
              <w:t>7370.86</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4A0048">
              <w:rPr>
                <w:rFonts w:ascii="Times New Roman" w:eastAsia="仿宋_GB2312" w:hAnsi="Times New Roman"/>
                <w:color w:val="000000"/>
                <w:kern w:val="0"/>
                <w:sz w:val="28"/>
                <w:szCs w:val="28"/>
              </w:rPr>
              <w:t xml:space="preserve">6604.49 </w:t>
            </w:r>
            <w:r w:rsidRPr="00041804">
              <w:rPr>
                <w:rFonts w:ascii="Times New Roman" w:eastAsia="仿宋_GB2312" w:hAnsi="Times New Roman"/>
                <w:color w:val="000000"/>
                <w:kern w:val="0"/>
                <w:sz w:val="28"/>
                <w:szCs w:val="28"/>
              </w:rPr>
              <w:t xml:space="preserve"> </w:t>
            </w:r>
          </w:p>
        </w:tc>
      </w:tr>
      <w:tr w:rsidR="008B06DA" w:rsidRPr="00041804" w:rsidTr="0035003C">
        <w:trPr>
          <w:trHeight w:val="270"/>
          <w:jc w:val="center"/>
        </w:trPr>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永续期资本性支出</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4A0048">
              <w:rPr>
                <w:rFonts w:ascii="Times New Roman" w:eastAsia="仿宋_GB2312" w:hAnsi="Times New Roman"/>
                <w:color w:val="000000"/>
                <w:kern w:val="0"/>
                <w:sz w:val="28"/>
                <w:szCs w:val="28"/>
              </w:rPr>
              <w:t xml:space="preserve">7567.41 </w:t>
            </w:r>
            <w:r w:rsidRPr="00041804">
              <w:rPr>
                <w:rFonts w:ascii="Times New Roman" w:eastAsia="仿宋_GB2312" w:hAnsi="Times New Roman"/>
                <w:color w:val="000000"/>
                <w:kern w:val="0"/>
                <w:sz w:val="28"/>
                <w:szCs w:val="28"/>
              </w:rPr>
              <w:t xml:space="preserve"> </w:t>
            </w:r>
          </w:p>
        </w:tc>
        <w:tc>
          <w:tcPr>
            <w:tcW w:w="1336" w:type="dxa"/>
            <w:tcBorders>
              <w:top w:val="single" w:sz="4" w:space="0" w:color="auto"/>
              <w:left w:val="single" w:sz="4" w:space="0" w:color="auto"/>
              <w:bottom w:val="single" w:sz="4" w:space="0" w:color="auto"/>
              <w:right w:val="single" w:sz="4" w:space="0" w:color="auto"/>
            </w:tcBorders>
            <w:shd w:val="clear" w:color="auto" w:fill="auto"/>
            <w:noWrap/>
            <w:hideMark/>
          </w:tcPr>
          <w:p w:rsidR="008B06DA" w:rsidRPr="004A0048" w:rsidRDefault="008B06DA" w:rsidP="0035003C">
            <w:pPr>
              <w:widowControl/>
              <w:jc w:val="right"/>
              <w:rPr>
                <w:rFonts w:ascii="Times New Roman" w:eastAsia="仿宋_GB2312" w:hAnsi="Times New Roman"/>
                <w:color w:val="000000"/>
                <w:kern w:val="0"/>
                <w:sz w:val="28"/>
                <w:szCs w:val="28"/>
              </w:rPr>
            </w:pPr>
            <w:r w:rsidRPr="00A27BD0">
              <w:rPr>
                <w:rFonts w:ascii="Times New Roman" w:eastAsia="仿宋_GB2312" w:hAnsi="Times New Roman"/>
                <w:color w:val="000000"/>
                <w:kern w:val="0"/>
                <w:sz w:val="28"/>
                <w:szCs w:val="28"/>
              </w:rPr>
              <w:t>7370.86</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4A0048">
              <w:rPr>
                <w:rFonts w:ascii="Times New Roman" w:eastAsia="仿宋_GB2312" w:hAnsi="Times New Roman"/>
                <w:color w:val="000000"/>
                <w:kern w:val="0"/>
                <w:sz w:val="28"/>
                <w:szCs w:val="28"/>
              </w:rPr>
              <w:t xml:space="preserve">7174.47 </w:t>
            </w:r>
            <w:r w:rsidRPr="00041804">
              <w:rPr>
                <w:rFonts w:ascii="Times New Roman" w:eastAsia="仿宋_GB2312" w:hAnsi="Times New Roman"/>
                <w:color w:val="000000"/>
                <w:kern w:val="0"/>
                <w:sz w:val="28"/>
                <w:szCs w:val="28"/>
              </w:rPr>
              <w:t xml:space="preserve"> </w:t>
            </w:r>
          </w:p>
        </w:tc>
      </w:tr>
      <w:tr w:rsidR="008B06DA" w:rsidRPr="00041804" w:rsidTr="0035003C">
        <w:trPr>
          <w:trHeight w:val="270"/>
          <w:jc w:val="center"/>
        </w:trPr>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left"/>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市场风险溢价</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4A0048">
              <w:rPr>
                <w:rFonts w:ascii="Times New Roman" w:eastAsia="仿宋_GB2312" w:hAnsi="Times New Roman"/>
                <w:color w:val="000000"/>
                <w:kern w:val="0"/>
                <w:sz w:val="28"/>
                <w:szCs w:val="28"/>
              </w:rPr>
              <w:t xml:space="preserve">7621.57 </w:t>
            </w:r>
            <w:r w:rsidRPr="00041804">
              <w:rPr>
                <w:rFonts w:ascii="Times New Roman" w:eastAsia="仿宋_GB2312" w:hAnsi="Times New Roman"/>
                <w:color w:val="000000"/>
                <w:kern w:val="0"/>
                <w:sz w:val="28"/>
                <w:szCs w:val="28"/>
              </w:rPr>
              <w:t xml:space="preserve"> </w:t>
            </w:r>
          </w:p>
        </w:tc>
        <w:tc>
          <w:tcPr>
            <w:tcW w:w="1336" w:type="dxa"/>
            <w:tcBorders>
              <w:top w:val="single" w:sz="4" w:space="0" w:color="auto"/>
              <w:left w:val="single" w:sz="4" w:space="0" w:color="auto"/>
              <w:bottom w:val="single" w:sz="4" w:space="0" w:color="auto"/>
              <w:right w:val="single" w:sz="4" w:space="0" w:color="auto"/>
            </w:tcBorders>
            <w:shd w:val="clear" w:color="auto" w:fill="auto"/>
            <w:noWrap/>
            <w:hideMark/>
          </w:tcPr>
          <w:p w:rsidR="008B06DA" w:rsidRPr="004A0048" w:rsidRDefault="008B06DA" w:rsidP="0035003C">
            <w:pPr>
              <w:widowControl/>
              <w:jc w:val="right"/>
              <w:rPr>
                <w:rFonts w:ascii="Times New Roman" w:eastAsia="仿宋_GB2312" w:hAnsi="Times New Roman"/>
                <w:color w:val="000000"/>
                <w:kern w:val="0"/>
                <w:sz w:val="28"/>
                <w:szCs w:val="28"/>
              </w:rPr>
            </w:pPr>
            <w:r w:rsidRPr="00A27BD0">
              <w:rPr>
                <w:rFonts w:ascii="Times New Roman" w:eastAsia="仿宋_GB2312" w:hAnsi="Times New Roman"/>
                <w:color w:val="000000"/>
                <w:kern w:val="0"/>
                <w:sz w:val="28"/>
                <w:szCs w:val="28"/>
              </w:rPr>
              <w:t>7370.86</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6DA" w:rsidRPr="00041804" w:rsidRDefault="008B06DA" w:rsidP="0035003C">
            <w:pPr>
              <w:widowControl/>
              <w:jc w:val="right"/>
              <w:rPr>
                <w:rFonts w:ascii="Times New Roman" w:eastAsia="仿宋_GB2312" w:hAnsi="Times New Roman"/>
                <w:color w:val="000000"/>
                <w:kern w:val="0"/>
                <w:sz w:val="28"/>
                <w:szCs w:val="28"/>
              </w:rPr>
            </w:pPr>
            <w:r w:rsidRPr="004A0048">
              <w:rPr>
                <w:rFonts w:ascii="Times New Roman" w:eastAsia="仿宋_GB2312" w:hAnsi="Times New Roman"/>
                <w:color w:val="000000"/>
                <w:kern w:val="0"/>
                <w:sz w:val="28"/>
                <w:szCs w:val="28"/>
              </w:rPr>
              <w:t xml:space="preserve">7136.21 </w:t>
            </w:r>
            <w:r w:rsidRPr="00041804">
              <w:rPr>
                <w:rFonts w:ascii="Times New Roman" w:eastAsia="仿宋_GB2312" w:hAnsi="Times New Roman"/>
                <w:color w:val="000000"/>
                <w:kern w:val="0"/>
                <w:sz w:val="28"/>
                <w:szCs w:val="28"/>
              </w:rPr>
              <w:t xml:space="preserve"> </w:t>
            </w:r>
          </w:p>
        </w:tc>
      </w:tr>
    </w:tbl>
    <w:p w:rsidR="008B06DA" w:rsidRDefault="008B06DA" w:rsidP="008B06DA">
      <w:pPr>
        <w:widowControl/>
        <w:adjustRightInd w:val="0"/>
        <w:snapToGrid w:val="0"/>
        <w:jc w:val="center"/>
        <w:rPr>
          <w:rFonts w:ascii="Times New Roman" w:eastAsia="仿宋_GB2312" w:hAnsi="Times New Roman"/>
          <w:color w:val="000000"/>
          <w:kern w:val="0"/>
          <w:sz w:val="28"/>
          <w:szCs w:val="28"/>
        </w:rPr>
      </w:pPr>
    </w:p>
    <w:p w:rsidR="008B06DA" w:rsidRDefault="008B06DA" w:rsidP="008B06DA">
      <w:pPr>
        <w:widowControl/>
        <w:adjustRightInd w:val="0"/>
        <w:snapToGrid w:val="0"/>
        <w:jc w:val="center"/>
        <w:rPr>
          <w:rFonts w:ascii="Times New Roman" w:eastAsia="仿宋_GB2312" w:hAnsi="Times New Roman"/>
          <w:color w:val="000000"/>
          <w:kern w:val="0"/>
          <w:sz w:val="28"/>
          <w:szCs w:val="28"/>
        </w:rPr>
      </w:pPr>
    </w:p>
    <w:p w:rsidR="008B06DA" w:rsidRDefault="008B06DA" w:rsidP="008B06DA">
      <w:pPr>
        <w:widowControl/>
        <w:adjustRightInd w:val="0"/>
        <w:snapToGrid w:val="0"/>
        <w:jc w:val="center"/>
        <w:rPr>
          <w:rFonts w:ascii="Times New Roman" w:eastAsia="仿宋_GB2312" w:hAnsi="Times New Roman"/>
          <w:color w:val="000000"/>
          <w:kern w:val="0"/>
          <w:sz w:val="28"/>
          <w:szCs w:val="28"/>
        </w:rPr>
      </w:pPr>
    </w:p>
    <w:tbl>
      <w:tblPr>
        <w:tblW w:w="6257" w:type="dxa"/>
        <w:jc w:val="center"/>
        <w:tblInd w:w="108" w:type="dxa"/>
        <w:tblLook w:val="04A0" w:firstRow="1" w:lastRow="0" w:firstColumn="1" w:lastColumn="0" w:noHBand="0" w:noVBand="1"/>
      </w:tblPr>
      <w:tblGrid>
        <w:gridCol w:w="2852"/>
        <w:gridCol w:w="1233"/>
        <w:gridCol w:w="940"/>
        <w:gridCol w:w="1233"/>
      </w:tblGrid>
      <w:tr w:rsidR="008B06DA" w:rsidRPr="008414FC" w:rsidTr="0035003C">
        <w:trPr>
          <w:trHeight w:val="390"/>
          <w:jc w:val="center"/>
        </w:trPr>
        <w:tc>
          <w:tcPr>
            <w:tcW w:w="6257" w:type="dxa"/>
            <w:gridSpan w:val="4"/>
            <w:tcBorders>
              <w:top w:val="nil"/>
              <w:left w:val="nil"/>
              <w:bottom w:val="single" w:sz="8" w:space="0" w:color="auto"/>
              <w:right w:val="nil"/>
            </w:tcBorders>
            <w:shd w:val="clear" w:color="auto" w:fill="auto"/>
            <w:noWrap/>
            <w:vAlign w:val="center"/>
            <w:hideMark/>
          </w:tcPr>
          <w:p w:rsidR="008B06DA" w:rsidRPr="008414FC" w:rsidRDefault="008B06DA" w:rsidP="0035003C">
            <w:pPr>
              <w:widowControl/>
              <w:jc w:val="center"/>
              <w:rPr>
                <w:rFonts w:ascii="仿宋_GB2312" w:eastAsia="仿宋_GB2312" w:hAnsi="宋体" w:cs="宋体"/>
                <w:color w:val="000000"/>
                <w:kern w:val="0"/>
                <w:sz w:val="28"/>
                <w:szCs w:val="28"/>
              </w:rPr>
            </w:pPr>
            <w:r w:rsidRPr="008414FC">
              <w:rPr>
                <w:rFonts w:ascii="仿宋_GB2312" w:eastAsia="仿宋_GB2312" w:hAnsi="宋体" w:cs="宋体" w:hint="eastAsia"/>
                <w:color w:val="000000"/>
                <w:kern w:val="0"/>
                <w:sz w:val="28"/>
                <w:szCs w:val="28"/>
              </w:rPr>
              <w:t>各参数分别变动下的评估值变动率</w:t>
            </w:r>
          </w:p>
        </w:tc>
      </w:tr>
      <w:tr w:rsidR="008B06DA" w:rsidRPr="008414FC" w:rsidTr="0035003C">
        <w:trPr>
          <w:trHeight w:val="390"/>
          <w:jc w:val="center"/>
        </w:trPr>
        <w:tc>
          <w:tcPr>
            <w:tcW w:w="2852" w:type="dxa"/>
            <w:tcBorders>
              <w:top w:val="nil"/>
              <w:left w:val="single" w:sz="8" w:space="0" w:color="auto"/>
              <w:bottom w:val="single" w:sz="8" w:space="0" w:color="auto"/>
              <w:right w:val="single" w:sz="8" w:space="0" w:color="auto"/>
            </w:tcBorders>
            <w:shd w:val="clear" w:color="auto" w:fill="auto"/>
            <w:noWrap/>
            <w:vAlign w:val="center"/>
            <w:hideMark/>
          </w:tcPr>
          <w:p w:rsidR="008B06DA" w:rsidRPr="008414FC" w:rsidRDefault="008B06DA" w:rsidP="0035003C">
            <w:pPr>
              <w:widowControl/>
              <w:jc w:val="left"/>
              <w:rPr>
                <w:rFonts w:cs="Calibri"/>
                <w:color w:val="000000"/>
                <w:kern w:val="0"/>
                <w:szCs w:val="21"/>
              </w:rPr>
            </w:pPr>
          </w:p>
        </w:tc>
        <w:tc>
          <w:tcPr>
            <w:tcW w:w="1233"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-5%</w:t>
            </w:r>
          </w:p>
        </w:tc>
        <w:tc>
          <w:tcPr>
            <w:tcW w:w="939"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0%</w:t>
            </w:r>
          </w:p>
        </w:tc>
        <w:tc>
          <w:tcPr>
            <w:tcW w:w="1233"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5%</w:t>
            </w:r>
          </w:p>
        </w:tc>
      </w:tr>
      <w:tr w:rsidR="008B06DA" w:rsidRPr="008414FC" w:rsidTr="0035003C">
        <w:trPr>
          <w:trHeight w:val="390"/>
          <w:jc w:val="center"/>
        </w:trPr>
        <w:tc>
          <w:tcPr>
            <w:tcW w:w="2852" w:type="dxa"/>
            <w:tcBorders>
              <w:top w:val="nil"/>
              <w:left w:val="single" w:sz="8" w:space="0" w:color="auto"/>
              <w:bottom w:val="single" w:sz="8" w:space="0" w:color="auto"/>
              <w:right w:val="single" w:sz="8" w:space="0" w:color="auto"/>
            </w:tcBorders>
            <w:shd w:val="clear" w:color="auto" w:fill="auto"/>
            <w:noWrap/>
            <w:vAlign w:val="center"/>
            <w:hideMark/>
          </w:tcPr>
          <w:p w:rsidR="008B06DA" w:rsidRPr="008414FC" w:rsidRDefault="008B06DA" w:rsidP="0035003C">
            <w:pPr>
              <w:widowControl/>
              <w:jc w:val="left"/>
              <w:rPr>
                <w:rFonts w:ascii="仿宋_GB2312" w:eastAsia="仿宋_GB2312" w:hAnsi="宋体" w:cs="宋体"/>
                <w:color w:val="000000"/>
                <w:kern w:val="0"/>
                <w:sz w:val="28"/>
                <w:szCs w:val="28"/>
              </w:rPr>
            </w:pPr>
            <w:r w:rsidRPr="008414FC">
              <w:rPr>
                <w:rFonts w:ascii="仿宋_GB2312" w:eastAsia="仿宋_GB2312" w:hAnsi="宋体" w:cs="宋体" w:hint="eastAsia"/>
                <w:color w:val="000000"/>
                <w:kern w:val="0"/>
                <w:sz w:val="28"/>
                <w:szCs w:val="28"/>
              </w:rPr>
              <w:t>业务单价</w:t>
            </w:r>
          </w:p>
        </w:tc>
        <w:tc>
          <w:tcPr>
            <w:tcW w:w="1233"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-19.63%</w:t>
            </w:r>
          </w:p>
        </w:tc>
        <w:tc>
          <w:tcPr>
            <w:tcW w:w="939"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0.00%</w:t>
            </w:r>
          </w:p>
        </w:tc>
        <w:tc>
          <w:tcPr>
            <w:tcW w:w="1233"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19.65%</w:t>
            </w:r>
          </w:p>
        </w:tc>
      </w:tr>
      <w:tr w:rsidR="008B06DA" w:rsidRPr="008414FC" w:rsidTr="0035003C">
        <w:trPr>
          <w:trHeight w:val="390"/>
          <w:jc w:val="center"/>
        </w:trPr>
        <w:tc>
          <w:tcPr>
            <w:tcW w:w="2852" w:type="dxa"/>
            <w:tcBorders>
              <w:top w:val="nil"/>
              <w:left w:val="single" w:sz="8" w:space="0" w:color="auto"/>
              <w:bottom w:val="single" w:sz="8" w:space="0" w:color="auto"/>
              <w:right w:val="single" w:sz="8" w:space="0" w:color="auto"/>
            </w:tcBorders>
            <w:shd w:val="clear" w:color="auto" w:fill="auto"/>
            <w:noWrap/>
            <w:vAlign w:val="center"/>
            <w:hideMark/>
          </w:tcPr>
          <w:p w:rsidR="008B06DA" w:rsidRPr="008414FC" w:rsidRDefault="008B06DA" w:rsidP="0035003C">
            <w:pPr>
              <w:widowControl/>
              <w:jc w:val="left"/>
              <w:rPr>
                <w:rFonts w:ascii="仿宋_GB2312" w:eastAsia="仿宋_GB2312" w:hAnsi="宋体" w:cs="宋体"/>
                <w:color w:val="000000"/>
                <w:kern w:val="0"/>
                <w:sz w:val="28"/>
                <w:szCs w:val="28"/>
              </w:rPr>
            </w:pPr>
            <w:r w:rsidRPr="008414FC">
              <w:rPr>
                <w:rFonts w:ascii="仿宋_GB2312" w:eastAsia="仿宋_GB2312" w:hAnsi="宋体" w:cs="宋体" w:hint="eastAsia"/>
                <w:color w:val="000000"/>
                <w:kern w:val="0"/>
                <w:sz w:val="28"/>
                <w:szCs w:val="28"/>
              </w:rPr>
              <w:t>业务量</w:t>
            </w:r>
          </w:p>
        </w:tc>
        <w:tc>
          <w:tcPr>
            <w:tcW w:w="1233"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-9.24%</w:t>
            </w:r>
          </w:p>
        </w:tc>
        <w:tc>
          <w:tcPr>
            <w:tcW w:w="939"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0.00%</w:t>
            </w:r>
          </w:p>
        </w:tc>
        <w:tc>
          <w:tcPr>
            <w:tcW w:w="1233"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9.25%</w:t>
            </w:r>
          </w:p>
        </w:tc>
      </w:tr>
      <w:tr w:rsidR="008B06DA" w:rsidRPr="008414FC" w:rsidTr="0035003C">
        <w:trPr>
          <w:trHeight w:val="390"/>
          <w:jc w:val="center"/>
        </w:trPr>
        <w:tc>
          <w:tcPr>
            <w:tcW w:w="2852" w:type="dxa"/>
            <w:tcBorders>
              <w:top w:val="nil"/>
              <w:left w:val="single" w:sz="8" w:space="0" w:color="auto"/>
              <w:bottom w:val="single" w:sz="8" w:space="0" w:color="auto"/>
              <w:right w:val="single" w:sz="8" w:space="0" w:color="auto"/>
            </w:tcBorders>
            <w:shd w:val="clear" w:color="auto" w:fill="auto"/>
            <w:noWrap/>
            <w:vAlign w:val="center"/>
            <w:hideMark/>
          </w:tcPr>
          <w:p w:rsidR="008B06DA" w:rsidRPr="008414FC" w:rsidRDefault="008B06DA" w:rsidP="0035003C">
            <w:pPr>
              <w:widowControl/>
              <w:jc w:val="left"/>
              <w:rPr>
                <w:rFonts w:ascii="仿宋_GB2312" w:eastAsia="仿宋_GB2312" w:hAnsi="宋体" w:cs="宋体"/>
                <w:color w:val="000000"/>
                <w:kern w:val="0"/>
                <w:sz w:val="28"/>
                <w:szCs w:val="28"/>
              </w:rPr>
            </w:pPr>
            <w:r w:rsidRPr="008414FC">
              <w:rPr>
                <w:rFonts w:ascii="仿宋_GB2312" w:eastAsia="仿宋_GB2312" w:hAnsi="宋体" w:cs="宋体" w:hint="eastAsia"/>
                <w:color w:val="000000"/>
                <w:kern w:val="0"/>
                <w:sz w:val="28"/>
                <w:szCs w:val="28"/>
              </w:rPr>
              <w:t>单位变动成本</w:t>
            </w:r>
          </w:p>
        </w:tc>
        <w:tc>
          <w:tcPr>
            <w:tcW w:w="1233"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10.40%</w:t>
            </w:r>
          </w:p>
        </w:tc>
        <w:tc>
          <w:tcPr>
            <w:tcW w:w="939"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0.00%</w:t>
            </w:r>
          </w:p>
        </w:tc>
        <w:tc>
          <w:tcPr>
            <w:tcW w:w="1233"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-10.40%</w:t>
            </w:r>
          </w:p>
        </w:tc>
      </w:tr>
      <w:tr w:rsidR="008B06DA" w:rsidRPr="008414FC" w:rsidTr="0035003C">
        <w:trPr>
          <w:trHeight w:val="390"/>
          <w:jc w:val="center"/>
        </w:trPr>
        <w:tc>
          <w:tcPr>
            <w:tcW w:w="2852" w:type="dxa"/>
            <w:tcBorders>
              <w:top w:val="nil"/>
              <w:left w:val="single" w:sz="8" w:space="0" w:color="auto"/>
              <w:bottom w:val="single" w:sz="8" w:space="0" w:color="auto"/>
              <w:right w:val="single" w:sz="8" w:space="0" w:color="auto"/>
            </w:tcBorders>
            <w:shd w:val="clear" w:color="auto" w:fill="auto"/>
            <w:noWrap/>
            <w:vAlign w:val="center"/>
            <w:hideMark/>
          </w:tcPr>
          <w:p w:rsidR="008B06DA" w:rsidRPr="008414FC" w:rsidRDefault="008B06DA" w:rsidP="0035003C">
            <w:pPr>
              <w:widowControl/>
              <w:jc w:val="left"/>
              <w:rPr>
                <w:rFonts w:ascii="仿宋_GB2312" w:eastAsia="仿宋_GB2312" w:hAnsi="宋体" w:cs="宋体"/>
                <w:color w:val="000000"/>
                <w:kern w:val="0"/>
                <w:sz w:val="28"/>
                <w:szCs w:val="28"/>
              </w:rPr>
            </w:pPr>
            <w:r w:rsidRPr="008414FC">
              <w:rPr>
                <w:rFonts w:ascii="仿宋_GB2312" w:eastAsia="仿宋_GB2312" w:hAnsi="宋体" w:cs="宋体" w:hint="eastAsia"/>
                <w:color w:val="000000"/>
                <w:kern w:val="0"/>
                <w:sz w:val="28"/>
                <w:szCs w:val="28"/>
              </w:rPr>
              <w:t>永续期资本性支出</w:t>
            </w:r>
          </w:p>
        </w:tc>
        <w:tc>
          <w:tcPr>
            <w:tcW w:w="1233"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2.66%</w:t>
            </w:r>
          </w:p>
        </w:tc>
        <w:tc>
          <w:tcPr>
            <w:tcW w:w="939"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0.00%</w:t>
            </w:r>
          </w:p>
        </w:tc>
        <w:tc>
          <w:tcPr>
            <w:tcW w:w="1233"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-2.66%</w:t>
            </w:r>
          </w:p>
        </w:tc>
      </w:tr>
      <w:tr w:rsidR="008B06DA" w:rsidRPr="008414FC" w:rsidTr="0035003C">
        <w:trPr>
          <w:trHeight w:val="390"/>
          <w:jc w:val="center"/>
        </w:trPr>
        <w:tc>
          <w:tcPr>
            <w:tcW w:w="2852" w:type="dxa"/>
            <w:tcBorders>
              <w:top w:val="nil"/>
              <w:left w:val="single" w:sz="8" w:space="0" w:color="auto"/>
              <w:bottom w:val="single" w:sz="8" w:space="0" w:color="auto"/>
              <w:right w:val="single" w:sz="8" w:space="0" w:color="auto"/>
            </w:tcBorders>
            <w:shd w:val="clear" w:color="auto" w:fill="auto"/>
            <w:noWrap/>
            <w:vAlign w:val="center"/>
            <w:hideMark/>
          </w:tcPr>
          <w:p w:rsidR="008B06DA" w:rsidRPr="008414FC" w:rsidRDefault="008B06DA" w:rsidP="0035003C">
            <w:pPr>
              <w:widowControl/>
              <w:jc w:val="left"/>
              <w:rPr>
                <w:rFonts w:ascii="仿宋_GB2312" w:eastAsia="仿宋_GB2312" w:hAnsi="宋体" w:cs="宋体"/>
                <w:color w:val="000000"/>
                <w:kern w:val="0"/>
                <w:sz w:val="28"/>
                <w:szCs w:val="28"/>
              </w:rPr>
            </w:pPr>
            <w:r w:rsidRPr="008414FC">
              <w:rPr>
                <w:rFonts w:ascii="仿宋_GB2312" w:eastAsia="仿宋_GB2312" w:hAnsi="宋体" w:cs="宋体" w:hint="eastAsia"/>
                <w:color w:val="000000"/>
                <w:kern w:val="0"/>
                <w:sz w:val="28"/>
                <w:szCs w:val="28"/>
              </w:rPr>
              <w:t>市场风险溢价</w:t>
            </w:r>
          </w:p>
        </w:tc>
        <w:tc>
          <w:tcPr>
            <w:tcW w:w="1233"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3.40%</w:t>
            </w:r>
          </w:p>
        </w:tc>
        <w:tc>
          <w:tcPr>
            <w:tcW w:w="939"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0.00%</w:t>
            </w:r>
          </w:p>
        </w:tc>
        <w:tc>
          <w:tcPr>
            <w:tcW w:w="1233"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-3.18%</w:t>
            </w:r>
          </w:p>
        </w:tc>
      </w:tr>
    </w:tbl>
    <w:p w:rsidR="008B06DA" w:rsidRDefault="008B06DA" w:rsidP="008B06DA">
      <w:pPr>
        <w:widowControl/>
        <w:adjustRightInd w:val="0"/>
        <w:snapToGrid w:val="0"/>
        <w:jc w:val="center"/>
        <w:rPr>
          <w:rFonts w:ascii="Times New Roman" w:eastAsia="仿宋_GB2312" w:hAnsi="Times New Roman"/>
          <w:color w:val="000000"/>
          <w:kern w:val="0"/>
          <w:sz w:val="28"/>
          <w:szCs w:val="28"/>
        </w:rPr>
      </w:pPr>
    </w:p>
    <w:tbl>
      <w:tblPr>
        <w:tblW w:w="6307" w:type="dxa"/>
        <w:jc w:val="center"/>
        <w:tblInd w:w="108" w:type="dxa"/>
        <w:tblLook w:val="04A0" w:firstRow="1" w:lastRow="0" w:firstColumn="1" w:lastColumn="0" w:noHBand="0" w:noVBand="1"/>
      </w:tblPr>
      <w:tblGrid>
        <w:gridCol w:w="2699"/>
        <w:gridCol w:w="1334"/>
        <w:gridCol w:w="940"/>
        <w:gridCol w:w="1334"/>
      </w:tblGrid>
      <w:tr w:rsidR="008B06DA" w:rsidRPr="008414FC" w:rsidTr="007D7FEA">
        <w:trPr>
          <w:trHeight w:val="660"/>
          <w:jc w:val="center"/>
        </w:trPr>
        <w:tc>
          <w:tcPr>
            <w:tcW w:w="6307" w:type="dxa"/>
            <w:gridSpan w:val="4"/>
            <w:tcBorders>
              <w:top w:val="nil"/>
              <w:left w:val="nil"/>
              <w:bottom w:val="single" w:sz="4" w:space="0" w:color="FFFFFF" w:themeColor="background1"/>
              <w:right w:val="nil"/>
            </w:tcBorders>
            <w:shd w:val="clear" w:color="auto" w:fill="auto"/>
            <w:noWrap/>
            <w:vAlign w:val="center"/>
            <w:hideMark/>
          </w:tcPr>
          <w:p w:rsidR="008B06DA" w:rsidRPr="008414FC" w:rsidRDefault="008B06DA" w:rsidP="0035003C">
            <w:pPr>
              <w:widowControl/>
              <w:jc w:val="center"/>
              <w:rPr>
                <w:rFonts w:ascii="仿宋_GB2312" w:eastAsia="仿宋_GB2312" w:hAnsi="宋体" w:cs="宋体"/>
                <w:color w:val="000000"/>
                <w:kern w:val="0"/>
                <w:sz w:val="28"/>
                <w:szCs w:val="28"/>
              </w:rPr>
            </w:pPr>
          </w:p>
        </w:tc>
      </w:tr>
      <w:tr w:rsidR="007D7FEA" w:rsidRPr="008414FC" w:rsidTr="007D7FEA">
        <w:trPr>
          <w:trHeight w:val="618"/>
          <w:jc w:val="center"/>
        </w:trPr>
        <w:tc>
          <w:tcPr>
            <w:tcW w:w="6307" w:type="dxa"/>
            <w:gridSpan w:val="4"/>
            <w:tcBorders>
              <w:top w:val="single" w:sz="4" w:space="0" w:color="FFFFFF" w:themeColor="background1"/>
              <w:left w:val="nil"/>
              <w:bottom w:val="single" w:sz="8" w:space="0" w:color="auto"/>
              <w:right w:val="nil"/>
            </w:tcBorders>
            <w:shd w:val="clear" w:color="auto" w:fill="auto"/>
            <w:noWrap/>
            <w:vAlign w:val="center"/>
          </w:tcPr>
          <w:p w:rsidR="007D7FEA" w:rsidRDefault="007D7FEA" w:rsidP="0035003C">
            <w:pPr>
              <w:jc w:val="center"/>
              <w:rPr>
                <w:rFonts w:ascii="仿宋_GB2312" w:eastAsia="仿宋_GB2312" w:hAnsi="宋体" w:cs="宋体"/>
                <w:color w:val="000000"/>
                <w:kern w:val="0"/>
                <w:sz w:val="28"/>
                <w:szCs w:val="28"/>
              </w:rPr>
            </w:pPr>
            <w:r w:rsidRPr="008414FC">
              <w:rPr>
                <w:rFonts w:ascii="仿宋_GB2312" w:eastAsia="仿宋_GB2312" w:hAnsi="宋体" w:cs="宋体" w:hint="eastAsia"/>
                <w:color w:val="000000"/>
                <w:kern w:val="0"/>
                <w:sz w:val="28"/>
                <w:szCs w:val="28"/>
              </w:rPr>
              <w:lastRenderedPageBreak/>
              <w:t>各参数的敏感性系数</w:t>
            </w:r>
          </w:p>
        </w:tc>
      </w:tr>
      <w:tr w:rsidR="008B06DA" w:rsidRPr="008414FC" w:rsidTr="0035003C">
        <w:trPr>
          <w:trHeight w:val="390"/>
          <w:jc w:val="center"/>
        </w:trPr>
        <w:tc>
          <w:tcPr>
            <w:tcW w:w="2699" w:type="dxa"/>
            <w:tcBorders>
              <w:top w:val="nil"/>
              <w:left w:val="single" w:sz="8" w:space="0" w:color="auto"/>
              <w:bottom w:val="single" w:sz="8" w:space="0" w:color="auto"/>
              <w:right w:val="single" w:sz="8" w:space="0" w:color="auto"/>
            </w:tcBorders>
            <w:shd w:val="clear" w:color="auto" w:fill="auto"/>
            <w:noWrap/>
            <w:vAlign w:val="center"/>
            <w:hideMark/>
          </w:tcPr>
          <w:p w:rsidR="008B06DA" w:rsidRPr="008414FC" w:rsidRDefault="008B06DA" w:rsidP="0035003C">
            <w:pPr>
              <w:widowControl/>
              <w:jc w:val="left"/>
              <w:rPr>
                <w:rFonts w:cs="Calibri"/>
                <w:color w:val="000000"/>
                <w:kern w:val="0"/>
                <w:szCs w:val="21"/>
              </w:rPr>
            </w:pPr>
          </w:p>
        </w:tc>
        <w:tc>
          <w:tcPr>
            <w:tcW w:w="1334"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-5%</w:t>
            </w:r>
          </w:p>
        </w:tc>
        <w:tc>
          <w:tcPr>
            <w:tcW w:w="940"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0%</w:t>
            </w:r>
          </w:p>
        </w:tc>
        <w:tc>
          <w:tcPr>
            <w:tcW w:w="1334"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5%</w:t>
            </w:r>
          </w:p>
        </w:tc>
      </w:tr>
      <w:tr w:rsidR="008B06DA" w:rsidRPr="008414FC" w:rsidTr="0035003C">
        <w:trPr>
          <w:trHeight w:val="390"/>
          <w:jc w:val="center"/>
        </w:trPr>
        <w:tc>
          <w:tcPr>
            <w:tcW w:w="2699" w:type="dxa"/>
            <w:tcBorders>
              <w:top w:val="nil"/>
              <w:left w:val="single" w:sz="8" w:space="0" w:color="auto"/>
              <w:bottom w:val="single" w:sz="8" w:space="0" w:color="auto"/>
              <w:right w:val="single" w:sz="8" w:space="0" w:color="auto"/>
            </w:tcBorders>
            <w:shd w:val="clear" w:color="auto" w:fill="auto"/>
            <w:noWrap/>
            <w:vAlign w:val="center"/>
            <w:hideMark/>
          </w:tcPr>
          <w:p w:rsidR="008B06DA" w:rsidRPr="008414FC" w:rsidRDefault="008B06DA" w:rsidP="0035003C">
            <w:pPr>
              <w:widowControl/>
              <w:jc w:val="left"/>
              <w:rPr>
                <w:rFonts w:ascii="仿宋_GB2312" w:eastAsia="仿宋_GB2312" w:hAnsi="宋体" w:cs="宋体"/>
                <w:color w:val="000000"/>
                <w:kern w:val="0"/>
                <w:sz w:val="28"/>
                <w:szCs w:val="28"/>
              </w:rPr>
            </w:pPr>
            <w:r w:rsidRPr="008414FC">
              <w:rPr>
                <w:rFonts w:ascii="仿宋_GB2312" w:eastAsia="仿宋_GB2312" w:hAnsi="宋体" w:cs="宋体" w:hint="eastAsia"/>
                <w:color w:val="000000"/>
                <w:kern w:val="0"/>
                <w:sz w:val="28"/>
                <w:szCs w:val="28"/>
              </w:rPr>
              <w:t>业务单价</w:t>
            </w:r>
          </w:p>
        </w:tc>
        <w:tc>
          <w:tcPr>
            <w:tcW w:w="1334"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392.66%</w:t>
            </w:r>
          </w:p>
        </w:tc>
        <w:tc>
          <w:tcPr>
            <w:tcW w:w="940"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center"/>
              <w:rPr>
                <w:rFonts w:ascii="Times New Roman" w:hAnsi="Times New Roman"/>
                <w:color w:val="000000"/>
                <w:kern w:val="0"/>
                <w:sz w:val="28"/>
                <w:szCs w:val="28"/>
              </w:rPr>
            </w:pPr>
            <w:r>
              <w:rPr>
                <w:rFonts w:ascii="Times New Roman" w:hAnsi="Times New Roman" w:hint="eastAsia"/>
                <w:color w:val="000000"/>
                <w:kern w:val="0"/>
                <w:sz w:val="28"/>
                <w:szCs w:val="28"/>
              </w:rPr>
              <w:t>-</w:t>
            </w:r>
          </w:p>
        </w:tc>
        <w:tc>
          <w:tcPr>
            <w:tcW w:w="1334"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392.93%</w:t>
            </w:r>
          </w:p>
        </w:tc>
      </w:tr>
      <w:tr w:rsidR="008B06DA" w:rsidRPr="008414FC" w:rsidTr="0035003C">
        <w:trPr>
          <w:trHeight w:val="390"/>
          <w:jc w:val="center"/>
        </w:trPr>
        <w:tc>
          <w:tcPr>
            <w:tcW w:w="2699" w:type="dxa"/>
            <w:tcBorders>
              <w:top w:val="nil"/>
              <w:left w:val="single" w:sz="8" w:space="0" w:color="auto"/>
              <w:bottom w:val="single" w:sz="8" w:space="0" w:color="auto"/>
              <w:right w:val="single" w:sz="8" w:space="0" w:color="auto"/>
            </w:tcBorders>
            <w:shd w:val="clear" w:color="auto" w:fill="auto"/>
            <w:noWrap/>
            <w:vAlign w:val="center"/>
            <w:hideMark/>
          </w:tcPr>
          <w:p w:rsidR="008B06DA" w:rsidRPr="008414FC" w:rsidRDefault="008B06DA" w:rsidP="0035003C">
            <w:pPr>
              <w:widowControl/>
              <w:jc w:val="left"/>
              <w:rPr>
                <w:rFonts w:ascii="仿宋_GB2312" w:eastAsia="仿宋_GB2312" w:hAnsi="宋体" w:cs="宋体"/>
                <w:color w:val="000000"/>
                <w:kern w:val="0"/>
                <w:sz w:val="28"/>
                <w:szCs w:val="28"/>
              </w:rPr>
            </w:pPr>
            <w:r w:rsidRPr="008414FC">
              <w:rPr>
                <w:rFonts w:ascii="仿宋_GB2312" w:eastAsia="仿宋_GB2312" w:hAnsi="宋体" w:cs="宋体" w:hint="eastAsia"/>
                <w:color w:val="000000"/>
                <w:kern w:val="0"/>
                <w:sz w:val="28"/>
                <w:szCs w:val="28"/>
              </w:rPr>
              <w:t>业务量</w:t>
            </w:r>
          </w:p>
        </w:tc>
        <w:tc>
          <w:tcPr>
            <w:tcW w:w="1334"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184.73%</w:t>
            </w:r>
          </w:p>
        </w:tc>
        <w:tc>
          <w:tcPr>
            <w:tcW w:w="940"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center"/>
              <w:rPr>
                <w:rFonts w:ascii="Times New Roman" w:hAnsi="Times New Roman"/>
                <w:color w:val="000000"/>
                <w:kern w:val="0"/>
                <w:sz w:val="28"/>
                <w:szCs w:val="28"/>
              </w:rPr>
            </w:pPr>
            <w:r>
              <w:rPr>
                <w:rFonts w:ascii="Times New Roman" w:hAnsi="Times New Roman" w:hint="eastAsia"/>
                <w:color w:val="000000"/>
                <w:kern w:val="0"/>
                <w:sz w:val="28"/>
                <w:szCs w:val="28"/>
              </w:rPr>
              <w:t>-</w:t>
            </w:r>
          </w:p>
        </w:tc>
        <w:tc>
          <w:tcPr>
            <w:tcW w:w="1334"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184.97%</w:t>
            </w:r>
          </w:p>
        </w:tc>
      </w:tr>
      <w:tr w:rsidR="008B06DA" w:rsidRPr="008414FC" w:rsidTr="0035003C">
        <w:trPr>
          <w:trHeight w:val="390"/>
          <w:jc w:val="center"/>
        </w:trPr>
        <w:tc>
          <w:tcPr>
            <w:tcW w:w="2699" w:type="dxa"/>
            <w:tcBorders>
              <w:top w:val="nil"/>
              <w:left w:val="single" w:sz="8" w:space="0" w:color="auto"/>
              <w:bottom w:val="single" w:sz="8" w:space="0" w:color="auto"/>
              <w:right w:val="single" w:sz="8" w:space="0" w:color="auto"/>
            </w:tcBorders>
            <w:shd w:val="clear" w:color="auto" w:fill="auto"/>
            <w:noWrap/>
            <w:vAlign w:val="center"/>
            <w:hideMark/>
          </w:tcPr>
          <w:p w:rsidR="008B06DA" w:rsidRPr="008414FC" w:rsidRDefault="008B06DA" w:rsidP="0035003C">
            <w:pPr>
              <w:widowControl/>
              <w:jc w:val="left"/>
              <w:rPr>
                <w:rFonts w:ascii="仿宋_GB2312" w:eastAsia="仿宋_GB2312" w:hAnsi="宋体" w:cs="宋体"/>
                <w:color w:val="000000"/>
                <w:kern w:val="0"/>
                <w:sz w:val="28"/>
                <w:szCs w:val="28"/>
              </w:rPr>
            </w:pPr>
            <w:r w:rsidRPr="008414FC">
              <w:rPr>
                <w:rFonts w:ascii="仿宋_GB2312" w:eastAsia="仿宋_GB2312" w:hAnsi="宋体" w:cs="宋体" w:hint="eastAsia"/>
                <w:color w:val="000000"/>
                <w:kern w:val="0"/>
                <w:sz w:val="28"/>
                <w:szCs w:val="28"/>
              </w:rPr>
              <w:t>单位变动成本</w:t>
            </w:r>
          </w:p>
        </w:tc>
        <w:tc>
          <w:tcPr>
            <w:tcW w:w="1334"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-207.95%</w:t>
            </w:r>
          </w:p>
        </w:tc>
        <w:tc>
          <w:tcPr>
            <w:tcW w:w="940"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center"/>
              <w:rPr>
                <w:rFonts w:ascii="Times New Roman" w:hAnsi="Times New Roman"/>
                <w:color w:val="000000"/>
                <w:kern w:val="0"/>
                <w:sz w:val="28"/>
                <w:szCs w:val="28"/>
              </w:rPr>
            </w:pPr>
            <w:r>
              <w:rPr>
                <w:rFonts w:ascii="Times New Roman" w:hAnsi="Times New Roman" w:hint="eastAsia"/>
                <w:color w:val="000000"/>
                <w:kern w:val="0"/>
                <w:sz w:val="28"/>
                <w:szCs w:val="28"/>
              </w:rPr>
              <w:t>-</w:t>
            </w:r>
          </w:p>
        </w:tc>
        <w:tc>
          <w:tcPr>
            <w:tcW w:w="1334"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-207.94%</w:t>
            </w:r>
          </w:p>
        </w:tc>
      </w:tr>
      <w:tr w:rsidR="008B06DA" w:rsidRPr="008414FC" w:rsidTr="0035003C">
        <w:trPr>
          <w:trHeight w:val="390"/>
          <w:jc w:val="center"/>
        </w:trPr>
        <w:tc>
          <w:tcPr>
            <w:tcW w:w="2699" w:type="dxa"/>
            <w:tcBorders>
              <w:top w:val="nil"/>
              <w:left w:val="single" w:sz="8" w:space="0" w:color="auto"/>
              <w:bottom w:val="single" w:sz="8" w:space="0" w:color="auto"/>
              <w:right w:val="single" w:sz="8" w:space="0" w:color="auto"/>
            </w:tcBorders>
            <w:shd w:val="clear" w:color="auto" w:fill="auto"/>
            <w:noWrap/>
            <w:vAlign w:val="center"/>
            <w:hideMark/>
          </w:tcPr>
          <w:p w:rsidR="008B06DA" w:rsidRPr="008414FC" w:rsidRDefault="008B06DA" w:rsidP="0035003C">
            <w:pPr>
              <w:widowControl/>
              <w:jc w:val="left"/>
              <w:rPr>
                <w:rFonts w:ascii="仿宋_GB2312" w:eastAsia="仿宋_GB2312" w:hAnsi="宋体" w:cs="宋体"/>
                <w:color w:val="000000"/>
                <w:kern w:val="0"/>
                <w:sz w:val="28"/>
                <w:szCs w:val="28"/>
              </w:rPr>
            </w:pPr>
            <w:r w:rsidRPr="008414FC">
              <w:rPr>
                <w:rFonts w:ascii="仿宋_GB2312" w:eastAsia="仿宋_GB2312" w:hAnsi="宋体" w:cs="宋体" w:hint="eastAsia"/>
                <w:color w:val="000000"/>
                <w:kern w:val="0"/>
                <w:sz w:val="28"/>
                <w:szCs w:val="28"/>
              </w:rPr>
              <w:t>永续期资本性支出</w:t>
            </w:r>
          </w:p>
        </w:tc>
        <w:tc>
          <w:tcPr>
            <w:tcW w:w="1334"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-53.29%</w:t>
            </w:r>
          </w:p>
        </w:tc>
        <w:tc>
          <w:tcPr>
            <w:tcW w:w="940"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center"/>
              <w:rPr>
                <w:rFonts w:ascii="Times New Roman" w:hAnsi="Times New Roman"/>
                <w:color w:val="000000"/>
                <w:kern w:val="0"/>
                <w:sz w:val="28"/>
                <w:szCs w:val="28"/>
              </w:rPr>
            </w:pPr>
            <w:r>
              <w:rPr>
                <w:rFonts w:ascii="Times New Roman" w:hAnsi="Times New Roman" w:hint="eastAsia"/>
                <w:color w:val="000000"/>
                <w:kern w:val="0"/>
                <w:sz w:val="28"/>
                <w:szCs w:val="28"/>
              </w:rPr>
              <w:t>-</w:t>
            </w:r>
          </w:p>
        </w:tc>
        <w:tc>
          <w:tcPr>
            <w:tcW w:w="1334"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-53.29%</w:t>
            </w:r>
          </w:p>
        </w:tc>
      </w:tr>
      <w:tr w:rsidR="008B06DA" w:rsidRPr="008414FC" w:rsidTr="0035003C">
        <w:trPr>
          <w:trHeight w:val="390"/>
          <w:jc w:val="center"/>
        </w:trPr>
        <w:tc>
          <w:tcPr>
            <w:tcW w:w="2699" w:type="dxa"/>
            <w:tcBorders>
              <w:top w:val="nil"/>
              <w:left w:val="single" w:sz="8" w:space="0" w:color="auto"/>
              <w:bottom w:val="single" w:sz="8" w:space="0" w:color="auto"/>
              <w:right w:val="single" w:sz="8" w:space="0" w:color="auto"/>
            </w:tcBorders>
            <w:shd w:val="clear" w:color="auto" w:fill="auto"/>
            <w:noWrap/>
            <w:vAlign w:val="center"/>
            <w:hideMark/>
          </w:tcPr>
          <w:p w:rsidR="008B06DA" w:rsidRPr="008414FC" w:rsidRDefault="008B06DA" w:rsidP="0035003C">
            <w:pPr>
              <w:widowControl/>
              <w:jc w:val="left"/>
              <w:rPr>
                <w:rFonts w:ascii="仿宋_GB2312" w:eastAsia="仿宋_GB2312" w:hAnsi="宋体" w:cs="宋体"/>
                <w:color w:val="000000"/>
                <w:kern w:val="0"/>
                <w:sz w:val="28"/>
                <w:szCs w:val="28"/>
              </w:rPr>
            </w:pPr>
            <w:r w:rsidRPr="008414FC">
              <w:rPr>
                <w:rFonts w:ascii="仿宋_GB2312" w:eastAsia="仿宋_GB2312" w:hAnsi="宋体" w:cs="宋体" w:hint="eastAsia"/>
                <w:color w:val="000000"/>
                <w:kern w:val="0"/>
                <w:sz w:val="28"/>
                <w:szCs w:val="28"/>
              </w:rPr>
              <w:t>市场风险溢价</w:t>
            </w:r>
          </w:p>
        </w:tc>
        <w:tc>
          <w:tcPr>
            <w:tcW w:w="1334"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-68.03%</w:t>
            </w:r>
          </w:p>
        </w:tc>
        <w:tc>
          <w:tcPr>
            <w:tcW w:w="940"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center"/>
              <w:rPr>
                <w:rFonts w:ascii="Times New Roman" w:hAnsi="Times New Roman"/>
                <w:color w:val="000000"/>
                <w:kern w:val="0"/>
                <w:sz w:val="28"/>
                <w:szCs w:val="28"/>
              </w:rPr>
            </w:pPr>
            <w:r>
              <w:rPr>
                <w:rFonts w:ascii="Times New Roman" w:hAnsi="Times New Roman" w:hint="eastAsia"/>
                <w:color w:val="000000"/>
                <w:kern w:val="0"/>
                <w:sz w:val="28"/>
                <w:szCs w:val="28"/>
              </w:rPr>
              <w:t>-</w:t>
            </w:r>
          </w:p>
        </w:tc>
        <w:tc>
          <w:tcPr>
            <w:tcW w:w="1334" w:type="dxa"/>
            <w:tcBorders>
              <w:top w:val="nil"/>
              <w:left w:val="nil"/>
              <w:bottom w:val="single" w:sz="8" w:space="0" w:color="auto"/>
              <w:right w:val="single" w:sz="8" w:space="0" w:color="auto"/>
            </w:tcBorders>
            <w:shd w:val="clear" w:color="auto" w:fill="auto"/>
            <w:noWrap/>
            <w:vAlign w:val="center"/>
            <w:hideMark/>
          </w:tcPr>
          <w:p w:rsidR="008B06DA" w:rsidRPr="008414FC" w:rsidRDefault="008B06DA" w:rsidP="0035003C">
            <w:pPr>
              <w:widowControl/>
              <w:jc w:val="right"/>
              <w:rPr>
                <w:rFonts w:ascii="Times New Roman" w:hAnsi="Times New Roman"/>
                <w:color w:val="000000"/>
                <w:kern w:val="0"/>
                <w:sz w:val="28"/>
                <w:szCs w:val="28"/>
              </w:rPr>
            </w:pPr>
            <w:r w:rsidRPr="008414FC">
              <w:rPr>
                <w:rFonts w:ascii="Times New Roman" w:hAnsi="Times New Roman"/>
                <w:color w:val="000000"/>
                <w:kern w:val="0"/>
                <w:sz w:val="28"/>
                <w:szCs w:val="28"/>
              </w:rPr>
              <w:t>-63.67%</w:t>
            </w:r>
          </w:p>
        </w:tc>
      </w:tr>
    </w:tbl>
    <w:p w:rsidR="008B06DA" w:rsidRPr="00AD5D81" w:rsidRDefault="008B06DA" w:rsidP="008B06DA">
      <w:pPr>
        <w:widowControl/>
        <w:adjustRightInd w:val="0"/>
        <w:snapToGrid w:val="0"/>
        <w:jc w:val="center"/>
        <w:rPr>
          <w:rFonts w:ascii="Times New Roman" w:eastAsia="仿宋_GB2312" w:hAnsi="Times New Roman"/>
          <w:color w:val="000000"/>
          <w:kern w:val="0"/>
          <w:sz w:val="28"/>
          <w:szCs w:val="28"/>
        </w:rPr>
      </w:pPr>
    </w:p>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hint="eastAsia"/>
          <w:spacing w:val="-2"/>
          <w:sz w:val="32"/>
          <w:szCs w:val="24"/>
        </w:rPr>
        <w:t>从上表中可看出，</w:t>
      </w:r>
      <w:r>
        <w:rPr>
          <w:rFonts w:ascii="Times New Roman" w:eastAsia="仿宋_GB2312" w:hAnsi="宋体" w:hint="eastAsia"/>
          <w:spacing w:val="-2"/>
          <w:sz w:val="32"/>
          <w:szCs w:val="24"/>
        </w:rPr>
        <w:t>业务单价</w:t>
      </w:r>
      <w:r w:rsidRPr="00470D69">
        <w:rPr>
          <w:rFonts w:ascii="Times New Roman" w:eastAsia="仿宋_GB2312" w:hAnsi="宋体" w:hint="eastAsia"/>
          <w:spacing w:val="-2"/>
          <w:sz w:val="32"/>
          <w:szCs w:val="24"/>
        </w:rPr>
        <w:t>的敏感性系数最大，</w:t>
      </w:r>
      <w:r>
        <w:rPr>
          <w:rFonts w:ascii="Times New Roman" w:eastAsia="仿宋_GB2312" w:hAnsi="宋体" w:hint="eastAsia"/>
          <w:spacing w:val="-2"/>
          <w:sz w:val="32"/>
          <w:szCs w:val="24"/>
        </w:rPr>
        <w:t>单位变动成本、业务量</w:t>
      </w:r>
      <w:r w:rsidRPr="00470D69">
        <w:rPr>
          <w:rFonts w:ascii="Times New Roman" w:eastAsia="仿宋_GB2312" w:hAnsi="宋体" w:hint="eastAsia"/>
          <w:spacing w:val="-2"/>
          <w:sz w:val="32"/>
          <w:szCs w:val="24"/>
        </w:rPr>
        <w:t>的敏感性系数次之，</w:t>
      </w:r>
      <w:r>
        <w:rPr>
          <w:rFonts w:ascii="Times New Roman" w:eastAsia="仿宋_GB2312" w:hAnsi="宋体" w:hint="eastAsia"/>
          <w:spacing w:val="-2"/>
          <w:sz w:val="32"/>
          <w:szCs w:val="24"/>
        </w:rPr>
        <w:t>市场风险溢价</w:t>
      </w:r>
      <w:r w:rsidRPr="00470D69">
        <w:rPr>
          <w:rFonts w:ascii="Times New Roman" w:eastAsia="仿宋_GB2312" w:hAnsi="宋体" w:hint="eastAsia"/>
          <w:spacing w:val="-2"/>
          <w:sz w:val="32"/>
          <w:szCs w:val="24"/>
        </w:rPr>
        <w:t>和</w:t>
      </w:r>
      <w:r>
        <w:rPr>
          <w:rFonts w:ascii="Times New Roman" w:eastAsia="仿宋_GB2312" w:hAnsi="宋体" w:hint="eastAsia"/>
          <w:spacing w:val="-2"/>
          <w:sz w:val="32"/>
          <w:szCs w:val="24"/>
        </w:rPr>
        <w:t>永续期资本性支出</w:t>
      </w:r>
      <w:r w:rsidRPr="00470D69">
        <w:rPr>
          <w:rFonts w:ascii="Times New Roman" w:eastAsia="仿宋_GB2312" w:hAnsi="宋体" w:hint="eastAsia"/>
          <w:spacing w:val="-2"/>
          <w:sz w:val="32"/>
          <w:szCs w:val="24"/>
        </w:rPr>
        <w:t>的敏感性系数</w:t>
      </w:r>
      <w:r>
        <w:rPr>
          <w:rFonts w:ascii="Times New Roman" w:eastAsia="仿宋_GB2312" w:hAnsi="宋体" w:hint="eastAsia"/>
          <w:spacing w:val="-2"/>
          <w:sz w:val="32"/>
          <w:szCs w:val="24"/>
        </w:rPr>
        <w:t>相对</w:t>
      </w:r>
      <w:r w:rsidRPr="00470D69">
        <w:rPr>
          <w:rFonts w:ascii="Times New Roman" w:eastAsia="仿宋_GB2312" w:hAnsi="宋体" w:hint="eastAsia"/>
          <w:spacing w:val="-2"/>
          <w:sz w:val="32"/>
          <w:szCs w:val="24"/>
        </w:rPr>
        <w:t>较小。</w:t>
      </w:r>
      <w:r>
        <w:rPr>
          <w:rFonts w:ascii="Times New Roman" w:eastAsia="仿宋_GB2312" w:hAnsi="宋体" w:hint="eastAsia"/>
          <w:spacing w:val="-2"/>
          <w:sz w:val="32"/>
          <w:szCs w:val="24"/>
        </w:rPr>
        <w:t>考虑到市场风险溢价估计的不确定性程度可能较高</w:t>
      </w:r>
      <w:r w:rsidRPr="00470D69">
        <w:rPr>
          <w:rFonts w:ascii="Times New Roman" w:eastAsia="仿宋_GB2312" w:hAnsi="宋体" w:hint="eastAsia"/>
          <w:spacing w:val="-2"/>
          <w:sz w:val="32"/>
          <w:szCs w:val="24"/>
        </w:rPr>
        <w:t>，将</w:t>
      </w:r>
      <w:r>
        <w:rPr>
          <w:rFonts w:ascii="Times New Roman" w:eastAsia="仿宋_GB2312" w:hAnsi="宋体" w:hint="eastAsia"/>
          <w:spacing w:val="-2"/>
          <w:sz w:val="32"/>
          <w:szCs w:val="24"/>
        </w:rPr>
        <w:t>业务单价、单位变动成本、业务量和市场风险溢价</w:t>
      </w:r>
      <w:r w:rsidRPr="00470D69">
        <w:rPr>
          <w:rFonts w:ascii="Times New Roman" w:eastAsia="仿宋_GB2312" w:hAnsi="宋体" w:hint="eastAsia"/>
          <w:spacing w:val="-2"/>
          <w:sz w:val="32"/>
          <w:szCs w:val="24"/>
        </w:rPr>
        <w:t>确定为敏感性</w:t>
      </w:r>
      <w:r>
        <w:rPr>
          <w:rFonts w:ascii="Times New Roman" w:eastAsia="仿宋_GB2312" w:hAnsi="宋体" w:hint="eastAsia"/>
          <w:spacing w:val="-2"/>
          <w:sz w:val="32"/>
          <w:szCs w:val="24"/>
        </w:rPr>
        <w:t>因素</w:t>
      </w:r>
      <w:r w:rsidRPr="00470D69">
        <w:rPr>
          <w:rFonts w:ascii="Times New Roman" w:eastAsia="仿宋_GB2312" w:hAnsi="宋体" w:hint="eastAsia"/>
          <w:spacing w:val="-2"/>
          <w:sz w:val="32"/>
          <w:szCs w:val="24"/>
        </w:rPr>
        <w:t>。</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hint="eastAsia"/>
          <w:spacing w:val="-2"/>
          <w:sz w:val="32"/>
          <w:szCs w:val="24"/>
        </w:rPr>
        <w:t>（二）</w:t>
      </w:r>
      <w:r w:rsidRPr="00470D69">
        <w:rPr>
          <w:rFonts w:ascii="Times New Roman" w:eastAsia="仿宋_GB2312" w:hAnsi="宋体"/>
          <w:spacing w:val="-2"/>
          <w:sz w:val="32"/>
          <w:szCs w:val="24"/>
        </w:rPr>
        <w:t>计算敏感性</w:t>
      </w:r>
      <w:r>
        <w:rPr>
          <w:rFonts w:ascii="Times New Roman" w:eastAsia="仿宋_GB2312" w:hAnsi="宋体" w:hint="eastAsia"/>
          <w:spacing w:val="-2"/>
          <w:sz w:val="32"/>
          <w:szCs w:val="24"/>
        </w:rPr>
        <w:t>因素</w:t>
      </w:r>
      <w:r w:rsidRPr="00470D69">
        <w:rPr>
          <w:rFonts w:ascii="Times New Roman" w:eastAsia="仿宋_GB2312" w:hAnsi="宋体"/>
          <w:spacing w:val="-2"/>
          <w:sz w:val="32"/>
          <w:szCs w:val="24"/>
        </w:rPr>
        <w:t>变动情况下的评估</w:t>
      </w:r>
      <w:r>
        <w:rPr>
          <w:rFonts w:ascii="Times New Roman" w:eastAsia="仿宋_GB2312" w:hAnsi="宋体" w:hint="eastAsia"/>
          <w:spacing w:val="-2"/>
          <w:sz w:val="32"/>
          <w:szCs w:val="24"/>
        </w:rPr>
        <w:t>值</w:t>
      </w:r>
      <w:r w:rsidRPr="00470D69">
        <w:rPr>
          <w:rFonts w:ascii="Times New Roman" w:eastAsia="仿宋_GB2312" w:hAnsi="宋体"/>
          <w:spacing w:val="-2"/>
          <w:sz w:val="32"/>
          <w:szCs w:val="24"/>
        </w:rPr>
        <w:t>取值区间</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Pr>
          <w:rFonts w:ascii="Times New Roman" w:eastAsia="仿宋_GB2312" w:hAnsi="宋体" w:hint="eastAsia"/>
          <w:spacing w:val="-2"/>
          <w:sz w:val="32"/>
          <w:szCs w:val="24"/>
        </w:rPr>
        <w:t>由于敏感性因素有四个，若考虑同时变动，即便每个因素只发生</w:t>
      </w:r>
      <w:r>
        <w:rPr>
          <w:rFonts w:ascii="Times New Roman" w:eastAsia="仿宋_GB2312" w:hAnsi="宋体" w:hint="eastAsia"/>
          <w:spacing w:val="-2"/>
          <w:sz w:val="32"/>
          <w:szCs w:val="24"/>
        </w:rPr>
        <w:t>+5%</w:t>
      </w:r>
      <w:r>
        <w:rPr>
          <w:rFonts w:ascii="Times New Roman" w:eastAsia="仿宋_GB2312" w:hAnsi="宋体" w:hint="eastAsia"/>
          <w:spacing w:val="-2"/>
          <w:sz w:val="32"/>
          <w:szCs w:val="24"/>
        </w:rPr>
        <w:t>和</w:t>
      </w:r>
      <w:r>
        <w:rPr>
          <w:rFonts w:ascii="Times New Roman" w:eastAsia="仿宋_GB2312" w:hAnsi="宋体" w:hint="eastAsia"/>
          <w:spacing w:val="-2"/>
          <w:sz w:val="32"/>
          <w:szCs w:val="24"/>
        </w:rPr>
        <w:t>-5%</w:t>
      </w:r>
      <w:r>
        <w:rPr>
          <w:rFonts w:ascii="Times New Roman" w:eastAsia="仿宋_GB2312" w:hAnsi="宋体" w:hint="eastAsia"/>
          <w:spacing w:val="-2"/>
          <w:sz w:val="32"/>
          <w:szCs w:val="24"/>
        </w:rPr>
        <w:t>两种变动，也会有</w:t>
      </w:r>
      <w:r>
        <w:rPr>
          <w:rFonts w:ascii="Times New Roman" w:eastAsia="仿宋_GB2312" w:hAnsi="宋体" w:hint="eastAsia"/>
          <w:spacing w:val="-2"/>
          <w:sz w:val="32"/>
          <w:szCs w:val="24"/>
        </w:rPr>
        <w:t>80</w:t>
      </w:r>
      <w:r>
        <w:rPr>
          <w:rFonts w:ascii="Times New Roman" w:eastAsia="仿宋_GB2312" w:hAnsi="宋体" w:hint="eastAsia"/>
          <w:spacing w:val="-2"/>
          <w:sz w:val="32"/>
          <w:szCs w:val="24"/>
        </w:rPr>
        <w:t>种计算结果（</w:t>
      </w:r>
      <w:r>
        <w:rPr>
          <w:rFonts w:ascii="Times New Roman" w:eastAsia="仿宋_GB2312" w:hAnsi="宋体" w:hint="eastAsia"/>
          <w:spacing w:val="-2"/>
          <w:sz w:val="32"/>
          <w:szCs w:val="24"/>
        </w:rPr>
        <w:t>3</w:t>
      </w:r>
      <w:r>
        <w:rPr>
          <w:rFonts w:ascii="Times New Roman" w:eastAsia="仿宋_GB2312" w:hAnsi="宋体" w:hint="eastAsia"/>
          <w:spacing w:val="-2"/>
          <w:sz w:val="32"/>
          <w:szCs w:val="24"/>
        </w:rPr>
        <w:t>的</w:t>
      </w:r>
      <w:proofErr w:type="gramStart"/>
      <w:r>
        <w:rPr>
          <w:rFonts w:ascii="Times New Roman" w:eastAsia="仿宋_GB2312" w:hAnsi="宋体" w:hint="eastAsia"/>
          <w:spacing w:val="-2"/>
          <w:sz w:val="32"/>
          <w:szCs w:val="24"/>
        </w:rPr>
        <w:t>四次方减</w:t>
      </w:r>
      <w:proofErr w:type="gramEnd"/>
      <w:r>
        <w:rPr>
          <w:rFonts w:ascii="Times New Roman" w:eastAsia="仿宋_GB2312" w:hAnsi="宋体" w:hint="eastAsia"/>
          <w:spacing w:val="-2"/>
          <w:sz w:val="32"/>
          <w:szCs w:val="24"/>
        </w:rPr>
        <w:t>1</w:t>
      </w:r>
      <w:r w:rsidR="00F91A8B">
        <w:rPr>
          <w:rFonts w:ascii="Times New Roman" w:eastAsia="仿宋_GB2312" w:hAnsi="宋体" w:hint="eastAsia"/>
          <w:spacing w:val="-2"/>
          <w:sz w:val="32"/>
          <w:szCs w:val="24"/>
        </w:rPr>
        <w:t>）。因此本例中仅计算两种极值情况，即</w:t>
      </w:r>
      <w:r>
        <w:rPr>
          <w:rFonts w:ascii="Times New Roman" w:eastAsia="仿宋_GB2312" w:hAnsi="宋体" w:hint="eastAsia"/>
          <w:spacing w:val="-2"/>
          <w:sz w:val="32"/>
          <w:szCs w:val="24"/>
        </w:rPr>
        <w:t>业务单价和业务量取值增加</w:t>
      </w:r>
      <w:r>
        <w:rPr>
          <w:rFonts w:ascii="Times New Roman" w:eastAsia="仿宋_GB2312" w:hAnsi="宋体" w:hint="eastAsia"/>
          <w:spacing w:val="-2"/>
          <w:sz w:val="32"/>
          <w:szCs w:val="24"/>
        </w:rPr>
        <w:t>5%</w:t>
      </w:r>
      <w:r>
        <w:rPr>
          <w:rFonts w:ascii="Times New Roman" w:eastAsia="仿宋_GB2312" w:hAnsi="宋体" w:hint="eastAsia"/>
          <w:spacing w:val="-2"/>
          <w:sz w:val="32"/>
          <w:szCs w:val="24"/>
        </w:rPr>
        <w:t>、单位变动成本和市场风险溢价取值减少</w:t>
      </w:r>
      <w:r>
        <w:rPr>
          <w:rFonts w:ascii="Times New Roman" w:eastAsia="仿宋_GB2312" w:hAnsi="宋体" w:hint="eastAsia"/>
          <w:spacing w:val="-2"/>
          <w:sz w:val="32"/>
          <w:szCs w:val="24"/>
        </w:rPr>
        <w:t>5%</w:t>
      </w:r>
      <w:r>
        <w:rPr>
          <w:rFonts w:ascii="Times New Roman" w:eastAsia="仿宋_GB2312" w:hAnsi="宋体" w:hint="eastAsia"/>
          <w:spacing w:val="-2"/>
          <w:sz w:val="32"/>
          <w:szCs w:val="24"/>
        </w:rPr>
        <w:t>产生最大评估值，业务单价和业务量取值减少</w:t>
      </w:r>
      <w:r>
        <w:rPr>
          <w:rFonts w:ascii="Times New Roman" w:eastAsia="仿宋_GB2312" w:hAnsi="宋体" w:hint="eastAsia"/>
          <w:spacing w:val="-2"/>
          <w:sz w:val="32"/>
          <w:szCs w:val="24"/>
        </w:rPr>
        <w:t>5%</w:t>
      </w:r>
      <w:r>
        <w:rPr>
          <w:rFonts w:ascii="Times New Roman" w:eastAsia="仿宋_GB2312" w:hAnsi="宋体" w:hint="eastAsia"/>
          <w:spacing w:val="-2"/>
          <w:sz w:val="32"/>
          <w:szCs w:val="24"/>
        </w:rPr>
        <w:t>、单位变动成本和市场风险溢价取值增加</w:t>
      </w:r>
      <w:r>
        <w:rPr>
          <w:rFonts w:ascii="Times New Roman" w:eastAsia="仿宋_GB2312" w:hAnsi="宋体" w:hint="eastAsia"/>
          <w:spacing w:val="-2"/>
          <w:sz w:val="32"/>
          <w:szCs w:val="24"/>
        </w:rPr>
        <w:t>5%</w:t>
      </w:r>
      <w:r>
        <w:rPr>
          <w:rFonts w:ascii="Times New Roman" w:eastAsia="仿宋_GB2312" w:hAnsi="宋体" w:hint="eastAsia"/>
          <w:spacing w:val="-2"/>
          <w:sz w:val="32"/>
          <w:szCs w:val="24"/>
        </w:rPr>
        <w:t>产生最小评估值。计算具体结果如下表：</w:t>
      </w:r>
    </w:p>
    <w:tbl>
      <w:tblPr>
        <w:tblW w:w="8224"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236"/>
        <w:gridCol w:w="2076"/>
        <w:gridCol w:w="2076"/>
        <w:gridCol w:w="1320"/>
      </w:tblGrid>
      <w:tr w:rsidR="008B06DA" w:rsidRPr="007060C5" w:rsidTr="007D7FEA">
        <w:trPr>
          <w:trHeight w:val="1290"/>
          <w:jc w:val="center"/>
        </w:trPr>
        <w:tc>
          <w:tcPr>
            <w:tcW w:w="8224" w:type="dxa"/>
            <w:gridSpan w:val="5"/>
            <w:tcBorders>
              <w:top w:val="single" w:sz="4" w:space="0" w:color="FFFFFF" w:themeColor="background1"/>
              <w:left w:val="nil"/>
              <w:bottom w:val="single" w:sz="4" w:space="0" w:color="FFFFFF" w:themeColor="background1"/>
              <w:right w:val="nil"/>
            </w:tcBorders>
            <w:shd w:val="clear" w:color="auto" w:fill="auto"/>
            <w:noWrap/>
            <w:vAlign w:val="center"/>
            <w:hideMark/>
          </w:tcPr>
          <w:p w:rsidR="00742BE3" w:rsidRDefault="00742BE3" w:rsidP="00D83BE4">
            <w:pPr>
              <w:widowControl/>
              <w:rPr>
                <w:rFonts w:ascii="Times New Roman" w:eastAsia="仿宋_GB2312" w:hAnsi="Times New Roman"/>
                <w:color w:val="000000"/>
                <w:kern w:val="0"/>
                <w:sz w:val="28"/>
                <w:szCs w:val="28"/>
              </w:rPr>
            </w:pPr>
          </w:p>
          <w:p w:rsidR="008B06DA" w:rsidRPr="007060C5" w:rsidRDefault="008B06DA" w:rsidP="0035003C">
            <w:pPr>
              <w:widowControl/>
              <w:jc w:val="center"/>
              <w:rPr>
                <w:rFonts w:ascii="Times New Roman" w:eastAsia="仿宋_GB2312" w:hAnsi="Times New Roman"/>
                <w:color w:val="000000"/>
                <w:kern w:val="0"/>
                <w:sz w:val="28"/>
                <w:szCs w:val="28"/>
              </w:rPr>
            </w:pPr>
          </w:p>
        </w:tc>
      </w:tr>
      <w:tr w:rsidR="007D7FEA" w:rsidRPr="007060C5" w:rsidTr="007D7FEA">
        <w:trPr>
          <w:trHeight w:val="612"/>
          <w:jc w:val="center"/>
        </w:trPr>
        <w:tc>
          <w:tcPr>
            <w:tcW w:w="8224" w:type="dxa"/>
            <w:gridSpan w:val="5"/>
            <w:tcBorders>
              <w:top w:val="single" w:sz="4" w:space="0" w:color="FFFFFF" w:themeColor="background1"/>
              <w:left w:val="nil"/>
              <w:right w:val="nil"/>
            </w:tcBorders>
            <w:shd w:val="clear" w:color="auto" w:fill="auto"/>
            <w:noWrap/>
            <w:vAlign w:val="center"/>
          </w:tcPr>
          <w:p w:rsidR="007D7FEA" w:rsidRDefault="007D7FEA" w:rsidP="0035003C">
            <w:pPr>
              <w:jc w:val="center"/>
              <w:rPr>
                <w:rFonts w:ascii="Times New Roman" w:eastAsia="仿宋_GB2312" w:hAnsi="Times New Roman"/>
                <w:color w:val="000000"/>
                <w:kern w:val="0"/>
                <w:sz w:val="28"/>
                <w:szCs w:val="28"/>
              </w:rPr>
            </w:pPr>
            <w:r w:rsidRPr="00AD5D81">
              <w:rPr>
                <w:rFonts w:ascii="Times New Roman" w:eastAsia="仿宋_GB2312" w:hAnsi="Times New Roman"/>
                <w:color w:val="000000"/>
                <w:kern w:val="0"/>
                <w:sz w:val="28"/>
                <w:szCs w:val="28"/>
              </w:rPr>
              <w:lastRenderedPageBreak/>
              <w:t>各</w:t>
            </w:r>
            <w:r>
              <w:rPr>
                <w:rFonts w:ascii="Times New Roman" w:eastAsia="仿宋_GB2312" w:hAnsi="Times New Roman" w:hint="eastAsia"/>
                <w:color w:val="000000"/>
                <w:kern w:val="0"/>
                <w:sz w:val="28"/>
                <w:szCs w:val="28"/>
              </w:rPr>
              <w:t>敏感性因素</w:t>
            </w:r>
            <w:r w:rsidRPr="00AD5D81">
              <w:rPr>
                <w:rFonts w:ascii="Times New Roman" w:eastAsia="仿宋_GB2312" w:hAnsi="Times New Roman"/>
                <w:color w:val="000000"/>
                <w:kern w:val="0"/>
                <w:sz w:val="28"/>
                <w:szCs w:val="28"/>
              </w:rPr>
              <w:t>分别变动</w:t>
            </w:r>
            <w:r>
              <w:rPr>
                <w:rFonts w:ascii="Times New Roman" w:eastAsia="仿宋_GB2312" w:hAnsi="Times New Roman" w:hint="eastAsia"/>
                <w:color w:val="000000"/>
                <w:kern w:val="0"/>
                <w:sz w:val="28"/>
                <w:szCs w:val="28"/>
              </w:rPr>
              <w:t>下</w:t>
            </w:r>
            <w:r w:rsidRPr="00AD5D81">
              <w:rPr>
                <w:rFonts w:ascii="Times New Roman" w:eastAsia="仿宋_GB2312" w:hAnsi="Times New Roman"/>
                <w:color w:val="000000"/>
                <w:kern w:val="0"/>
                <w:sz w:val="28"/>
                <w:szCs w:val="28"/>
              </w:rPr>
              <w:t>的评估值（万元）</w:t>
            </w:r>
          </w:p>
        </w:tc>
      </w:tr>
      <w:tr w:rsidR="008B06DA" w:rsidRPr="007060C5" w:rsidTr="0035003C">
        <w:trPr>
          <w:trHeight w:val="390"/>
          <w:jc w:val="center"/>
        </w:trPr>
        <w:tc>
          <w:tcPr>
            <w:tcW w:w="1516" w:type="dxa"/>
            <w:shd w:val="clear" w:color="auto" w:fill="auto"/>
            <w:noWrap/>
            <w:vAlign w:val="center"/>
            <w:hideMark/>
          </w:tcPr>
          <w:p w:rsidR="008B06DA" w:rsidRPr="007060C5" w:rsidRDefault="008B06DA" w:rsidP="0035003C">
            <w:pPr>
              <w:widowControl/>
              <w:jc w:val="lef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业务单价</w:t>
            </w:r>
          </w:p>
        </w:tc>
        <w:tc>
          <w:tcPr>
            <w:tcW w:w="1236" w:type="dxa"/>
            <w:shd w:val="clear" w:color="auto" w:fill="auto"/>
            <w:noWrap/>
            <w:vAlign w:val="center"/>
            <w:hideMark/>
          </w:tcPr>
          <w:p w:rsidR="008B06DA" w:rsidRPr="007060C5" w:rsidRDefault="008B06DA" w:rsidP="0035003C">
            <w:pPr>
              <w:widowControl/>
              <w:jc w:val="lef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业务量</w:t>
            </w:r>
          </w:p>
        </w:tc>
        <w:tc>
          <w:tcPr>
            <w:tcW w:w="2076" w:type="dxa"/>
            <w:shd w:val="clear" w:color="auto" w:fill="auto"/>
            <w:noWrap/>
            <w:vAlign w:val="center"/>
            <w:hideMark/>
          </w:tcPr>
          <w:p w:rsidR="008B06DA" w:rsidRPr="007060C5" w:rsidRDefault="008B06DA" w:rsidP="0035003C">
            <w:pPr>
              <w:widowControl/>
              <w:jc w:val="lef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单位变动成本</w:t>
            </w:r>
          </w:p>
        </w:tc>
        <w:tc>
          <w:tcPr>
            <w:tcW w:w="2076" w:type="dxa"/>
            <w:shd w:val="clear" w:color="auto" w:fill="auto"/>
            <w:noWrap/>
            <w:vAlign w:val="center"/>
            <w:hideMark/>
          </w:tcPr>
          <w:p w:rsidR="008B06DA" w:rsidRPr="007060C5" w:rsidRDefault="008B06DA" w:rsidP="0035003C">
            <w:pPr>
              <w:widowControl/>
              <w:jc w:val="lef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市场风险溢价</w:t>
            </w:r>
          </w:p>
        </w:tc>
        <w:tc>
          <w:tcPr>
            <w:tcW w:w="1320" w:type="dxa"/>
            <w:shd w:val="clear" w:color="auto" w:fill="auto"/>
            <w:noWrap/>
            <w:vAlign w:val="center"/>
            <w:hideMark/>
          </w:tcPr>
          <w:p w:rsidR="008B06DA" w:rsidRPr="007060C5" w:rsidRDefault="008B06DA" w:rsidP="0035003C">
            <w:pPr>
              <w:widowControl/>
              <w:jc w:val="lef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评估值</w:t>
            </w:r>
          </w:p>
        </w:tc>
      </w:tr>
      <w:tr w:rsidR="008B06DA" w:rsidRPr="007060C5" w:rsidTr="0035003C">
        <w:trPr>
          <w:trHeight w:val="390"/>
          <w:jc w:val="center"/>
        </w:trPr>
        <w:tc>
          <w:tcPr>
            <w:tcW w:w="1516"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5%</w:t>
            </w:r>
          </w:p>
        </w:tc>
        <w:tc>
          <w:tcPr>
            <w:tcW w:w="1236"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5%</w:t>
            </w:r>
          </w:p>
        </w:tc>
        <w:tc>
          <w:tcPr>
            <w:tcW w:w="2076"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-5%</w:t>
            </w:r>
          </w:p>
        </w:tc>
        <w:tc>
          <w:tcPr>
            <w:tcW w:w="2076"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-5%</w:t>
            </w:r>
          </w:p>
        </w:tc>
        <w:tc>
          <w:tcPr>
            <w:tcW w:w="1320"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 xml:space="preserve">10721.49 </w:t>
            </w:r>
          </w:p>
        </w:tc>
      </w:tr>
      <w:tr w:rsidR="008B06DA" w:rsidRPr="007060C5" w:rsidTr="0035003C">
        <w:trPr>
          <w:trHeight w:val="390"/>
          <w:jc w:val="center"/>
        </w:trPr>
        <w:tc>
          <w:tcPr>
            <w:tcW w:w="1516"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0%</w:t>
            </w:r>
          </w:p>
        </w:tc>
        <w:tc>
          <w:tcPr>
            <w:tcW w:w="1236"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0%</w:t>
            </w:r>
          </w:p>
        </w:tc>
        <w:tc>
          <w:tcPr>
            <w:tcW w:w="2076"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0%</w:t>
            </w:r>
          </w:p>
        </w:tc>
        <w:tc>
          <w:tcPr>
            <w:tcW w:w="2076"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0%</w:t>
            </w:r>
          </w:p>
        </w:tc>
        <w:tc>
          <w:tcPr>
            <w:tcW w:w="1320"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 xml:space="preserve">7370.86 </w:t>
            </w:r>
          </w:p>
        </w:tc>
      </w:tr>
      <w:tr w:rsidR="008B06DA" w:rsidRPr="007060C5" w:rsidTr="0035003C">
        <w:trPr>
          <w:trHeight w:val="390"/>
          <w:jc w:val="center"/>
        </w:trPr>
        <w:tc>
          <w:tcPr>
            <w:tcW w:w="1516"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-5%</w:t>
            </w:r>
          </w:p>
        </w:tc>
        <w:tc>
          <w:tcPr>
            <w:tcW w:w="1236"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-5%</w:t>
            </w:r>
          </w:p>
        </w:tc>
        <w:tc>
          <w:tcPr>
            <w:tcW w:w="2076"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5%</w:t>
            </w:r>
          </w:p>
        </w:tc>
        <w:tc>
          <w:tcPr>
            <w:tcW w:w="2076"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5%</w:t>
            </w:r>
          </w:p>
        </w:tc>
        <w:tc>
          <w:tcPr>
            <w:tcW w:w="1320" w:type="dxa"/>
            <w:shd w:val="clear" w:color="auto" w:fill="auto"/>
            <w:noWrap/>
            <w:vAlign w:val="center"/>
            <w:hideMark/>
          </w:tcPr>
          <w:p w:rsidR="008B06DA" w:rsidRPr="007060C5" w:rsidRDefault="008B06DA" w:rsidP="0035003C">
            <w:pPr>
              <w:widowControl/>
              <w:jc w:val="right"/>
              <w:rPr>
                <w:rFonts w:ascii="Times New Roman" w:eastAsia="仿宋_GB2312" w:hAnsi="Times New Roman"/>
                <w:color w:val="000000"/>
                <w:kern w:val="0"/>
                <w:sz w:val="28"/>
                <w:szCs w:val="28"/>
              </w:rPr>
            </w:pPr>
            <w:r w:rsidRPr="007060C5">
              <w:rPr>
                <w:rFonts w:ascii="Times New Roman" w:eastAsia="仿宋_GB2312" w:hAnsi="Times New Roman"/>
                <w:color w:val="000000"/>
                <w:kern w:val="0"/>
                <w:sz w:val="28"/>
                <w:szCs w:val="28"/>
              </w:rPr>
              <w:t xml:space="preserve">4432.52 </w:t>
            </w:r>
          </w:p>
        </w:tc>
      </w:tr>
    </w:tbl>
    <w:p w:rsidR="008B06DA" w:rsidRPr="00470D69"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sidRPr="00470D69">
        <w:rPr>
          <w:rFonts w:ascii="Times New Roman" w:eastAsia="仿宋_GB2312" w:hAnsi="宋体" w:hint="eastAsia"/>
          <w:spacing w:val="-2"/>
          <w:sz w:val="32"/>
          <w:szCs w:val="24"/>
        </w:rPr>
        <w:t>（三）</w:t>
      </w:r>
      <w:r w:rsidRPr="00470D69">
        <w:rPr>
          <w:rFonts w:ascii="Times New Roman" w:eastAsia="仿宋_GB2312" w:hAnsi="宋体"/>
          <w:spacing w:val="-2"/>
          <w:sz w:val="32"/>
          <w:szCs w:val="24"/>
        </w:rPr>
        <w:t>总结披露分析结果</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Pr>
          <w:rFonts w:ascii="Times New Roman" w:eastAsia="仿宋_GB2312" w:hAnsi="宋体" w:hint="eastAsia"/>
          <w:spacing w:val="-2"/>
          <w:sz w:val="32"/>
          <w:szCs w:val="24"/>
        </w:rPr>
        <w:t>在评估报告的</w:t>
      </w:r>
      <w:r w:rsidRPr="002526E0">
        <w:rPr>
          <w:rFonts w:ascii="Times New Roman" w:eastAsia="仿宋_GB2312" w:hAnsi="宋体"/>
          <w:spacing w:val="-2"/>
          <w:sz w:val="32"/>
          <w:szCs w:val="24"/>
        </w:rPr>
        <w:t>特别事项说明</w:t>
      </w:r>
      <w:r w:rsidR="000A7317">
        <w:rPr>
          <w:rFonts w:ascii="Times New Roman" w:eastAsia="仿宋_GB2312" w:hAnsi="宋体" w:hint="eastAsia"/>
          <w:spacing w:val="-2"/>
          <w:sz w:val="32"/>
          <w:szCs w:val="24"/>
        </w:rPr>
        <w:t>部分，对</w:t>
      </w:r>
      <w:r>
        <w:rPr>
          <w:rFonts w:ascii="Times New Roman" w:eastAsia="仿宋_GB2312" w:hAnsi="宋体" w:hint="eastAsia"/>
          <w:spacing w:val="-2"/>
          <w:sz w:val="32"/>
          <w:szCs w:val="24"/>
        </w:rPr>
        <w:t>敏感性分析结果</w:t>
      </w:r>
      <w:proofErr w:type="gramStart"/>
      <w:r w:rsidR="000A7317">
        <w:rPr>
          <w:rFonts w:ascii="Times New Roman" w:eastAsia="仿宋_GB2312" w:hAnsi="宋体" w:hint="eastAsia"/>
          <w:spacing w:val="-2"/>
          <w:sz w:val="32"/>
          <w:szCs w:val="24"/>
        </w:rPr>
        <w:t>作出</w:t>
      </w:r>
      <w:proofErr w:type="gramEnd"/>
      <w:r>
        <w:rPr>
          <w:rFonts w:ascii="Times New Roman" w:eastAsia="仿宋_GB2312" w:hAnsi="宋体" w:hint="eastAsia"/>
          <w:spacing w:val="-2"/>
          <w:sz w:val="32"/>
          <w:szCs w:val="24"/>
        </w:rPr>
        <w:t>如下披露：</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Pr>
          <w:rFonts w:ascii="Times New Roman" w:eastAsia="仿宋_GB2312" w:hAnsi="宋体" w:hint="eastAsia"/>
          <w:spacing w:val="-2"/>
          <w:sz w:val="32"/>
          <w:szCs w:val="24"/>
        </w:rPr>
        <w:t>“</w:t>
      </w:r>
      <w:r w:rsidRPr="00470D69">
        <w:rPr>
          <w:rFonts w:ascii="Times New Roman" w:eastAsia="仿宋_GB2312" w:hAnsi="宋体" w:hint="eastAsia"/>
          <w:spacing w:val="-2"/>
          <w:sz w:val="32"/>
          <w:szCs w:val="24"/>
        </w:rPr>
        <w:t>对评估参数的估计</w:t>
      </w:r>
      <w:r>
        <w:rPr>
          <w:rFonts w:ascii="Times New Roman" w:eastAsia="仿宋_GB2312" w:hAnsi="宋体" w:hint="eastAsia"/>
          <w:spacing w:val="-2"/>
          <w:sz w:val="32"/>
          <w:szCs w:val="24"/>
        </w:rPr>
        <w:t>客观上</w:t>
      </w:r>
      <w:r w:rsidRPr="00470D69">
        <w:rPr>
          <w:rFonts w:ascii="Times New Roman" w:eastAsia="仿宋_GB2312" w:hAnsi="宋体" w:hint="eastAsia"/>
          <w:spacing w:val="-2"/>
          <w:sz w:val="32"/>
          <w:szCs w:val="24"/>
        </w:rPr>
        <w:t>存在</w:t>
      </w:r>
      <w:r>
        <w:rPr>
          <w:rFonts w:ascii="Times New Roman" w:eastAsia="仿宋_GB2312" w:hAnsi="宋体" w:hint="eastAsia"/>
          <w:spacing w:val="-2"/>
          <w:sz w:val="32"/>
          <w:szCs w:val="24"/>
        </w:rPr>
        <w:t>一定的</w:t>
      </w:r>
      <w:r w:rsidRPr="00470D69">
        <w:rPr>
          <w:rFonts w:ascii="Times New Roman" w:eastAsia="仿宋_GB2312" w:hAnsi="宋体" w:hint="eastAsia"/>
          <w:spacing w:val="-2"/>
          <w:sz w:val="32"/>
          <w:szCs w:val="24"/>
        </w:rPr>
        <w:t>不确定性</w:t>
      </w:r>
      <w:r>
        <w:rPr>
          <w:rFonts w:ascii="Times New Roman" w:eastAsia="仿宋_GB2312" w:hAnsi="宋体" w:hint="eastAsia"/>
          <w:spacing w:val="-2"/>
          <w:sz w:val="32"/>
          <w:szCs w:val="24"/>
        </w:rPr>
        <w:t>。经分析比较，确定</w:t>
      </w:r>
      <w:r w:rsidRPr="00CC37A2">
        <w:rPr>
          <w:rFonts w:ascii="Times New Roman" w:eastAsia="仿宋_GB2312" w:hAnsi="宋体" w:hint="eastAsia"/>
          <w:spacing w:val="-2"/>
          <w:sz w:val="32"/>
          <w:szCs w:val="24"/>
        </w:rPr>
        <w:t>业务单价</w:t>
      </w:r>
      <w:r>
        <w:rPr>
          <w:rFonts w:ascii="Times New Roman" w:eastAsia="仿宋_GB2312" w:hAnsi="宋体" w:hint="eastAsia"/>
          <w:spacing w:val="-2"/>
          <w:sz w:val="32"/>
          <w:szCs w:val="24"/>
        </w:rPr>
        <w:t>、</w:t>
      </w:r>
      <w:r w:rsidRPr="00CC37A2">
        <w:rPr>
          <w:rFonts w:ascii="Times New Roman" w:eastAsia="仿宋_GB2312" w:hAnsi="宋体" w:hint="eastAsia"/>
          <w:spacing w:val="-2"/>
          <w:sz w:val="32"/>
          <w:szCs w:val="24"/>
        </w:rPr>
        <w:t>业务量</w:t>
      </w:r>
      <w:r>
        <w:rPr>
          <w:rFonts w:ascii="Times New Roman" w:eastAsia="仿宋_GB2312" w:hAnsi="宋体" w:hint="eastAsia"/>
          <w:spacing w:val="-2"/>
          <w:sz w:val="32"/>
          <w:szCs w:val="24"/>
        </w:rPr>
        <w:t>、</w:t>
      </w:r>
      <w:r w:rsidRPr="00CC37A2">
        <w:rPr>
          <w:rFonts w:ascii="Times New Roman" w:eastAsia="仿宋_GB2312" w:hAnsi="宋体" w:hint="eastAsia"/>
          <w:spacing w:val="-2"/>
          <w:sz w:val="32"/>
          <w:szCs w:val="24"/>
        </w:rPr>
        <w:t>单位变动成本</w:t>
      </w:r>
      <w:r>
        <w:rPr>
          <w:rFonts w:ascii="Times New Roman" w:eastAsia="仿宋_GB2312" w:hAnsi="宋体" w:hint="eastAsia"/>
          <w:spacing w:val="-2"/>
          <w:sz w:val="32"/>
          <w:szCs w:val="24"/>
        </w:rPr>
        <w:t>和</w:t>
      </w:r>
      <w:r w:rsidRPr="00CC37A2">
        <w:rPr>
          <w:rFonts w:ascii="Times New Roman" w:eastAsia="仿宋_GB2312" w:hAnsi="宋体" w:hint="eastAsia"/>
          <w:spacing w:val="-2"/>
          <w:sz w:val="32"/>
          <w:szCs w:val="24"/>
        </w:rPr>
        <w:t>市场风险溢价</w:t>
      </w:r>
      <w:r>
        <w:rPr>
          <w:rFonts w:ascii="Times New Roman" w:eastAsia="仿宋_GB2312" w:hAnsi="宋体" w:hint="eastAsia"/>
          <w:spacing w:val="-2"/>
          <w:sz w:val="32"/>
          <w:szCs w:val="24"/>
        </w:rPr>
        <w:t>为敏感性因素。</w:t>
      </w:r>
    </w:p>
    <w:p w:rsidR="008B06DA" w:rsidRDefault="008B06DA" w:rsidP="008B06DA">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Pr>
          <w:rFonts w:ascii="Times New Roman" w:eastAsia="仿宋_GB2312" w:hAnsi="宋体" w:hint="eastAsia"/>
          <w:spacing w:val="-2"/>
          <w:sz w:val="32"/>
          <w:szCs w:val="24"/>
        </w:rPr>
        <w:t>在本次评估中，</w:t>
      </w:r>
      <w:r w:rsidRPr="00CC37A2">
        <w:rPr>
          <w:rFonts w:ascii="Times New Roman" w:eastAsia="仿宋_GB2312" w:hAnsi="宋体" w:hint="eastAsia"/>
          <w:spacing w:val="-2"/>
          <w:sz w:val="32"/>
          <w:szCs w:val="24"/>
        </w:rPr>
        <w:t>业务单价</w:t>
      </w:r>
      <w:r>
        <w:rPr>
          <w:rFonts w:ascii="Times New Roman" w:eastAsia="仿宋_GB2312" w:hAnsi="宋体" w:hint="eastAsia"/>
          <w:spacing w:val="-2"/>
          <w:sz w:val="32"/>
          <w:szCs w:val="24"/>
        </w:rPr>
        <w:t>取值为</w:t>
      </w:r>
      <w:r>
        <w:rPr>
          <w:rFonts w:ascii="Times New Roman" w:eastAsia="仿宋_GB2312" w:hAnsi="宋体" w:hint="eastAsia"/>
          <w:spacing w:val="-2"/>
          <w:sz w:val="32"/>
          <w:szCs w:val="24"/>
        </w:rPr>
        <w:t>32</w:t>
      </w:r>
      <w:r w:rsidRPr="00470D69">
        <w:rPr>
          <w:rFonts w:ascii="Times New Roman" w:eastAsia="仿宋_GB2312" w:hAnsi="宋体"/>
          <w:spacing w:val="-2"/>
          <w:sz w:val="32"/>
          <w:szCs w:val="24"/>
        </w:rPr>
        <w:t>元</w:t>
      </w:r>
      <w:r>
        <w:rPr>
          <w:rFonts w:ascii="Times New Roman" w:eastAsia="仿宋_GB2312" w:hAnsi="宋体" w:hint="eastAsia"/>
          <w:spacing w:val="-2"/>
          <w:sz w:val="32"/>
          <w:szCs w:val="24"/>
        </w:rPr>
        <w:t>，</w:t>
      </w:r>
      <w:r w:rsidRPr="00CC37A2">
        <w:rPr>
          <w:rFonts w:ascii="Times New Roman" w:eastAsia="仿宋_GB2312" w:hAnsi="宋体" w:hint="eastAsia"/>
          <w:spacing w:val="-2"/>
          <w:sz w:val="32"/>
          <w:szCs w:val="24"/>
        </w:rPr>
        <w:t>业务量</w:t>
      </w:r>
      <w:r>
        <w:rPr>
          <w:rFonts w:ascii="Times New Roman" w:eastAsia="仿宋_GB2312" w:hAnsi="宋体" w:hint="eastAsia"/>
          <w:spacing w:val="-2"/>
          <w:sz w:val="32"/>
          <w:szCs w:val="24"/>
        </w:rPr>
        <w:t>取值为</w:t>
      </w:r>
      <w:r>
        <w:rPr>
          <w:rFonts w:ascii="Times New Roman" w:eastAsia="仿宋_GB2312" w:hAnsi="宋体" w:hint="eastAsia"/>
          <w:spacing w:val="-2"/>
          <w:sz w:val="32"/>
          <w:szCs w:val="24"/>
        </w:rPr>
        <w:t>152</w:t>
      </w:r>
      <w:r>
        <w:rPr>
          <w:rFonts w:ascii="Times New Roman" w:eastAsia="仿宋_GB2312" w:hAnsi="宋体" w:hint="eastAsia"/>
          <w:spacing w:val="-2"/>
          <w:sz w:val="32"/>
          <w:szCs w:val="24"/>
        </w:rPr>
        <w:t>万个，</w:t>
      </w:r>
      <w:r w:rsidRPr="00CC37A2">
        <w:rPr>
          <w:rFonts w:ascii="Times New Roman" w:eastAsia="仿宋_GB2312" w:hAnsi="宋体" w:hint="eastAsia"/>
          <w:spacing w:val="-2"/>
          <w:sz w:val="32"/>
          <w:szCs w:val="24"/>
        </w:rPr>
        <w:t>单位变动成本</w:t>
      </w:r>
      <w:r>
        <w:rPr>
          <w:rFonts w:ascii="Times New Roman" w:eastAsia="仿宋_GB2312" w:hAnsi="宋体" w:hint="eastAsia"/>
          <w:spacing w:val="-2"/>
          <w:sz w:val="32"/>
          <w:szCs w:val="24"/>
        </w:rPr>
        <w:t>取值为</w:t>
      </w:r>
      <w:r>
        <w:rPr>
          <w:rFonts w:ascii="Times New Roman" w:eastAsia="仿宋_GB2312" w:hAnsi="宋体" w:hint="eastAsia"/>
          <w:spacing w:val="-2"/>
          <w:sz w:val="32"/>
          <w:szCs w:val="24"/>
        </w:rPr>
        <w:t>16</w:t>
      </w:r>
      <w:r>
        <w:rPr>
          <w:rFonts w:ascii="Times New Roman" w:eastAsia="仿宋_GB2312" w:hAnsi="宋体" w:hint="eastAsia"/>
          <w:spacing w:val="-2"/>
          <w:sz w:val="32"/>
          <w:szCs w:val="24"/>
        </w:rPr>
        <w:t>元，</w:t>
      </w:r>
      <w:r w:rsidRPr="00CC37A2">
        <w:rPr>
          <w:rFonts w:ascii="Times New Roman" w:eastAsia="仿宋_GB2312" w:hAnsi="宋体" w:hint="eastAsia"/>
          <w:spacing w:val="-2"/>
          <w:sz w:val="32"/>
          <w:szCs w:val="24"/>
        </w:rPr>
        <w:t>市场风险溢价</w:t>
      </w:r>
      <w:r>
        <w:rPr>
          <w:rFonts w:ascii="Times New Roman" w:eastAsia="仿宋_GB2312" w:hAnsi="宋体" w:hint="eastAsia"/>
          <w:spacing w:val="-2"/>
          <w:sz w:val="32"/>
          <w:szCs w:val="24"/>
        </w:rPr>
        <w:t>取值为</w:t>
      </w:r>
      <w:r>
        <w:rPr>
          <w:rFonts w:ascii="Times New Roman" w:eastAsia="仿宋_GB2312" w:hAnsi="宋体" w:hint="eastAsia"/>
          <w:spacing w:val="-2"/>
          <w:sz w:val="32"/>
          <w:szCs w:val="24"/>
        </w:rPr>
        <w:t>7%</w:t>
      </w:r>
      <w:r>
        <w:rPr>
          <w:rFonts w:ascii="Times New Roman" w:eastAsia="仿宋_GB2312" w:hAnsi="宋体" w:hint="eastAsia"/>
          <w:spacing w:val="-2"/>
          <w:sz w:val="32"/>
          <w:szCs w:val="24"/>
        </w:rPr>
        <w:t>，</w:t>
      </w:r>
      <w:r w:rsidRPr="00470D69">
        <w:rPr>
          <w:rFonts w:ascii="Times New Roman" w:eastAsia="仿宋_GB2312" w:hAnsi="宋体" w:hint="eastAsia"/>
          <w:spacing w:val="-2"/>
          <w:sz w:val="32"/>
          <w:szCs w:val="24"/>
        </w:rPr>
        <w:t>评估结论为</w:t>
      </w:r>
      <w:r w:rsidRPr="00CC37A2">
        <w:rPr>
          <w:rFonts w:ascii="Times New Roman" w:eastAsia="仿宋_GB2312" w:hAnsi="宋体"/>
          <w:spacing w:val="-2"/>
          <w:sz w:val="32"/>
          <w:szCs w:val="24"/>
        </w:rPr>
        <w:t>7370.86</w:t>
      </w:r>
      <w:r w:rsidRPr="00470D69">
        <w:rPr>
          <w:rFonts w:ascii="Times New Roman" w:eastAsia="仿宋_GB2312" w:hAnsi="宋体" w:hint="eastAsia"/>
          <w:spacing w:val="-2"/>
          <w:sz w:val="32"/>
          <w:szCs w:val="24"/>
        </w:rPr>
        <w:t>万元</w:t>
      </w:r>
      <w:r>
        <w:rPr>
          <w:rFonts w:ascii="Times New Roman" w:eastAsia="仿宋_GB2312" w:hAnsi="宋体" w:hint="eastAsia"/>
          <w:spacing w:val="-2"/>
          <w:sz w:val="32"/>
          <w:szCs w:val="24"/>
        </w:rPr>
        <w:t>。</w:t>
      </w:r>
      <w:r w:rsidRPr="00470D69">
        <w:rPr>
          <w:rFonts w:ascii="Times New Roman" w:eastAsia="仿宋_GB2312" w:hAnsi="宋体" w:hint="eastAsia"/>
          <w:spacing w:val="-2"/>
          <w:sz w:val="32"/>
          <w:szCs w:val="24"/>
        </w:rPr>
        <w:t>当</w:t>
      </w:r>
      <w:r>
        <w:rPr>
          <w:rFonts w:ascii="Times New Roman" w:eastAsia="仿宋_GB2312" w:hAnsi="宋体" w:hint="eastAsia"/>
          <w:spacing w:val="-2"/>
          <w:sz w:val="32"/>
          <w:szCs w:val="24"/>
        </w:rPr>
        <w:t>业务单价和业务量取值增加</w:t>
      </w:r>
      <w:r>
        <w:rPr>
          <w:rFonts w:ascii="Times New Roman" w:eastAsia="仿宋_GB2312" w:hAnsi="宋体" w:hint="eastAsia"/>
          <w:spacing w:val="-2"/>
          <w:sz w:val="32"/>
          <w:szCs w:val="24"/>
        </w:rPr>
        <w:t>5%</w:t>
      </w:r>
      <w:proofErr w:type="gramStart"/>
      <w:r>
        <w:rPr>
          <w:rFonts w:ascii="Times New Roman" w:eastAsia="仿宋_GB2312" w:hAnsi="宋体" w:hint="eastAsia"/>
          <w:spacing w:val="-2"/>
          <w:sz w:val="32"/>
          <w:szCs w:val="24"/>
        </w:rPr>
        <w:t>且单位</w:t>
      </w:r>
      <w:proofErr w:type="gramEnd"/>
      <w:r>
        <w:rPr>
          <w:rFonts w:ascii="Times New Roman" w:eastAsia="仿宋_GB2312" w:hAnsi="宋体" w:hint="eastAsia"/>
          <w:spacing w:val="-2"/>
          <w:sz w:val="32"/>
          <w:szCs w:val="24"/>
        </w:rPr>
        <w:t>变动成本和市场风险溢价取值减少</w:t>
      </w:r>
      <w:r>
        <w:rPr>
          <w:rFonts w:ascii="Times New Roman" w:eastAsia="仿宋_GB2312" w:hAnsi="宋体" w:hint="eastAsia"/>
          <w:spacing w:val="-2"/>
          <w:sz w:val="32"/>
          <w:szCs w:val="24"/>
        </w:rPr>
        <w:t>5%</w:t>
      </w:r>
      <w:r>
        <w:rPr>
          <w:rFonts w:ascii="Times New Roman" w:eastAsia="仿宋_GB2312" w:hAnsi="宋体" w:hint="eastAsia"/>
          <w:spacing w:val="-2"/>
          <w:sz w:val="32"/>
          <w:szCs w:val="24"/>
        </w:rPr>
        <w:t>时，评估值计算结果为</w:t>
      </w:r>
      <w:r w:rsidRPr="00CC37A2">
        <w:rPr>
          <w:rFonts w:ascii="Times New Roman" w:eastAsia="仿宋_GB2312" w:hAnsi="宋体"/>
          <w:spacing w:val="-2"/>
          <w:sz w:val="32"/>
          <w:szCs w:val="24"/>
        </w:rPr>
        <w:t>10721.49</w:t>
      </w:r>
      <w:r w:rsidRPr="00CC37A2">
        <w:rPr>
          <w:rFonts w:ascii="Times New Roman" w:eastAsia="仿宋_GB2312" w:hAnsi="宋体" w:hint="eastAsia"/>
          <w:spacing w:val="-2"/>
          <w:sz w:val="32"/>
          <w:szCs w:val="24"/>
        </w:rPr>
        <w:t>万元</w:t>
      </w:r>
      <w:r>
        <w:rPr>
          <w:rFonts w:ascii="Times New Roman" w:eastAsia="仿宋_GB2312" w:hAnsi="宋体" w:hint="eastAsia"/>
          <w:spacing w:val="-2"/>
          <w:sz w:val="32"/>
          <w:szCs w:val="24"/>
        </w:rPr>
        <w:t>；当业务单价和业务量取值减少</w:t>
      </w:r>
      <w:r>
        <w:rPr>
          <w:rFonts w:ascii="Times New Roman" w:eastAsia="仿宋_GB2312" w:hAnsi="宋体" w:hint="eastAsia"/>
          <w:spacing w:val="-2"/>
          <w:sz w:val="32"/>
          <w:szCs w:val="24"/>
        </w:rPr>
        <w:t>5%</w:t>
      </w:r>
      <w:proofErr w:type="gramStart"/>
      <w:r>
        <w:rPr>
          <w:rFonts w:ascii="Times New Roman" w:eastAsia="仿宋_GB2312" w:hAnsi="宋体" w:hint="eastAsia"/>
          <w:spacing w:val="-2"/>
          <w:sz w:val="32"/>
          <w:szCs w:val="24"/>
        </w:rPr>
        <w:t>且单位</w:t>
      </w:r>
      <w:proofErr w:type="gramEnd"/>
      <w:r>
        <w:rPr>
          <w:rFonts w:ascii="Times New Roman" w:eastAsia="仿宋_GB2312" w:hAnsi="宋体" w:hint="eastAsia"/>
          <w:spacing w:val="-2"/>
          <w:sz w:val="32"/>
          <w:szCs w:val="24"/>
        </w:rPr>
        <w:t>变动成本和市场风险溢价取值增加</w:t>
      </w:r>
      <w:r>
        <w:rPr>
          <w:rFonts w:ascii="Times New Roman" w:eastAsia="仿宋_GB2312" w:hAnsi="宋体" w:hint="eastAsia"/>
          <w:spacing w:val="-2"/>
          <w:sz w:val="32"/>
          <w:szCs w:val="24"/>
        </w:rPr>
        <w:t>5%</w:t>
      </w:r>
      <w:r>
        <w:rPr>
          <w:rFonts w:ascii="Times New Roman" w:eastAsia="仿宋_GB2312" w:hAnsi="宋体" w:hint="eastAsia"/>
          <w:spacing w:val="-2"/>
          <w:sz w:val="32"/>
          <w:szCs w:val="24"/>
        </w:rPr>
        <w:t>时，评估值计算结果为</w:t>
      </w:r>
      <w:r w:rsidRPr="00CC37A2">
        <w:rPr>
          <w:rFonts w:ascii="Times New Roman" w:eastAsia="仿宋_GB2312" w:hAnsi="宋体"/>
          <w:spacing w:val="-2"/>
          <w:sz w:val="32"/>
          <w:szCs w:val="24"/>
        </w:rPr>
        <w:t>4432.52</w:t>
      </w:r>
      <w:r w:rsidRPr="00CC37A2">
        <w:rPr>
          <w:rFonts w:ascii="Times New Roman" w:eastAsia="仿宋_GB2312" w:hAnsi="宋体" w:hint="eastAsia"/>
          <w:spacing w:val="-2"/>
          <w:sz w:val="32"/>
          <w:szCs w:val="24"/>
        </w:rPr>
        <w:t>万元</w:t>
      </w:r>
      <w:r>
        <w:rPr>
          <w:rFonts w:ascii="Times New Roman" w:eastAsia="仿宋_GB2312" w:hAnsi="宋体" w:hint="eastAsia"/>
          <w:spacing w:val="-2"/>
          <w:sz w:val="32"/>
          <w:szCs w:val="24"/>
        </w:rPr>
        <w:t>。</w:t>
      </w:r>
    </w:p>
    <w:p w:rsidR="008B06DA" w:rsidRPr="003F53CD" w:rsidRDefault="008B06DA" w:rsidP="003F53CD">
      <w:pPr>
        <w:autoSpaceDE w:val="0"/>
        <w:autoSpaceDN w:val="0"/>
        <w:adjustRightInd w:val="0"/>
        <w:snapToGrid w:val="0"/>
        <w:spacing w:line="588" w:lineRule="atLeast"/>
        <w:ind w:firstLineChars="200" w:firstLine="632"/>
        <w:rPr>
          <w:rFonts w:ascii="Times New Roman" w:eastAsia="仿宋_GB2312" w:hAnsi="宋体"/>
          <w:spacing w:val="-2"/>
          <w:sz w:val="32"/>
          <w:szCs w:val="24"/>
        </w:rPr>
      </w:pPr>
      <w:r>
        <w:rPr>
          <w:rFonts w:ascii="Times New Roman" w:eastAsia="仿宋_GB2312" w:hAnsi="宋体" w:hint="eastAsia"/>
          <w:spacing w:val="-2"/>
          <w:sz w:val="32"/>
          <w:szCs w:val="24"/>
        </w:rPr>
        <w:t>上述敏感性分析计算仅为揭示评估参数估计的不确定性对评估值的影响，以及说明</w:t>
      </w:r>
      <w:r w:rsidRPr="00470D69">
        <w:rPr>
          <w:rFonts w:ascii="Times New Roman" w:eastAsia="仿宋_GB2312" w:hAnsi="宋体" w:hint="eastAsia"/>
          <w:spacing w:val="-2"/>
          <w:sz w:val="32"/>
          <w:szCs w:val="24"/>
        </w:rPr>
        <w:t>评估结论存在的不确定性</w:t>
      </w:r>
      <w:r>
        <w:rPr>
          <w:rFonts w:ascii="Times New Roman" w:eastAsia="仿宋_GB2312" w:hAnsi="宋体" w:hint="eastAsia"/>
          <w:spacing w:val="-2"/>
          <w:sz w:val="32"/>
          <w:szCs w:val="24"/>
        </w:rPr>
        <w:t>，</w:t>
      </w:r>
      <w:proofErr w:type="gramStart"/>
      <w:r>
        <w:rPr>
          <w:rFonts w:ascii="Times New Roman" w:eastAsia="仿宋_GB2312" w:hAnsi="宋体" w:hint="eastAsia"/>
          <w:spacing w:val="-2"/>
          <w:sz w:val="32"/>
          <w:szCs w:val="24"/>
        </w:rPr>
        <w:t>供委托</w:t>
      </w:r>
      <w:proofErr w:type="gramEnd"/>
      <w:r>
        <w:rPr>
          <w:rFonts w:ascii="Times New Roman" w:eastAsia="仿宋_GB2312" w:hAnsi="宋体" w:hint="eastAsia"/>
          <w:spacing w:val="-2"/>
          <w:sz w:val="32"/>
          <w:szCs w:val="24"/>
        </w:rPr>
        <w:t>方和评估报告使用者参考，但并不影响评估师基于已掌握的信息资料对相关评估参数</w:t>
      </w:r>
      <w:proofErr w:type="gramStart"/>
      <w:r>
        <w:rPr>
          <w:rFonts w:ascii="Times New Roman" w:eastAsia="仿宋_GB2312" w:hAnsi="宋体" w:hint="eastAsia"/>
          <w:spacing w:val="-2"/>
          <w:sz w:val="32"/>
          <w:szCs w:val="24"/>
        </w:rPr>
        <w:t>作出</w:t>
      </w:r>
      <w:proofErr w:type="gramEnd"/>
      <w:r>
        <w:rPr>
          <w:rFonts w:ascii="Times New Roman" w:eastAsia="仿宋_GB2312" w:hAnsi="宋体" w:hint="eastAsia"/>
          <w:spacing w:val="-2"/>
          <w:sz w:val="32"/>
          <w:szCs w:val="24"/>
        </w:rPr>
        <w:t>的估计判断，也不影响评估结论的成立</w:t>
      </w:r>
      <w:proofErr w:type="gramStart"/>
      <w:r>
        <w:rPr>
          <w:rFonts w:ascii="Times New Roman" w:eastAsia="仿宋_GB2312" w:hAnsi="宋体" w:hint="eastAsia"/>
          <w:spacing w:val="-2"/>
          <w:sz w:val="32"/>
          <w:szCs w:val="24"/>
        </w:rPr>
        <w:t>”</w:t>
      </w:r>
      <w:proofErr w:type="gramEnd"/>
      <w:r>
        <w:rPr>
          <w:rFonts w:ascii="Times New Roman" w:eastAsia="仿宋_GB2312" w:hAnsi="宋体" w:hint="eastAsia"/>
          <w:spacing w:val="-2"/>
          <w:sz w:val="32"/>
          <w:szCs w:val="24"/>
        </w:rPr>
        <w:t>。</w:t>
      </w:r>
      <w:bookmarkStart w:id="0" w:name="_GoBack"/>
      <w:bookmarkEnd w:id="0"/>
    </w:p>
    <w:sectPr w:rsidR="008B06DA" w:rsidRPr="003F53CD" w:rsidSect="007625E6">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4E6" w:rsidRDefault="006724E6" w:rsidP="00083CBE">
      <w:r>
        <w:separator/>
      </w:r>
    </w:p>
  </w:endnote>
  <w:endnote w:type="continuationSeparator" w:id="0">
    <w:p w:rsidR="006724E6" w:rsidRDefault="006724E6" w:rsidP="0008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17767"/>
      <w:docPartObj>
        <w:docPartGallery w:val="Page Numbers (Bottom of Page)"/>
        <w:docPartUnique/>
      </w:docPartObj>
    </w:sdtPr>
    <w:sdtEndPr/>
    <w:sdtContent>
      <w:p w:rsidR="00C31FB3" w:rsidRDefault="00C31FB3">
        <w:pPr>
          <w:pStyle w:val="a4"/>
          <w:jc w:val="center"/>
        </w:pPr>
        <w:r w:rsidRPr="00C31FB3">
          <w:rPr>
            <w:sz w:val="28"/>
            <w:szCs w:val="28"/>
          </w:rPr>
          <w:fldChar w:fldCharType="begin"/>
        </w:r>
        <w:r w:rsidRPr="00C31FB3">
          <w:rPr>
            <w:sz w:val="28"/>
            <w:szCs w:val="28"/>
          </w:rPr>
          <w:instrText>PAGE   \* MERGEFORMAT</w:instrText>
        </w:r>
        <w:r w:rsidRPr="00C31FB3">
          <w:rPr>
            <w:sz w:val="28"/>
            <w:szCs w:val="28"/>
          </w:rPr>
          <w:fldChar w:fldCharType="separate"/>
        </w:r>
        <w:r w:rsidR="003F53CD" w:rsidRPr="003F53CD">
          <w:rPr>
            <w:noProof/>
            <w:sz w:val="28"/>
            <w:szCs w:val="28"/>
            <w:lang w:val="zh-CN"/>
          </w:rPr>
          <w:t>13</w:t>
        </w:r>
        <w:r w:rsidRPr="00C31FB3">
          <w:rPr>
            <w:sz w:val="28"/>
            <w:szCs w:val="28"/>
          </w:rPr>
          <w:fldChar w:fldCharType="end"/>
        </w:r>
      </w:p>
    </w:sdtContent>
  </w:sdt>
  <w:p w:rsidR="00C31FB3" w:rsidRDefault="00C31F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4E6" w:rsidRDefault="006724E6" w:rsidP="00083CBE">
      <w:r>
        <w:separator/>
      </w:r>
    </w:p>
  </w:footnote>
  <w:footnote w:type="continuationSeparator" w:id="0">
    <w:p w:rsidR="006724E6" w:rsidRDefault="006724E6" w:rsidP="00083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第%1条"/>
      <w:lvlJc w:val="left"/>
      <w:pPr>
        <w:ind w:left="2629" w:hanging="1920"/>
      </w:pPr>
      <w:rPr>
        <w:rFonts w:hint="default"/>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abstractNum w:abstractNumId="1">
    <w:nsid w:val="3F2C4247"/>
    <w:multiLevelType w:val="hybridMultilevel"/>
    <w:tmpl w:val="AC48ED5E"/>
    <w:lvl w:ilvl="0" w:tplc="338C0E44">
      <w:start w:val="1"/>
      <w:numFmt w:val="japaneseCounting"/>
      <w:lvlText w:val="第%1章"/>
      <w:lvlJc w:val="left"/>
      <w:pPr>
        <w:ind w:left="2105" w:hanging="1395"/>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
    <w:nsid w:val="456D260F"/>
    <w:multiLevelType w:val="hybridMultilevel"/>
    <w:tmpl w:val="D1CE8388"/>
    <w:lvl w:ilvl="0" w:tplc="8E1A1A28">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FE"/>
    <w:rsid w:val="00002C87"/>
    <w:rsid w:val="00006EE3"/>
    <w:rsid w:val="000135F0"/>
    <w:rsid w:val="00027D4F"/>
    <w:rsid w:val="000316AE"/>
    <w:rsid w:val="00036629"/>
    <w:rsid w:val="00044A78"/>
    <w:rsid w:val="000543C2"/>
    <w:rsid w:val="00065C2E"/>
    <w:rsid w:val="0007127C"/>
    <w:rsid w:val="00083CBE"/>
    <w:rsid w:val="00094EC1"/>
    <w:rsid w:val="000A3914"/>
    <w:rsid w:val="000A7317"/>
    <w:rsid w:val="000C5FFE"/>
    <w:rsid w:val="000D64C0"/>
    <w:rsid w:val="0010488A"/>
    <w:rsid w:val="001151C0"/>
    <w:rsid w:val="00136CE6"/>
    <w:rsid w:val="00143091"/>
    <w:rsid w:val="00165DC8"/>
    <w:rsid w:val="001B75E7"/>
    <w:rsid w:val="001D0507"/>
    <w:rsid w:val="001F5AD3"/>
    <w:rsid w:val="00201232"/>
    <w:rsid w:val="00211FD8"/>
    <w:rsid w:val="00221A23"/>
    <w:rsid w:val="00245B8C"/>
    <w:rsid w:val="00246BA4"/>
    <w:rsid w:val="002533F6"/>
    <w:rsid w:val="002543DD"/>
    <w:rsid w:val="002808B3"/>
    <w:rsid w:val="00281077"/>
    <w:rsid w:val="002973FC"/>
    <w:rsid w:val="002B79DA"/>
    <w:rsid w:val="002D2DCF"/>
    <w:rsid w:val="002E195C"/>
    <w:rsid w:val="002F36A0"/>
    <w:rsid w:val="0030579D"/>
    <w:rsid w:val="003114FF"/>
    <w:rsid w:val="00326F92"/>
    <w:rsid w:val="00332715"/>
    <w:rsid w:val="00337D7F"/>
    <w:rsid w:val="00350465"/>
    <w:rsid w:val="00350794"/>
    <w:rsid w:val="003666F2"/>
    <w:rsid w:val="00371E03"/>
    <w:rsid w:val="00382F06"/>
    <w:rsid w:val="003948BD"/>
    <w:rsid w:val="003A7F66"/>
    <w:rsid w:val="003B0AAA"/>
    <w:rsid w:val="003B6678"/>
    <w:rsid w:val="003C3B25"/>
    <w:rsid w:val="003C53BA"/>
    <w:rsid w:val="003D06F0"/>
    <w:rsid w:val="003D2A5A"/>
    <w:rsid w:val="003D44D0"/>
    <w:rsid w:val="003E4B00"/>
    <w:rsid w:val="003F53CD"/>
    <w:rsid w:val="003F586D"/>
    <w:rsid w:val="0040109C"/>
    <w:rsid w:val="004256F8"/>
    <w:rsid w:val="0042679D"/>
    <w:rsid w:val="00435E96"/>
    <w:rsid w:val="0043729F"/>
    <w:rsid w:val="004404BD"/>
    <w:rsid w:val="004479EA"/>
    <w:rsid w:val="00456B77"/>
    <w:rsid w:val="00463157"/>
    <w:rsid w:val="004706C2"/>
    <w:rsid w:val="00472470"/>
    <w:rsid w:val="004777EA"/>
    <w:rsid w:val="00480496"/>
    <w:rsid w:val="004827E3"/>
    <w:rsid w:val="0049656C"/>
    <w:rsid w:val="004A6705"/>
    <w:rsid w:val="004C0DBF"/>
    <w:rsid w:val="004C0FBF"/>
    <w:rsid w:val="004C6E2D"/>
    <w:rsid w:val="004C75FE"/>
    <w:rsid w:val="004E18A4"/>
    <w:rsid w:val="004F3FF3"/>
    <w:rsid w:val="0050058A"/>
    <w:rsid w:val="00524AA9"/>
    <w:rsid w:val="005315C3"/>
    <w:rsid w:val="00533EDF"/>
    <w:rsid w:val="005362E2"/>
    <w:rsid w:val="00541942"/>
    <w:rsid w:val="00550493"/>
    <w:rsid w:val="00554F52"/>
    <w:rsid w:val="00555448"/>
    <w:rsid w:val="005659E9"/>
    <w:rsid w:val="00581714"/>
    <w:rsid w:val="00583BC2"/>
    <w:rsid w:val="00586C1D"/>
    <w:rsid w:val="005B161B"/>
    <w:rsid w:val="005E4AE6"/>
    <w:rsid w:val="005F53EA"/>
    <w:rsid w:val="006009C6"/>
    <w:rsid w:val="00611B71"/>
    <w:rsid w:val="00613AE7"/>
    <w:rsid w:val="006465CF"/>
    <w:rsid w:val="0066662D"/>
    <w:rsid w:val="006724E6"/>
    <w:rsid w:val="00674BB2"/>
    <w:rsid w:val="00695826"/>
    <w:rsid w:val="006D51D8"/>
    <w:rsid w:val="006F28BA"/>
    <w:rsid w:val="007018AD"/>
    <w:rsid w:val="00712BD7"/>
    <w:rsid w:val="007220EB"/>
    <w:rsid w:val="00730BDD"/>
    <w:rsid w:val="00736FCE"/>
    <w:rsid w:val="007408FD"/>
    <w:rsid w:val="00742BE3"/>
    <w:rsid w:val="007625E6"/>
    <w:rsid w:val="00762C37"/>
    <w:rsid w:val="007640B6"/>
    <w:rsid w:val="0077045B"/>
    <w:rsid w:val="0078217C"/>
    <w:rsid w:val="007B1C2D"/>
    <w:rsid w:val="007B205F"/>
    <w:rsid w:val="007C5479"/>
    <w:rsid w:val="007D7FEA"/>
    <w:rsid w:val="007F5612"/>
    <w:rsid w:val="00803FE9"/>
    <w:rsid w:val="00833938"/>
    <w:rsid w:val="008568AF"/>
    <w:rsid w:val="00865F90"/>
    <w:rsid w:val="00873D3F"/>
    <w:rsid w:val="00892030"/>
    <w:rsid w:val="0089624D"/>
    <w:rsid w:val="008A15B8"/>
    <w:rsid w:val="008B06DA"/>
    <w:rsid w:val="008B7C79"/>
    <w:rsid w:val="00906457"/>
    <w:rsid w:val="00940A1F"/>
    <w:rsid w:val="00963EF3"/>
    <w:rsid w:val="00965BC2"/>
    <w:rsid w:val="00967959"/>
    <w:rsid w:val="009B6248"/>
    <w:rsid w:val="00A02BFD"/>
    <w:rsid w:val="00A56D2F"/>
    <w:rsid w:val="00A64D75"/>
    <w:rsid w:val="00A74603"/>
    <w:rsid w:val="00A951C7"/>
    <w:rsid w:val="00AC31A0"/>
    <w:rsid w:val="00AC50E6"/>
    <w:rsid w:val="00AD123E"/>
    <w:rsid w:val="00AE1620"/>
    <w:rsid w:val="00B06DCF"/>
    <w:rsid w:val="00B076C5"/>
    <w:rsid w:val="00B10291"/>
    <w:rsid w:val="00B156BE"/>
    <w:rsid w:val="00B257F4"/>
    <w:rsid w:val="00B32A29"/>
    <w:rsid w:val="00B539C7"/>
    <w:rsid w:val="00B75E3D"/>
    <w:rsid w:val="00B81E3B"/>
    <w:rsid w:val="00B8761E"/>
    <w:rsid w:val="00BA02B2"/>
    <w:rsid w:val="00BA0CE7"/>
    <w:rsid w:val="00BB72FA"/>
    <w:rsid w:val="00BC208E"/>
    <w:rsid w:val="00BC4F88"/>
    <w:rsid w:val="00BD6956"/>
    <w:rsid w:val="00BE177C"/>
    <w:rsid w:val="00C218F6"/>
    <w:rsid w:val="00C31FB3"/>
    <w:rsid w:val="00C41183"/>
    <w:rsid w:val="00C46EA6"/>
    <w:rsid w:val="00C5097D"/>
    <w:rsid w:val="00C5132C"/>
    <w:rsid w:val="00C758D2"/>
    <w:rsid w:val="00C831D9"/>
    <w:rsid w:val="00C870C3"/>
    <w:rsid w:val="00C87DCF"/>
    <w:rsid w:val="00C94F82"/>
    <w:rsid w:val="00CA7E88"/>
    <w:rsid w:val="00CB0D56"/>
    <w:rsid w:val="00CB7B9F"/>
    <w:rsid w:val="00CF3F24"/>
    <w:rsid w:val="00D042A0"/>
    <w:rsid w:val="00D26716"/>
    <w:rsid w:val="00D31EEC"/>
    <w:rsid w:val="00D47B79"/>
    <w:rsid w:val="00D6095D"/>
    <w:rsid w:val="00D83BE4"/>
    <w:rsid w:val="00D91604"/>
    <w:rsid w:val="00DD2676"/>
    <w:rsid w:val="00DF4ACA"/>
    <w:rsid w:val="00DF4FA7"/>
    <w:rsid w:val="00E0140C"/>
    <w:rsid w:val="00E24B94"/>
    <w:rsid w:val="00E27B44"/>
    <w:rsid w:val="00E4147A"/>
    <w:rsid w:val="00E41A8E"/>
    <w:rsid w:val="00E44315"/>
    <w:rsid w:val="00E6232A"/>
    <w:rsid w:val="00E65654"/>
    <w:rsid w:val="00EB421A"/>
    <w:rsid w:val="00EC0BF8"/>
    <w:rsid w:val="00EE6FDE"/>
    <w:rsid w:val="00F104AA"/>
    <w:rsid w:val="00F1768E"/>
    <w:rsid w:val="00F2066A"/>
    <w:rsid w:val="00F32A8F"/>
    <w:rsid w:val="00F33F00"/>
    <w:rsid w:val="00F3683F"/>
    <w:rsid w:val="00F43FE0"/>
    <w:rsid w:val="00F56FB5"/>
    <w:rsid w:val="00F70808"/>
    <w:rsid w:val="00F912B2"/>
    <w:rsid w:val="00F91A8B"/>
    <w:rsid w:val="00FA19D4"/>
    <w:rsid w:val="00FC2D84"/>
    <w:rsid w:val="00FD20D7"/>
    <w:rsid w:val="00FD7336"/>
    <w:rsid w:val="00FE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CBE"/>
    <w:rPr>
      <w:sz w:val="18"/>
      <w:szCs w:val="18"/>
    </w:rPr>
  </w:style>
  <w:style w:type="paragraph" w:styleId="a4">
    <w:name w:val="footer"/>
    <w:basedOn w:val="a"/>
    <w:link w:val="Char0"/>
    <w:uiPriority w:val="99"/>
    <w:unhideWhenUsed/>
    <w:rsid w:val="00083CBE"/>
    <w:pPr>
      <w:tabs>
        <w:tab w:val="center" w:pos="4153"/>
        <w:tab w:val="right" w:pos="8306"/>
      </w:tabs>
      <w:snapToGrid w:val="0"/>
      <w:jc w:val="left"/>
    </w:pPr>
    <w:rPr>
      <w:sz w:val="18"/>
      <w:szCs w:val="18"/>
    </w:rPr>
  </w:style>
  <w:style w:type="character" w:customStyle="1" w:styleId="Char0">
    <w:name w:val="页脚 Char"/>
    <w:basedOn w:val="a0"/>
    <w:link w:val="a4"/>
    <w:uiPriority w:val="99"/>
    <w:rsid w:val="00083CBE"/>
    <w:rPr>
      <w:sz w:val="18"/>
      <w:szCs w:val="18"/>
    </w:rPr>
  </w:style>
  <w:style w:type="paragraph" w:styleId="a5">
    <w:name w:val="Balloon Text"/>
    <w:basedOn w:val="a"/>
    <w:link w:val="Char1"/>
    <w:uiPriority w:val="99"/>
    <w:semiHidden/>
    <w:unhideWhenUsed/>
    <w:rsid w:val="003C53BA"/>
    <w:rPr>
      <w:sz w:val="18"/>
      <w:szCs w:val="18"/>
    </w:rPr>
  </w:style>
  <w:style w:type="character" w:customStyle="1" w:styleId="Char1">
    <w:name w:val="批注框文本 Char"/>
    <w:basedOn w:val="a0"/>
    <w:link w:val="a5"/>
    <w:uiPriority w:val="99"/>
    <w:semiHidden/>
    <w:rsid w:val="003C53BA"/>
    <w:rPr>
      <w:sz w:val="18"/>
      <w:szCs w:val="18"/>
    </w:rPr>
  </w:style>
  <w:style w:type="character" w:styleId="a6">
    <w:name w:val="Hyperlink"/>
    <w:basedOn w:val="a0"/>
    <w:uiPriority w:val="99"/>
    <w:unhideWhenUsed/>
    <w:rsid w:val="00D042A0"/>
    <w:rPr>
      <w:color w:val="0000FF" w:themeColor="hyperlink"/>
      <w:u w:val="single"/>
    </w:rPr>
  </w:style>
  <w:style w:type="paragraph" w:styleId="a7">
    <w:name w:val="List Paragraph"/>
    <w:basedOn w:val="a"/>
    <w:uiPriority w:val="34"/>
    <w:qFormat/>
    <w:rsid w:val="003D06F0"/>
    <w:pPr>
      <w:ind w:firstLineChars="200" w:firstLine="420"/>
    </w:pPr>
  </w:style>
  <w:style w:type="paragraph" w:styleId="a8">
    <w:name w:val="Date"/>
    <w:basedOn w:val="a"/>
    <w:next w:val="a"/>
    <w:link w:val="Char2"/>
    <w:uiPriority w:val="99"/>
    <w:semiHidden/>
    <w:unhideWhenUsed/>
    <w:rsid w:val="00940A1F"/>
    <w:pPr>
      <w:ind w:leftChars="2500" w:left="100"/>
    </w:pPr>
  </w:style>
  <w:style w:type="character" w:customStyle="1" w:styleId="Char2">
    <w:name w:val="日期 Char"/>
    <w:basedOn w:val="a0"/>
    <w:link w:val="a8"/>
    <w:uiPriority w:val="99"/>
    <w:semiHidden/>
    <w:rsid w:val="00940A1F"/>
  </w:style>
  <w:style w:type="character" w:styleId="a9">
    <w:name w:val="annotation reference"/>
    <w:basedOn w:val="a0"/>
    <w:uiPriority w:val="99"/>
    <w:semiHidden/>
    <w:unhideWhenUsed/>
    <w:rsid w:val="0040109C"/>
    <w:rPr>
      <w:sz w:val="21"/>
      <w:szCs w:val="21"/>
    </w:rPr>
  </w:style>
  <w:style w:type="paragraph" w:styleId="aa">
    <w:name w:val="annotation text"/>
    <w:basedOn w:val="a"/>
    <w:link w:val="Char3"/>
    <w:uiPriority w:val="99"/>
    <w:semiHidden/>
    <w:unhideWhenUsed/>
    <w:rsid w:val="0040109C"/>
    <w:pPr>
      <w:jc w:val="left"/>
    </w:pPr>
  </w:style>
  <w:style w:type="character" w:customStyle="1" w:styleId="Char3">
    <w:name w:val="批注文字 Char"/>
    <w:basedOn w:val="a0"/>
    <w:link w:val="aa"/>
    <w:uiPriority w:val="99"/>
    <w:semiHidden/>
    <w:rsid w:val="0040109C"/>
  </w:style>
  <w:style w:type="paragraph" w:styleId="ab">
    <w:name w:val="annotation subject"/>
    <w:basedOn w:val="aa"/>
    <w:next w:val="aa"/>
    <w:link w:val="Char4"/>
    <w:uiPriority w:val="99"/>
    <w:semiHidden/>
    <w:unhideWhenUsed/>
    <w:rsid w:val="0040109C"/>
    <w:rPr>
      <w:b/>
      <w:bCs/>
    </w:rPr>
  </w:style>
  <w:style w:type="character" w:customStyle="1" w:styleId="Char4">
    <w:name w:val="批注主题 Char"/>
    <w:basedOn w:val="Char3"/>
    <w:link w:val="ab"/>
    <w:uiPriority w:val="99"/>
    <w:semiHidden/>
    <w:rsid w:val="0040109C"/>
    <w:rPr>
      <w:b/>
      <w:bCs/>
    </w:rPr>
  </w:style>
  <w:style w:type="paragraph" w:styleId="ac">
    <w:name w:val="Revision"/>
    <w:hidden/>
    <w:uiPriority w:val="99"/>
    <w:semiHidden/>
    <w:rsid w:val="00401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CBE"/>
    <w:rPr>
      <w:sz w:val="18"/>
      <w:szCs w:val="18"/>
    </w:rPr>
  </w:style>
  <w:style w:type="paragraph" w:styleId="a4">
    <w:name w:val="footer"/>
    <w:basedOn w:val="a"/>
    <w:link w:val="Char0"/>
    <w:uiPriority w:val="99"/>
    <w:unhideWhenUsed/>
    <w:rsid w:val="00083CBE"/>
    <w:pPr>
      <w:tabs>
        <w:tab w:val="center" w:pos="4153"/>
        <w:tab w:val="right" w:pos="8306"/>
      </w:tabs>
      <w:snapToGrid w:val="0"/>
      <w:jc w:val="left"/>
    </w:pPr>
    <w:rPr>
      <w:sz w:val="18"/>
      <w:szCs w:val="18"/>
    </w:rPr>
  </w:style>
  <w:style w:type="character" w:customStyle="1" w:styleId="Char0">
    <w:name w:val="页脚 Char"/>
    <w:basedOn w:val="a0"/>
    <w:link w:val="a4"/>
    <w:uiPriority w:val="99"/>
    <w:rsid w:val="00083CBE"/>
    <w:rPr>
      <w:sz w:val="18"/>
      <w:szCs w:val="18"/>
    </w:rPr>
  </w:style>
  <w:style w:type="paragraph" w:styleId="a5">
    <w:name w:val="Balloon Text"/>
    <w:basedOn w:val="a"/>
    <w:link w:val="Char1"/>
    <w:uiPriority w:val="99"/>
    <w:semiHidden/>
    <w:unhideWhenUsed/>
    <w:rsid w:val="003C53BA"/>
    <w:rPr>
      <w:sz w:val="18"/>
      <w:szCs w:val="18"/>
    </w:rPr>
  </w:style>
  <w:style w:type="character" w:customStyle="1" w:styleId="Char1">
    <w:name w:val="批注框文本 Char"/>
    <w:basedOn w:val="a0"/>
    <w:link w:val="a5"/>
    <w:uiPriority w:val="99"/>
    <w:semiHidden/>
    <w:rsid w:val="003C53BA"/>
    <w:rPr>
      <w:sz w:val="18"/>
      <w:szCs w:val="18"/>
    </w:rPr>
  </w:style>
  <w:style w:type="character" w:styleId="a6">
    <w:name w:val="Hyperlink"/>
    <w:basedOn w:val="a0"/>
    <w:uiPriority w:val="99"/>
    <w:unhideWhenUsed/>
    <w:rsid w:val="00D042A0"/>
    <w:rPr>
      <w:color w:val="0000FF" w:themeColor="hyperlink"/>
      <w:u w:val="single"/>
    </w:rPr>
  </w:style>
  <w:style w:type="paragraph" w:styleId="a7">
    <w:name w:val="List Paragraph"/>
    <w:basedOn w:val="a"/>
    <w:uiPriority w:val="34"/>
    <w:qFormat/>
    <w:rsid w:val="003D06F0"/>
    <w:pPr>
      <w:ind w:firstLineChars="200" w:firstLine="420"/>
    </w:pPr>
  </w:style>
  <w:style w:type="paragraph" w:styleId="a8">
    <w:name w:val="Date"/>
    <w:basedOn w:val="a"/>
    <w:next w:val="a"/>
    <w:link w:val="Char2"/>
    <w:uiPriority w:val="99"/>
    <w:semiHidden/>
    <w:unhideWhenUsed/>
    <w:rsid w:val="00940A1F"/>
    <w:pPr>
      <w:ind w:leftChars="2500" w:left="100"/>
    </w:pPr>
  </w:style>
  <w:style w:type="character" w:customStyle="1" w:styleId="Char2">
    <w:name w:val="日期 Char"/>
    <w:basedOn w:val="a0"/>
    <w:link w:val="a8"/>
    <w:uiPriority w:val="99"/>
    <w:semiHidden/>
    <w:rsid w:val="00940A1F"/>
  </w:style>
  <w:style w:type="character" w:styleId="a9">
    <w:name w:val="annotation reference"/>
    <w:basedOn w:val="a0"/>
    <w:uiPriority w:val="99"/>
    <w:semiHidden/>
    <w:unhideWhenUsed/>
    <w:rsid w:val="0040109C"/>
    <w:rPr>
      <w:sz w:val="21"/>
      <w:szCs w:val="21"/>
    </w:rPr>
  </w:style>
  <w:style w:type="paragraph" w:styleId="aa">
    <w:name w:val="annotation text"/>
    <w:basedOn w:val="a"/>
    <w:link w:val="Char3"/>
    <w:uiPriority w:val="99"/>
    <w:semiHidden/>
    <w:unhideWhenUsed/>
    <w:rsid w:val="0040109C"/>
    <w:pPr>
      <w:jc w:val="left"/>
    </w:pPr>
  </w:style>
  <w:style w:type="character" w:customStyle="1" w:styleId="Char3">
    <w:name w:val="批注文字 Char"/>
    <w:basedOn w:val="a0"/>
    <w:link w:val="aa"/>
    <w:uiPriority w:val="99"/>
    <w:semiHidden/>
    <w:rsid w:val="0040109C"/>
  </w:style>
  <w:style w:type="paragraph" w:styleId="ab">
    <w:name w:val="annotation subject"/>
    <w:basedOn w:val="aa"/>
    <w:next w:val="aa"/>
    <w:link w:val="Char4"/>
    <w:uiPriority w:val="99"/>
    <w:semiHidden/>
    <w:unhideWhenUsed/>
    <w:rsid w:val="0040109C"/>
    <w:rPr>
      <w:b/>
      <w:bCs/>
    </w:rPr>
  </w:style>
  <w:style w:type="character" w:customStyle="1" w:styleId="Char4">
    <w:name w:val="批注主题 Char"/>
    <w:basedOn w:val="Char3"/>
    <w:link w:val="ab"/>
    <w:uiPriority w:val="99"/>
    <w:semiHidden/>
    <w:rsid w:val="0040109C"/>
    <w:rPr>
      <w:b/>
      <w:bCs/>
    </w:rPr>
  </w:style>
  <w:style w:type="paragraph" w:styleId="ac">
    <w:name w:val="Revision"/>
    <w:hidden/>
    <w:uiPriority w:val="99"/>
    <w:semiHidden/>
    <w:rsid w:val="0040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8370">
      <w:bodyDiv w:val="1"/>
      <w:marLeft w:val="0"/>
      <w:marRight w:val="0"/>
      <w:marTop w:val="0"/>
      <w:marBottom w:val="0"/>
      <w:divBdr>
        <w:top w:val="none" w:sz="0" w:space="0" w:color="auto"/>
        <w:left w:val="none" w:sz="0" w:space="0" w:color="auto"/>
        <w:bottom w:val="none" w:sz="0" w:space="0" w:color="auto"/>
        <w:right w:val="none" w:sz="0" w:space="0" w:color="auto"/>
      </w:divBdr>
      <w:divsChild>
        <w:div w:id="620768005">
          <w:marLeft w:val="0"/>
          <w:marRight w:val="0"/>
          <w:marTop w:val="0"/>
          <w:marBottom w:val="0"/>
          <w:divBdr>
            <w:top w:val="none" w:sz="0" w:space="0" w:color="auto"/>
            <w:left w:val="none" w:sz="0" w:space="0" w:color="auto"/>
            <w:bottom w:val="none" w:sz="0" w:space="0" w:color="auto"/>
            <w:right w:val="none" w:sz="0" w:space="0" w:color="auto"/>
          </w:divBdr>
          <w:divsChild>
            <w:div w:id="1179076243">
              <w:marLeft w:val="0"/>
              <w:marRight w:val="0"/>
              <w:marTop w:val="0"/>
              <w:marBottom w:val="0"/>
              <w:divBdr>
                <w:top w:val="none" w:sz="0" w:space="0" w:color="auto"/>
                <w:left w:val="none" w:sz="0" w:space="0" w:color="auto"/>
                <w:bottom w:val="none" w:sz="0" w:space="0" w:color="auto"/>
                <w:right w:val="none" w:sz="0" w:space="0" w:color="auto"/>
              </w:divBdr>
              <w:divsChild>
                <w:div w:id="1178688900">
                  <w:marLeft w:val="0"/>
                  <w:marRight w:val="0"/>
                  <w:marTop w:val="0"/>
                  <w:marBottom w:val="0"/>
                  <w:divBdr>
                    <w:top w:val="none" w:sz="0" w:space="0" w:color="auto"/>
                    <w:left w:val="none" w:sz="0" w:space="0" w:color="auto"/>
                    <w:bottom w:val="none" w:sz="0" w:space="0" w:color="auto"/>
                    <w:right w:val="none" w:sz="0" w:space="0" w:color="auto"/>
                  </w:divBdr>
                  <w:divsChild>
                    <w:div w:id="203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2932">
          <w:marLeft w:val="0"/>
          <w:marRight w:val="0"/>
          <w:marTop w:val="150"/>
          <w:marBottom w:val="0"/>
          <w:divBdr>
            <w:top w:val="none" w:sz="0" w:space="0" w:color="auto"/>
            <w:left w:val="none" w:sz="0" w:space="0" w:color="auto"/>
            <w:bottom w:val="none" w:sz="0" w:space="0" w:color="auto"/>
            <w:right w:val="none" w:sz="0" w:space="0" w:color="auto"/>
          </w:divBdr>
          <w:divsChild>
            <w:div w:id="16322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1072</Words>
  <Characters>6111</Characters>
  <Application>Microsoft Office Word</Application>
  <DocSecurity>0</DocSecurity>
  <Lines>50</Lines>
  <Paragraphs>14</Paragraphs>
  <ScaleCrop>false</ScaleCrop>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杨晓梅</dc:creator>
  <cp:keywords/>
  <dc:description/>
  <cp:lastModifiedBy>j1795</cp:lastModifiedBy>
  <cp:revision>2</cp:revision>
  <cp:lastPrinted>2013-09-29T08:02:00Z</cp:lastPrinted>
  <dcterms:created xsi:type="dcterms:W3CDTF">2013-10-08T06:52:00Z</dcterms:created>
  <dcterms:modified xsi:type="dcterms:W3CDTF">2013-10-08T06:52:00Z</dcterms:modified>
</cp:coreProperties>
</file>