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E25" w:rsidRDefault="006F1E25" w:rsidP="006F1E25">
      <w:pPr>
        <w:pStyle w:val="a5"/>
        <w:spacing w:line="500" w:lineRule="exact"/>
        <w:ind w:firstLineChars="0" w:firstLine="0"/>
        <w:rPr>
          <w:rFonts w:hAnsi="GungsuhChe"/>
          <w:color w:val="000000"/>
          <w:szCs w:val="30"/>
        </w:rPr>
      </w:pPr>
    </w:p>
    <w:p w:rsidR="006F1E25" w:rsidRDefault="006F1E25" w:rsidP="006F1E25">
      <w:pPr>
        <w:spacing w:line="300" w:lineRule="exact"/>
        <w:rPr>
          <w:rFonts w:ascii="仿宋_GB2312" w:eastAsia="仿宋_GB2312"/>
          <w:bCs/>
          <w:color w:val="000000"/>
          <w:sz w:val="28"/>
          <w:szCs w:val="28"/>
        </w:rPr>
      </w:pPr>
    </w:p>
    <w:p w:rsidR="006F1E25" w:rsidRPr="00370E83" w:rsidRDefault="006F1E25" w:rsidP="006F1E25">
      <w:pPr>
        <w:spacing w:line="540" w:lineRule="exact"/>
        <w:rPr>
          <w:rFonts w:ascii="仿宋_GB2312" w:eastAsia="仿宋_GB2312"/>
          <w:b/>
          <w:sz w:val="30"/>
          <w:szCs w:val="30"/>
        </w:rPr>
      </w:pPr>
      <w:r w:rsidRPr="00370E83">
        <w:rPr>
          <w:rFonts w:ascii="仿宋_GB2312" w:eastAsia="仿宋_GB2312" w:hint="eastAsia"/>
          <w:b/>
          <w:sz w:val="30"/>
          <w:szCs w:val="30"/>
        </w:rPr>
        <w:t>附件</w:t>
      </w:r>
    </w:p>
    <w:p w:rsidR="006F1E25" w:rsidRDefault="006F1E25" w:rsidP="006F1E25">
      <w:pPr>
        <w:spacing w:line="540" w:lineRule="exact"/>
        <w:rPr>
          <w:rFonts w:ascii="仿宋_GB2312" w:eastAsia="仿宋_GB2312"/>
          <w:sz w:val="30"/>
          <w:szCs w:val="30"/>
        </w:rPr>
      </w:pPr>
    </w:p>
    <w:p w:rsidR="006F1E25" w:rsidRPr="00370E83" w:rsidRDefault="006F1E25" w:rsidP="006F1E25">
      <w:pPr>
        <w:spacing w:line="540" w:lineRule="exact"/>
        <w:jc w:val="center"/>
        <w:rPr>
          <w:rFonts w:ascii="方正大标宋简体" w:eastAsia="方正大标宋简体" w:hAnsi="黑体"/>
          <w:sz w:val="42"/>
          <w:szCs w:val="42"/>
        </w:rPr>
      </w:pPr>
      <w:r w:rsidRPr="00370E83">
        <w:rPr>
          <w:rFonts w:ascii="方正大标宋简体" w:eastAsia="方正大标宋简体" w:hAnsi="黑体" w:hint="eastAsia"/>
          <w:sz w:val="42"/>
          <w:szCs w:val="42"/>
        </w:rPr>
        <w:t>并购重组审核分道制实施业务指引</w:t>
      </w:r>
    </w:p>
    <w:p w:rsidR="006F1E25" w:rsidRDefault="006F1E25" w:rsidP="006F1E25">
      <w:pPr>
        <w:spacing w:line="540" w:lineRule="exact"/>
        <w:rPr>
          <w:rFonts w:ascii="仿宋_GB2312" w:eastAsia="仿宋_GB2312"/>
          <w:sz w:val="36"/>
          <w:szCs w:val="36"/>
        </w:rPr>
      </w:pPr>
    </w:p>
    <w:p w:rsidR="006F1E2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第一条  </w:t>
      </w:r>
      <w:r w:rsidRPr="005C066D">
        <w:rPr>
          <w:rFonts w:ascii="仿宋_GB2312" w:eastAsia="仿宋_GB2312" w:hint="eastAsia"/>
          <w:sz w:val="30"/>
          <w:szCs w:val="30"/>
        </w:rPr>
        <w:t>为</w:t>
      </w:r>
      <w:r>
        <w:rPr>
          <w:rFonts w:ascii="仿宋_GB2312" w:eastAsia="仿宋_GB2312" w:hint="eastAsia"/>
          <w:sz w:val="30"/>
          <w:szCs w:val="30"/>
        </w:rPr>
        <w:t>了配合做好</w:t>
      </w:r>
      <w:r w:rsidRPr="005C066D">
        <w:rPr>
          <w:rFonts w:ascii="仿宋_GB2312" w:eastAsia="仿宋_GB2312" w:hint="eastAsia"/>
          <w:sz w:val="30"/>
          <w:szCs w:val="30"/>
        </w:rPr>
        <w:t>并购重组审核分道制相关工作，</w:t>
      </w:r>
      <w:r>
        <w:rPr>
          <w:rFonts w:ascii="仿宋_GB2312" w:eastAsia="仿宋_GB2312" w:hint="eastAsia"/>
          <w:sz w:val="30"/>
          <w:szCs w:val="30"/>
        </w:rPr>
        <w:t>明确并购重组审核分道制相关业务流程和标准，</w:t>
      </w:r>
      <w:r w:rsidRPr="005C066D">
        <w:rPr>
          <w:rFonts w:ascii="仿宋_GB2312" w:eastAsia="仿宋_GB2312" w:hint="eastAsia"/>
          <w:sz w:val="30"/>
          <w:szCs w:val="30"/>
        </w:rPr>
        <w:t>根据中国证监会</w:t>
      </w:r>
      <w:r w:rsidRPr="00EA785D">
        <w:rPr>
          <w:rFonts w:ascii="仿宋_GB2312" w:eastAsia="仿宋_GB2312" w:hint="eastAsia"/>
          <w:sz w:val="30"/>
          <w:szCs w:val="30"/>
        </w:rPr>
        <w:t>《并购重组审核分道制实施方案》</w:t>
      </w:r>
      <w:r>
        <w:rPr>
          <w:rFonts w:ascii="仿宋_GB2312" w:eastAsia="仿宋_GB2312" w:hint="eastAsia"/>
          <w:sz w:val="30"/>
          <w:szCs w:val="30"/>
        </w:rPr>
        <w:t>、《</w:t>
      </w:r>
      <w:r w:rsidRPr="00CE408D">
        <w:rPr>
          <w:rFonts w:ascii="仿宋_GB2312" w:eastAsia="仿宋_GB2312" w:hint="eastAsia"/>
          <w:sz w:val="30"/>
          <w:szCs w:val="30"/>
        </w:rPr>
        <w:t>关于配合做好并购重组审核分道制相关工作的通知</w:t>
      </w:r>
      <w:r>
        <w:rPr>
          <w:rFonts w:ascii="仿宋_GB2312" w:eastAsia="仿宋_GB2312" w:hint="eastAsia"/>
          <w:sz w:val="30"/>
          <w:szCs w:val="30"/>
        </w:rPr>
        <w:t>》（</w:t>
      </w:r>
      <w:r w:rsidRPr="00CE408D">
        <w:rPr>
          <w:rFonts w:ascii="仿宋_GB2312" w:eastAsia="仿宋_GB2312" w:hint="eastAsia"/>
          <w:sz w:val="30"/>
          <w:szCs w:val="30"/>
        </w:rPr>
        <w:t>上证发〔2013〕3号）</w:t>
      </w:r>
      <w:r w:rsidRPr="005C066D">
        <w:rPr>
          <w:rFonts w:ascii="仿宋_GB2312" w:eastAsia="仿宋_GB2312" w:hint="eastAsia"/>
          <w:sz w:val="30"/>
          <w:szCs w:val="30"/>
        </w:rPr>
        <w:t>，</w:t>
      </w:r>
      <w:r>
        <w:rPr>
          <w:rFonts w:ascii="仿宋_GB2312" w:eastAsia="仿宋_GB2312" w:hint="eastAsia"/>
          <w:sz w:val="30"/>
          <w:szCs w:val="30"/>
        </w:rPr>
        <w:t>制定本指引。</w:t>
      </w:r>
    </w:p>
    <w:p w:rsidR="006F1E25" w:rsidRPr="005C066D" w:rsidRDefault="006F1E25" w:rsidP="006F1E25">
      <w:pPr>
        <w:spacing w:line="540" w:lineRule="exact"/>
        <w:ind w:firstLineChars="200" w:firstLine="600"/>
        <w:rPr>
          <w:rFonts w:ascii="仿宋_GB2312" w:eastAsia="仿宋_GB2312"/>
          <w:sz w:val="30"/>
          <w:szCs w:val="30"/>
        </w:rPr>
      </w:pPr>
      <w:r w:rsidRPr="00CE408D">
        <w:rPr>
          <w:rFonts w:ascii="仿宋_GB2312" w:eastAsia="仿宋_GB2312" w:hint="eastAsia"/>
          <w:sz w:val="30"/>
          <w:szCs w:val="30"/>
        </w:rPr>
        <w:t>第</w:t>
      </w:r>
      <w:r>
        <w:rPr>
          <w:rFonts w:ascii="仿宋_GB2312" w:eastAsia="仿宋_GB2312" w:hint="eastAsia"/>
          <w:sz w:val="30"/>
          <w:szCs w:val="30"/>
        </w:rPr>
        <w:t>二</w:t>
      </w:r>
      <w:r w:rsidRPr="00CE408D">
        <w:rPr>
          <w:rFonts w:ascii="仿宋_GB2312" w:eastAsia="仿宋_GB2312" w:hint="eastAsia"/>
          <w:sz w:val="30"/>
          <w:szCs w:val="30"/>
        </w:rPr>
        <w:t>条</w:t>
      </w:r>
      <w:r>
        <w:rPr>
          <w:rFonts w:ascii="仿宋_GB2312" w:eastAsia="仿宋_GB2312" w:hint="eastAsia"/>
          <w:sz w:val="30"/>
          <w:szCs w:val="30"/>
        </w:rPr>
        <w:t xml:space="preserve">  </w:t>
      </w:r>
      <w:r w:rsidRPr="005C066D">
        <w:rPr>
          <w:rFonts w:ascii="仿宋_GB2312" w:eastAsia="仿宋_GB2312" w:hint="eastAsia"/>
          <w:sz w:val="30"/>
          <w:szCs w:val="30"/>
        </w:rPr>
        <w:t>上市公司在向</w:t>
      </w:r>
      <w:r>
        <w:rPr>
          <w:rFonts w:ascii="仿宋_GB2312" w:eastAsia="仿宋_GB2312" w:hint="eastAsia"/>
          <w:sz w:val="30"/>
          <w:szCs w:val="30"/>
        </w:rPr>
        <w:t>上海证券交易所（以下简称“本</w:t>
      </w:r>
      <w:r w:rsidRPr="005C066D">
        <w:rPr>
          <w:rFonts w:ascii="仿宋_GB2312" w:eastAsia="仿宋_GB2312" w:hint="eastAsia"/>
          <w:sz w:val="30"/>
          <w:szCs w:val="30"/>
        </w:rPr>
        <w:t>所</w:t>
      </w:r>
      <w:r>
        <w:rPr>
          <w:rFonts w:ascii="仿宋_GB2312" w:eastAsia="仿宋_GB2312" w:hint="eastAsia"/>
          <w:sz w:val="30"/>
          <w:szCs w:val="30"/>
        </w:rPr>
        <w:t>”）</w:t>
      </w:r>
      <w:r w:rsidRPr="005C066D">
        <w:rPr>
          <w:rFonts w:ascii="仿宋_GB2312" w:eastAsia="仿宋_GB2312" w:hint="eastAsia"/>
          <w:sz w:val="30"/>
          <w:szCs w:val="30"/>
        </w:rPr>
        <w:t>提交重大资产重组报告书信息披露申请时，应当同时</w:t>
      </w:r>
      <w:r>
        <w:rPr>
          <w:rFonts w:ascii="仿宋_GB2312" w:eastAsia="仿宋_GB2312" w:hint="eastAsia"/>
          <w:sz w:val="30"/>
          <w:szCs w:val="30"/>
        </w:rPr>
        <w:t>通过本所网站“上市公司专区”-“上市公司在线调查栏目”填报并</w:t>
      </w:r>
      <w:r w:rsidRPr="005C066D">
        <w:rPr>
          <w:rFonts w:ascii="仿宋_GB2312" w:eastAsia="仿宋_GB2312" w:hint="eastAsia"/>
          <w:sz w:val="30"/>
          <w:szCs w:val="30"/>
        </w:rPr>
        <w:t>提交</w:t>
      </w:r>
      <w:r>
        <w:rPr>
          <w:rFonts w:ascii="仿宋_GB2312" w:eastAsia="仿宋_GB2312" w:hint="eastAsia"/>
          <w:sz w:val="30"/>
          <w:szCs w:val="30"/>
        </w:rPr>
        <w:t>《重组</w:t>
      </w:r>
      <w:r w:rsidRPr="005C066D">
        <w:rPr>
          <w:rFonts w:ascii="仿宋_GB2312" w:eastAsia="仿宋_GB2312" w:hint="eastAsia"/>
          <w:sz w:val="30"/>
          <w:szCs w:val="30"/>
        </w:rPr>
        <w:t>公司</w:t>
      </w:r>
      <w:r>
        <w:rPr>
          <w:rFonts w:ascii="仿宋_GB2312" w:eastAsia="仿宋_GB2312" w:hint="eastAsia"/>
          <w:sz w:val="30"/>
          <w:szCs w:val="30"/>
        </w:rPr>
        <w:t>分道制信息汇总表》（以下简称“《分道制汇总表》”，见附件）；上市公司和财务顾问应当保证填报内容真实、准确、完整。</w:t>
      </w:r>
    </w:p>
    <w:p w:rsidR="006F1E2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第三条  </w:t>
      </w:r>
      <w:r w:rsidRPr="005C066D">
        <w:rPr>
          <w:rFonts w:ascii="仿宋_GB2312" w:eastAsia="仿宋_GB2312" w:hint="eastAsia"/>
          <w:sz w:val="30"/>
          <w:szCs w:val="30"/>
        </w:rPr>
        <w:t>上市公司披露重大资产重组报告书后，</w:t>
      </w:r>
      <w:r>
        <w:rPr>
          <w:rFonts w:ascii="仿宋_GB2312" w:eastAsia="仿宋_GB2312" w:hint="eastAsia"/>
          <w:sz w:val="30"/>
          <w:szCs w:val="30"/>
        </w:rPr>
        <w:t>本所</w:t>
      </w:r>
      <w:r w:rsidRPr="005C066D">
        <w:rPr>
          <w:rFonts w:ascii="仿宋_GB2312" w:eastAsia="仿宋_GB2312" w:hint="eastAsia"/>
          <w:sz w:val="30"/>
          <w:szCs w:val="30"/>
        </w:rPr>
        <w:t>启动对上市公司</w:t>
      </w:r>
      <w:r>
        <w:rPr>
          <w:rFonts w:ascii="仿宋_GB2312" w:eastAsia="仿宋_GB2312" w:hint="eastAsia"/>
          <w:sz w:val="30"/>
          <w:szCs w:val="30"/>
        </w:rPr>
        <w:t>信息披露和规范运作状况的</w:t>
      </w:r>
      <w:r w:rsidRPr="005C066D">
        <w:rPr>
          <w:rFonts w:ascii="仿宋_GB2312" w:eastAsia="仿宋_GB2312" w:hint="eastAsia"/>
          <w:sz w:val="30"/>
          <w:szCs w:val="30"/>
        </w:rPr>
        <w:t>评价</w:t>
      </w:r>
      <w:r>
        <w:rPr>
          <w:rFonts w:ascii="仿宋_GB2312" w:eastAsia="仿宋_GB2312" w:hint="eastAsia"/>
          <w:sz w:val="30"/>
          <w:szCs w:val="30"/>
        </w:rPr>
        <w:t>。该项</w:t>
      </w:r>
      <w:r w:rsidRPr="005C066D">
        <w:rPr>
          <w:rFonts w:ascii="仿宋_GB2312" w:eastAsia="仿宋_GB2312" w:hint="eastAsia"/>
          <w:sz w:val="30"/>
          <w:szCs w:val="30"/>
        </w:rPr>
        <w:t>评价结果分为A、B、C、D</w:t>
      </w:r>
      <w:r>
        <w:rPr>
          <w:rFonts w:ascii="仿宋_GB2312" w:eastAsia="仿宋_GB2312" w:hint="eastAsia"/>
          <w:sz w:val="30"/>
          <w:szCs w:val="30"/>
        </w:rPr>
        <w:t xml:space="preserve"> 4</w:t>
      </w:r>
      <w:r w:rsidRPr="005C066D">
        <w:rPr>
          <w:rFonts w:ascii="仿宋_GB2312" w:eastAsia="仿宋_GB2312" w:hint="eastAsia"/>
          <w:sz w:val="30"/>
          <w:szCs w:val="30"/>
        </w:rPr>
        <w:t>类，结果为A的列入豁免/快速审核类，结果为B、C的列入正常审核类，结果为D的列入审慎审核类。</w:t>
      </w:r>
    </w:p>
    <w:p w:rsidR="006F1E2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第四条  本所按照《</w:t>
      </w:r>
      <w:r w:rsidRPr="0009271F">
        <w:rPr>
          <w:rFonts w:ascii="仿宋_GB2312" w:eastAsia="仿宋_GB2312" w:hint="eastAsia"/>
          <w:sz w:val="30"/>
          <w:szCs w:val="30"/>
        </w:rPr>
        <w:t>上海证券交易所上市公司信息披露工作评价办法（试行）</w:t>
      </w:r>
      <w:r>
        <w:rPr>
          <w:rFonts w:ascii="仿宋_GB2312" w:eastAsia="仿宋_GB2312" w:hint="eastAsia"/>
          <w:sz w:val="30"/>
          <w:szCs w:val="30"/>
        </w:rPr>
        <w:t>》（以下简称“《信息披露评价办法》”）完成上市公司信息披露工作评价前，依据2012年度董秘考核结果、并参考上市公司日常信息披露和规范运作状况等其他因素确定上市公司评价结果。</w:t>
      </w:r>
    </w:p>
    <w:p w:rsidR="006F1E25" w:rsidRPr="005B75DB"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自本所依据《信息披露评价办法》作出的信息披露工作评价结果对外公布之日起，本所将采用该评价结果作为并购重组审核</w:t>
      </w:r>
      <w:r>
        <w:rPr>
          <w:rFonts w:ascii="仿宋_GB2312" w:eastAsia="仿宋_GB2312" w:hint="eastAsia"/>
          <w:sz w:val="30"/>
          <w:szCs w:val="30"/>
        </w:rPr>
        <w:lastRenderedPageBreak/>
        <w:t>分道制中的上市公司评价结果。</w:t>
      </w:r>
    </w:p>
    <w:p w:rsidR="006F1E25" w:rsidRPr="00B778B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第五条  </w:t>
      </w:r>
      <w:r w:rsidRPr="00B778B5">
        <w:rPr>
          <w:rFonts w:ascii="仿宋_GB2312" w:eastAsia="仿宋_GB2312" w:hint="eastAsia"/>
          <w:sz w:val="30"/>
          <w:szCs w:val="30"/>
        </w:rPr>
        <w:t>上市公司同时符合以下情形的，</w:t>
      </w:r>
      <w:r>
        <w:rPr>
          <w:rFonts w:ascii="仿宋_GB2312" w:eastAsia="仿宋_GB2312" w:hint="eastAsia"/>
          <w:sz w:val="30"/>
          <w:szCs w:val="30"/>
        </w:rPr>
        <w:t>评价</w:t>
      </w:r>
      <w:r w:rsidRPr="00B778B5">
        <w:rPr>
          <w:rFonts w:ascii="仿宋_GB2312" w:eastAsia="仿宋_GB2312" w:hint="eastAsia"/>
          <w:sz w:val="30"/>
          <w:szCs w:val="30"/>
        </w:rPr>
        <w:t>结果为</w:t>
      </w:r>
      <w:r>
        <w:rPr>
          <w:rFonts w:ascii="仿宋_GB2312" w:eastAsia="仿宋_GB2312" w:hint="eastAsia"/>
          <w:sz w:val="30"/>
          <w:szCs w:val="30"/>
        </w:rPr>
        <w:t>A</w:t>
      </w:r>
      <w:r w:rsidRPr="00B778B5">
        <w:rPr>
          <w:rFonts w:ascii="仿宋_GB2312" w:eastAsia="仿宋_GB2312" w:hint="eastAsia"/>
          <w:sz w:val="30"/>
          <w:szCs w:val="30"/>
        </w:rPr>
        <w:t>：</w:t>
      </w:r>
    </w:p>
    <w:p w:rsidR="006F1E2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（一）2012年度上市公司董秘考核结果为优秀；</w:t>
      </w:r>
      <w:r w:rsidDel="0009271F">
        <w:rPr>
          <w:rFonts w:ascii="仿宋_GB2312" w:eastAsia="仿宋_GB2312" w:hint="eastAsia"/>
          <w:sz w:val="30"/>
          <w:szCs w:val="30"/>
        </w:rPr>
        <w:t xml:space="preserve"> </w:t>
      </w:r>
    </w:p>
    <w:p w:rsidR="006F1E2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（二）2012年度董秘考核结束</w:t>
      </w:r>
      <w:r w:rsidRPr="005C066D">
        <w:rPr>
          <w:rFonts w:ascii="仿宋_GB2312" w:eastAsia="仿宋_GB2312" w:hint="eastAsia"/>
          <w:sz w:val="30"/>
          <w:szCs w:val="30"/>
        </w:rPr>
        <w:t>至上市公司</w:t>
      </w:r>
      <w:r w:rsidRPr="00FF5D46">
        <w:rPr>
          <w:rFonts w:ascii="仿宋_GB2312" w:eastAsia="仿宋_GB2312" w:hint="eastAsia"/>
          <w:sz w:val="30"/>
          <w:szCs w:val="30"/>
        </w:rPr>
        <w:t>披露重大资产重组报告书</w:t>
      </w:r>
      <w:r w:rsidRPr="005C066D">
        <w:rPr>
          <w:rFonts w:ascii="仿宋_GB2312" w:eastAsia="仿宋_GB2312" w:hint="eastAsia"/>
          <w:sz w:val="30"/>
          <w:szCs w:val="30"/>
        </w:rPr>
        <w:t>期间</w:t>
      </w:r>
      <w:r>
        <w:rPr>
          <w:rFonts w:ascii="仿宋_GB2312" w:eastAsia="仿宋_GB2312" w:hint="eastAsia"/>
          <w:sz w:val="30"/>
          <w:szCs w:val="30"/>
        </w:rPr>
        <w:t>不</w:t>
      </w:r>
      <w:r w:rsidRPr="005C066D">
        <w:rPr>
          <w:rFonts w:ascii="仿宋_GB2312" w:eastAsia="仿宋_GB2312" w:hint="eastAsia"/>
          <w:sz w:val="30"/>
          <w:szCs w:val="30"/>
        </w:rPr>
        <w:t>存在以下情形：</w:t>
      </w:r>
    </w:p>
    <w:p w:rsidR="006F1E25" w:rsidRPr="00F50979" w:rsidRDefault="006F1E25" w:rsidP="006F1E25">
      <w:pPr>
        <w:autoSpaceDE w:val="0"/>
        <w:autoSpaceDN w:val="0"/>
        <w:adjustRightInd w:val="0"/>
        <w:spacing w:line="540" w:lineRule="exact"/>
        <w:rPr>
          <w:rFonts w:ascii="仿宋_GB2312" w:eastAsia="仿宋_GB2312"/>
          <w:sz w:val="30"/>
          <w:szCs w:val="30"/>
        </w:rPr>
      </w:pPr>
      <w:r>
        <w:rPr>
          <w:rFonts w:ascii="仿宋_GB2312" w:eastAsia="仿宋_GB2312" w:hint="eastAsia"/>
          <w:sz w:val="30"/>
          <w:szCs w:val="30"/>
        </w:rPr>
        <w:t xml:space="preserve">    1.</w:t>
      </w:r>
      <w:r w:rsidRPr="00AD4993">
        <w:rPr>
          <w:rFonts w:ascii="仿宋_GB2312" w:eastAsia="仿宋_GB2312" w:hint="eastAsia"/>
          <w:sz w:val="30"/>
          <w:szCs w:val="30"/>
        </w:rPr>
        <w:t>上市（包括IPO和借壳上市）</w:t>
      </w:r>
      <w:r>
        <w:rPr>
          <w:rFonts w:ascii="仿宋_GB2312" w:eastAsia="仿宋_GB2312" w:hint="eastAsia"/>
          <w:sz w:val="30"/>
          <w:szCs w:val="30"/>
        </w:rPr>
        <w:t>未</w:t>
      </w:r>
      <w:r w:rsidRPr="00F50979">
        <w:rPr>
          <w:rFonts w:ascii="仿宋_GB2312" w:eastAsia="仿宋_GB2312" w:hint="eastAsia"/>
          <w:sz w:val="30"/>
          <w:szCs w:val="30"/>
        </w:rPr>
        <w:t>满</w:t>
      </w:r>
      <w:r w:rsidRPr="00F50979">
        <w:rPr>
          <w:rFonts w:ascii="仿宋_GB2312" w:eastAsia="仿宋_GB2312"/>
          <w:sz w:val="30"/>
          <w:szCs w:val="30"/>
        </w:rPr>
        <w:t>12</w:t>
      </w:r>
      <w:r w:rsidRPr="00F50979">
        <w:rPr>
          <w:rFonts w:ascii="仿宋_GB2312" w:eastAsia="仿宋_GB2312" w:hint="eastAsia"/>
          <w:sz w:val="30"/>
          <w:szCs w:val="30"/>
        </w:rPr>
        <w:t>个月；</w:t>
      </w:r>
    </w:p>
    <w:p w:rsidR="006F1E25"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2.</w:t>
      </w:r>
      <w:r w:rsidRPr="00F50979">
        <w:rPr>
          <w:rFonts w:ascii="仿宋_GB2312" w:eastAsia="仿宋_GB2312" w:hint="eastAsia"/>
          <w:sz w:val="30"/>
          <w:szCs w:val="30"/>
        </w:rPr>
        <w:t>财务</w:t>
      </w:r>
      <w:r>
        <w:rPr>
          <w:rFonts w:ascii="仿宋_GB2312" w:eastAsia="仿宋_GB2312" w:hint="eastAsia"/>
          <w:sz w:val="30"/>
          <w:szCs w:val="30"/>
        </w:rPr>
        <w:t>会计</w:t>
      </w:r>
      <w:r w:rsidRPr="00F50979">
        <w:rPr>
          <w:rFonts w:ascii="仿宋_GB2312" w:eastAsia="仿宋_GB2312" w:hint="eastAsia"/>
          <w:sz w:val="30"/>
          <w:szCs w:val="30"/>
        </w:rPr>
        <w:t>报告被</w:t>
      </w:r>
      <w:r>
        <w:rPr>
          <w:rFonts w:ascii="仿宋_GB2312" w:eastAsia="仿宋_GB2312" w:hint="eastAsia"/>
          <w:sz w:val="30"/>
          <w:szCs w:val="30"/>
        </w:rPr>
        <w:t>会计师事务所</w:t>
      </w:r>
      <w:r w:rsidRPr="00F50979">
        <w:rPr>
          <w:rFonts w:ascii="仿宋_GB2312" w:eastAsia="仿宋_GB2312" w:hint="eastAsia"/>
          <w:sz w:val="30"/>
          <w:szCs w:val="30"/>
        </w:rPr>
        <w:t>出具非标准审计报告；</w:t>
      </w:r>
    </w:p>
    <w:p w:rsidR="006F1E25" w:rsidRPr="00F50979"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3.</w:t>
      </w:r>
      <w:r w:rsidRPr="00D52A07">
        <w:rPr>
          <w:rFonts w:ascii="仿宋_GB2312" w:eastAsia="仿宋_GB2312" w:hint="eastAsia"/>
          <w:sz w:val="30"/>
          <w:szCs w:val="30"/>
        </w:rPr>
        <w:t>年度业绩快报或</w:t>
      </w:r>
      <w:r>
        <w:rPr>
          <w:rFonts w:ascii="仿宋_GB2312" w:eastAsia="仿宋_GB2312" w:hint="eastAsia"/>
          <w:sz w:val="30"/>
          <w:szCs w:val="30"/>
        </w:rPr>
        <w:t>者</w:t>
      </w:r>
      <w:r w:rsidRPr="00D52A07">
        <w:rPr>
          <w:rFonts w:ascii="仿宋_GB2312" w:eastAsia="仿宋_GB2312" w:hint="eastAsia"/>
          <w:sz w:val="30"/>
          <w:szCs w:val="30"/>
        </w:rPr>
        <w:t>年度业绩预告（如业绩快报或</w:t>
      </w:r>
      <w:r>
        <w:rPr>
          <w:rFonts w:ascii="仿宋_GB2312" w:eastAsia="仿宋_GB2312" w:hint="eastAsia"/>
          <w:sz w:val="30"/>
          <w:szCs w:val="30"/>
        </w:rPr>
        <w:t>者</w:t>
      </w:r>
      <w:r w:rsidRPr="00D52A07">
        <w:rPr>
          <w:rFonts w:ascii="仿宋_GB2312" w:eastAsia="仿宋_GB2312" w:hint="eastAsia"/>
          <w:sz w:val="30"/>
          <w:szCs w:val="30"/>
        </w:rPr>
        <w:t>业绩预告</w:t>
      </w:r>
      <w:r>
        <w:rPr>
          <w:rFonts w:ascii="仿宋_GB2312" w:eastAsia="仿宋_GB2312" w:hint="eastAsia"/>
          <w:sz w:val="30"/>
          <w:szCs w:val="30"/>
        </w:rPr>
        <w:t>存在更正的</w:t>
      </w:r>
      <w:r w:rsidRPr="00D52A07">
        <w:rPr>
          <w:rFonts w:ascii="仿宋_GB2312" w:eastAsia="仿宋_GB2312" w:hint="eastAsia"/>
          <w:sz w:val="30"/>
          <w:szCs w:val="30"/>
        </w:rPr>
        <w:t>，以</w:t>
      </w:r>
      <w:r>
        <w:rPr>
          <w:rFonts w:ascii="仿宋_GB2312" w:eastAsia="仿宋_GB2312" w:hint="eastAsia"/>
          <w:sz w:val="30"/>
          <w:szCs w:val="30"/>
        </w:rPr>
        <w:t>更正后</w:t>
      </w:r>
      <w:r w:rsidRPr="00D52A07">
        <w:rPr>
          <w:rFonts w:ascii="仿宋_GB2312" w:eastAsia="仿宋_GB2312" w:hint="eastAsia"/>
          <w:sz w:val="30"/>
          <w:szCs w:val="30"/>
        </w:rPr>
        <w:t>的数据为准）与年度报告披露的财务数据差异达到</w:t>
      </w:r>
      <w:r w:rsidRPr="00D52A07">
        <w:rPr>
          <w:rFonts w:ascii="仿宋_GB2312" w:eastAsia="仿宋_GB2312"/>
          <w:sz w:val="30"/>
          <w:szCs w:val="30"/>
        </w:rPr>
        <w:t>20%</w:t>
      </w:r>
      <w:r w:rsidRPr="00D52A07">
        <w:rPr>
          <w:rFonts w:ascii="仿宋_GB2312" w:eastAsia="仿宋_GB2312" w:hint="eastAsia"/>
          <w:sz w:val="30"/>
          <w:szCs w:val="30"/>
        </w:rPr>
        <w:t>以上，且绝对金额达到</w:t>
      </w:r>
      <w:r>
        <w:rPr>
          <w:rFonts w:ascii="仿宋_GB2312" w:eastAsia="仿宋_GB2312" w:hint="eastAsia"/>
          <w:sz w:val="30"/>
          <w:szCs w:val="30"/>
        </w:rPr>
        <w:t>5</w:t>
      </w:r>
      <w:r>
        <w:rPr>
          <w:rFonts w:ascii="仿宋_GB2312" w:eastAsia="仿宋_GB2312"/>
          <w:sz w:val="30"/>
          <w:szCs w:val="30"/>
        </w:rPr>
        <w:t>00</w:t>
      </w:r>
      <w:r w:rsidRPr="00D52A07">
        <w:rPr>
          <w:rFonts w:ascii="仿宋_GB2312" w:eastAsia="仿宋_GB2312" w:hint="eastAsia"/>
          <w:sz w:val="30"/>
          <w:szCs w:val="30"/>
        </w:rPr>
        <w:t>万元人民币</w:t>
      </w:r>
      <w:r w:rsidRPr="000A1F91">
        <w:rPr>
          <w:rFonts w:ascii="仿宋_GB2312" w:eastAsia="仿宋_GB2312" w:hint="eastAsia"/>
          <w:sz w:val="30"/>
          <w:szCs w:val="30"/>
        </w:rPr>
        <w:t>以上；</w:t>
      </w:r>
    </w:p>
    <w:p w:rsidR="006F1E25" w:rsidRPr="00F50979"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4.</w:t>
      </w:r>
      <w:r w:rsidRPr="00F50979">
        <w:rPr>
          <w:rFonts w:ascii="仿宋_GB2312" w:eastAsia="仿宋_GB2312" w:hint="eastAsia"/>
          <w:sz w:val="30"/>
          <w:szCs w:val="30"/>
        </w:rPr>
        <w:t>定期报告未按预约日期及时披露，导致公司股票及其衍生品种停牌；</w:t>
      </w:r>
    </w:p>
    <w:p w:rsidR="006F1E25" w:rsidRPr="00F50979"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5.</w:t>
      </w:r>
      <w:r w:rsidRPr="00F50979">
        <w:rPr>
          <w:rFonts w:ascii="仿宋_GB2312" w:eastAsia="仿宋_GB2312" w:hint="eastAsia"/>
          <w:sz w:val="30"/>
          <w:szCs w:val="30"/>
        </w:rPr>
        <w:t>公司或控股股东、实际控制人</w:t>
      </w:r>
      <w:r>
        <w:rPr>
          <w:rFonts w:ascii="仿宋_GB2312" w:eastAsia="仿宋_GB2312" w:hint="eastAsia"/>
          <w:sz w:val="30"/>
          <w:szCs w:val="30"/>
        </w:rPr>
        <w:t>的</w:t>
      </w:r>
      <w:r w:rsidRPr="00F50979">
        <w:rPr>
          <w:rFonts w:ascii="仿宋_GB2312" w:eastAsia="仿宋_GB2312" w:hint="eastAsia"/>
          <w:sz w:val="30"/>
          <w:szCs w:val="30"/>
        </w:rPr>
        <w:t>相关人员违反公平信息披露原则，导致公共传媒出现关于公司的未披露重大信息，公司股票及其衍生品种停牌；</w:t>
      </w:r>
    </w:p>
    <w:p w:rsidR="006F1E25" w:rsidRPr="00F50979"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6.</w:t>
      </w:r>
      <w:r w:rsidRPr="00F50979">
        <w:rPr>
          <w:rFonts w:ascii="仿宋_GB2312" w:eastAsia="仿宋_GB2312" w:hint="eastAsia"/>
          <w:sz w:val="30"/>
          <w:szCs w:val="30"/>
        </w:rPr>
        <w:t>未按规定及时披露社会责任报告</w:t>
      </w:r>
      <w:r>
        <w:rPr>
          <w:rFonts w:ascii="仿宋_GB2312" w:eastAsia="仿宋_GB2312" w:hint="eastAsia"/>
          <w:sz w:val="30"/>
          <w:szCs w:val="30"/>
        </w:rPr>
        <w:t>、</w:t>
      </w:r>
      <w:r w:rsidRPr="00F50979">
        <w:rPr>
          <w:rFonts w:ascii="仿宋_GB2312" w:eastAsia="仿宋_GB2312" w:hint="eastAsia"/>
          <w:sz w:val="30"/>
          <w:szCs w:val="30"/>
        </w:rPr>
        <w:t>内部控制自我评价报告</w:t>
      </w:r>
      <w:r>
        <w:rPr>
          <w:rFonts w:ascii="仿宋_GB2312" w:eastAsia="仿宋_GB2312" w:hint="eastAsia"/>
          <w:sz w:val="30"/>
          <w:szCs w:val="30"/>
        </w:rPr>
        <w:t>，或者未按规定</w:t>
      </w:r>
      <w:r w:rsidRPr="00F50979">
        <w:rPr>
          <w:rFonts w:ascii="仿宋_GB2312" w:eastAsia="仿宋_GB2312" w:hint="eastAsia"/>
          <w:sz w:val="30"/>
          <w:szCs w:val="30"/>
        </w:rPr>
        <w:t>聘请会计师事务所</w:t>
      </w:r>
      <w:r>
        <w:rPr>
          <w:rFonts w:ascii="仿宋_GB2312" w:eastAsia="仿宋_GB2312" w:hint="eastAsia"/>
          <w:sz w:val="30"/>
          <w:szCs w:val="30"/>
        </w:rPr>
        <w:t>出具</w:t>
      </w:r>
      <w:r w:rsidRPr="00F50979">
        <w:rPr>
          <w:rFonts w:ascii="仿宋_GB2312" w:eastAsia="仿宋_GB2312" w:hint="eastAsia"/>
          <w:sz w:val="30"/>
          <w:szCs w:val="30"/>
        </w:rPr>
        <w:t>内部控制审计</w:t>
      </w:r>
      <w:r>
        <w:rPr>
          <w:rFonts w:ascii="仿宋_GB2312" w:eastAsia="仿宋_GB2312" w:hint="eastAsia"/>
          <w:sz w:val="30"/>
          <w:szCs w:val="30"/>
        </w:rPr>
        <w:t>报告，或</w:t>
      </w:r>
      <w:r w:rsidRPr="00F2380D">
        <w:rPr>
          <w:rFonts w:ascii="仿宋_GB2312" w:eastAsia="仿宋_GB2312" w:hint="eastAsia"/>
          <w:sz w:val="30"/>
          <w:szCs w:val="30"/>
        </w:rPr>
        <w:t>内部控制自我评价报告</w:t>
      </w:r>
      <w:r>
        <w:rPr>
          <w:rFonts w:ascii="仿宋_GB2312" w:eastAsia="仿宋_GB2312" w:hint="eastAsia"/>
          <w:sz w:val="30"/>
          <w:szCs w:val="30"/>
        </w:rPr>
        <w:t>或</w:t>
      </w:r>
      <w:r w:rsidRPr="00F2380D">
        <w:rPr>
          <w:rFonts w:ascii="仿宋_GB2312" w:eastAsia="仿宋_GB2312" w:hint="eastAsia"/>
          <w:sz w:val="30"/>
          <w:szCs w:val="30"/>
        </w:rPr>
        <w:t>内部控制审计报告显示</w:t>
      </w:r>
      <w:r>
        <w:rPr>
          <w:rFonts w:ascii="仿宋_GB2312" w:eastAsia="仿宋_GB2312" w:hint="eastAsia"/>
          <w:sz w:val="30"/>
          <w:szCs w:val="30"/>
        </w:rPr>
        <w:t>公司</w:t>
      </w:r>
      <w:r w:rsidRPr="00F2380D">
        <w:rPr>
          <w:rFonts w:ascii="仿宋_GB2312" w:eastAsia="仿宋_GB2312" w:hint="eastAsia"/>
          <w:sz w:val="30"/>
          <w:szCs w:val="30"/>
        </w:rPr>
        <w:t>内部控制存在</w:t>
      </w:r>
      <w:r>
        <w:rPr>
          <w:rFonts w:ascii="仿宋_GB2312" w:eastAsia="仿宋_GB2312" w:hint="eastAsia"/>
          <w:sz w:val="30"/>
          <w:szCs w:val="30"/>
        </w:rPr>
        <w:t>较大</w:t>
      </w:r>
      <w:r w:rsidRPr="00F2380D">
        <w:rPr>
          <w:rFonts w:ascii="仿宋_GB2312" w:eastAsia="仿宋_GB2312" w:hint="eastAsia"/>
          <w:sz w:val="30"/>
          <w:szCs w:val="30"/>
        </w:rPr>
        <w:t>缺陷；</w:t>
      </w:r>
    </w:p>
    <w:p w:rsidR="006F1E25"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7.</w:t>
      </w:r>
      <w:r w:rsidRPr="00F50979">
        <w:rPr>
          <w:rFonts w:ascii="仿宋_GB2312" w:eastAsia="仿宋_GB2312" w:hint="eastAsia"/>
          <w:sz w:val="30"/>
          <w:szCs w:val="30"/>
        </w:rPr>
        <w:t>公司董事、监事、高级管理人员未按规定向本所报备《声明及承诺书》</w:t>
      </w:r>
      <w:r>
        <w:rPr>
          <w:rFonts w:ascii="仿宋_GB2312" w:eastAsia="仿宋_GB2312" w:hint="eastAsia"/>
          <w:sz w:val="30"/>
          <w:szCs w:val="30"/>
        </w:rPr>
        <w:t>等文件</w:t>
      </w:r>
      <w:r w:rsidRPr="00F50979">
        <w:rPr>
          <w:rFonts w:ascii="仿宋_GB2312" w:eastAsia="仿宋_GB2312" w:hint="eastAsia"/>
          <w:sz w:val="30"/>
          <w:szCs w:val="30"/>
        </w:rPr>
        <w:t>，或</w:t>
      </w:r>
      <w:r>
        <w:rPr>
          <w:rFonts w:ascii="仿宋_GB2312" w:eastAsia="仿宋_GB2312" w:hint="eastAsia"/>
          <w:sz w:val="30"/>
          <w:szCs w:val="30"/>
        </w:rPr>
        <w:t>报备的</w:t>
      </w:r>
      <w:r w:rsidRPr="00F50979">
        <w:rPr>
          <w:rFonts w:ascii="仿宋_GB2312" w:eastAsia="仿宋_GB2312" w:hint="eastAsia"/>
          <w:sz w:val="30"/>
          <w:szCs w:val="30"/>
        </w:rPr>
        <w:t>文件存在虚假记载、误导性陈述或</w:t>
      </w:r>
      <w:r>
        <w:rPr>
          <w:rFonts w:ascii="仿宋_GB2312" w:eastAsia="仿宋_GB2312" w:hint="eastAsia"/>
          <w:sz w:val="30"/>
          <w:szCs w:val="30"/>
        </w:rPr>
        <w:t>者</w:t>
      </w:r>
      <w:r w:rsidRPr="00F50979">
        <w:rPr>
          <w:rFonts w:ascii="仿宋_GB2312" w:eastAsia="仿宋_GB2312" w:hint="eastAsia"/>
          <w:sz w:val="30"/>
          <w:szCs w:val="30"/>
        </w:rPr>
        <w:t>重大遗漏；</w:t>
      </w:r>
    </w:p>
    <w:p w:rsidR="006F1E25" w:rsidRPr="00F2380D"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8.</w:t>
      </w:r>
      <w:r w:rsidRPr="00F50979">
        <w:rPr>
          <w:rFonts w:ascii="仿宋_GB2312" w:eastAsia="仿宋_GB2312" w:hint="eastAsia"/>
          <w:sz w:val="30"/>
          <w:szCs w:val="30"/>
        </w:rPr>
        <w:t>公司董事、监事、高级管理人员、控股股东、实际控制人未积极配合公司信息披露</w:t>
      </w:r>
      <w:r w:rsidRPr="00F2380D">
        <w:rPr>
          <w:rFonts w:ascii="仿宋_GB2312" w:eastAsia="仿宋_GB2312" w:hint="eastAsia"/>
          <w:sz w:val="30"/>
          <w:szCs w:val="30"/>
        </w:rPr>
        <w:t>工作</w:t>
      </w:r>
      <w:r>
        <w:rPr>
          <w:rFonts w:ascii="仿宋_GB2312" w:eastAsia="仿宋_GB2312" w:hint="eastAsia"/>
          <w:sz w:val="30"/>
          <w:szCs w:val="30"/>
        </w:rPr>
        <w:t>或</w:t>
      </w:r>
      <w:r w:rsidRPr="00F2380D">
        <w:rPr>
          <w:rFonts w:ascii="仿宋_GB2312" w:eastAsia="仿宋_GB2312" w:hint="eastAsia"/>
          <w:sz w:val="30"/>
          <w:szCs w:val="30"/>
        </w:rPr>
        <w:t>未严格履行所作出的各项承诺</w:t>
      </w:r>
      <w:r w:rsidRPr="00F50979">
        <w:rPr>
          <w:rFonts w:ascii="仿宋_GB2312" w:eastAsia="仿宋_GB2312" w:hint="eastAsia"/>
          <w:sz w:val="30"/>
          <w:szCs w:val="30"/>
        </w:rPr>
        <w:t>；</w:t>
      </w:r>
    </w:p>
    <w:p w:rsidR="006F1E25" w:rsidRPr="00F50979"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9.</w:t>
      </w:r>
      <w:r w:rsidRPr="00F50979">
        <w:rPr>
          <w:rFonts w:ascii="仿宋_GB2312" w:eastAsia="仿宋_GB2312" w:hint="eastAsia"/>
          <w:sz w:val="30"/>
          <w:szCs w:val="30"/>
        </w:rPr>
        <w:t>董事会秘书空缺（指定董事或高级管理人员代行董事会秘</w:t>
      </w:r>
      <w:r w:rsidRPr="00F50979">
        <w:rPr>
          <w:rFonts w:ascii="仿宋_GB2312" w:eastAsia="仿宋_GB2312" w:hint="eastAsia"/>
          <w:sz w:val="30"/>
          <w:szCs w:val="30"/>
        </w:rPr>
        <w:lastRenderedPageBreak/>
        <w:t>书职责以及由董事长代行董事会秘书职责的情形均视为董事会秘书空缺）累计时间超过</w:t>
      </w:r>
      <w:r>
        <w:rPr>
          <w:rFonts w:ascii="仿宋_GB2312" w:eastAsia="仿宋_GB2312" w:hint="eastAsia"/>
          <w:sz w:val="30"/>
          <w:szCs w:val="30"/>
        </w:rPr>
        <w:t>3</w:t>
      </w:r>
      <w:r w:rsidRPr="00F50979">
        <w:rPr>
          <w:rFonts w:ascii="仿宋_GB2312" w:eastAsia="仿宋_GB2312" w:hint="eastAsia"/>
          <w:sz w:val="30"/>
          <w:szCs w:val="30"/>
        </w:rPr>
        <w:t>个月；</w:t>
      </w:r>
    </w:p>
    <w:p w:rsidR="006F1E25" w:rsidRPr="00F50979"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10.</w:t>
      </w:r>
      <w:r w:rsidRPr="00F50979">
        <w:rPr>
          <w:rFonts w:ascii="仿宋_GB2312" w:eastAsia="仿宋_GB2312" w:hint="eastAsia"/>
          <w:sz w:val="30"/>
          <w:szCs w:val="30"/>
        </w:rPr>
        <w:t>向董事、监事、高级管理人员、控股股东、实际控制人及其关联方非经营性提供资金；</w:t>
      </w:r>
    </w:p>
    <w:p w:rsidR="006F1E25" w:rsidRPr="00F50979"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11.</w:t>
      </w:r>
      <w:r w:rsidRPr="00F50979">
        <w:rPr>
          <w:rFonts w:ascii="仿宋_GB2312" w:eastAsia="仿宋_GB2312" w:hint="eastAsia"/>
          <w:sz w:val="30"/>
          <w:szCs w:val="30"/>
        </w:rPr>
        <w:t>未经履行审批程序或信息披露义务对外提供担保、对外提供财务资助、进行证券投资或风险投资、变更募集资金用途等；</w:t>
      </w:r>
    </w:p>
    <w:p w:rsidR="006F1E25"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12.公司</w:t>
      </w:r>
      <w:r w:rsidRPr="005C066D">
        <w:rPr>
          <w:rFonts w:ascii="仿宋_GB2312" w:eastAsia="仿宋_GB2312" w:hint="eastAsia"/>
          <w:sz w:val="30"/>
          <w:szCs w:val="30"/>
        </w:rPr>
        <w:t>最近三年</w:t>
      </w:r>
      <w:r>
        <w:rPr>
          <w:rFonts w:ascii="仿宋_GB2312" w:eastAsia="仿宋_GB2312" w:hint="eastAsia"/>
          <w:sz w:val="30"/>
          <w:szCs w:val="30"/>
        </w:rPr>
        <w:t>内</w:t>
      </w:r>
      <w:r w:rsidRPr="005C066D">
        <w:rPr>
          <w:rFonts w:ascii="仿宋_GB2312" w:eastAsia="仿宋_GB2312" w:hint="eastAsia"/>
          <w:sz w:val="30"/>
          <w:szCs w:val="30"/>
        </w:rPr>
        <w:t>受到中国证监会行政处罚</w:t>
      </w:r>
      <w:r>
        <w:rPr>
          <w:rFonts w:ascii="仿宋_GB2312" w:eastAsia="仿宋_GB2312" w:hint="eastAsia"/>
          <w:sz w:val="30"/>
          <w:szCs w:val="30"/>
        </w:rPr>
        <w:t>、</w:t>
      </w:r>
      <w:r w:rsidRPr="005C066D">
        <w:rPr>
          <w:rFonts w:ascii="仿宋_GB2312" w:eastAsia="仿宋_GB2312" w:hint="eastAsia"/>
          <w:sz w:val="30"/>
          <w:szCs w:val="30"/>
        </w:rPr>
        <w:t>行政监管措施</w:t>
      </w:r>
      <w:r>
        <w:rPr>
          <w:rFonts w:ascii="仿宋_GB2312" w:eastAsia="仿宋_GB2312" w:hint="eastAsia"/>
          <w:sz w:val="30"/>
          <w:szCs w:val="30"/>
        </w:rPr>
        <w:t>或者</w:t>
      </w:r>
      <w:r w:rsidRPr="005C066D">
        <w:rPr>
          <w:rFonts w:ascii="仿宋_GB2312" w:eastAsia="仿宋_GB2312" w:hint="eastAsia"/>
          <w:sz w:val="30"/>
          <w:szCs w:val="30"/>
        </w:rPr>
        <w:t>证券交易所纪律处分；</w:t>
      </w:r>
    </w:p>
    <w:p w:rsidR="006F1E25"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13.</w:t>
      </w:r>
      <w:r w:rsidRPr="00F50979">
        <w:rPr>
          <w:rFonts w:ascii="仿宋_GB2312" w:eastAsia="仿宋_GB2312" w:hint="eastAsia"/>
          <w:sz w:val="30"/>
          <w:szCs w:val="30"/>
        </w:rPr>
        <w:t>公司</w:t>
      </w:r>
      <w:r>
        <w:rPr>
          <w:rFonts w:ascii="仿宋_GB2312" w:eastAsia="仿宋_GB2312" w:hint="eastAsia"/>
          <w:sz w:val="30"/>
          <w:szCs w:val="30"/>
        </w:rPr>
        <w:t>被中国证监会立案稽查且尚未结案</w:t>
      </w:r>
      <w:r w:rsidRPr="00F50979">
        <w:rPr>
          <w:rFonts w:ascii="仿宋_GB2312" w:eastAsia="仿宋_GB2312" w:hint="eastAsia"/>
          <w:sz w:val="30"/>
          <w:szCs w:val="30"/>
        </w:rPr>
        <w:t>；</w:t>
      </w:r>
    </w:p>
    <w:p w:rsidR="006F1E2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14.公司</w:t>
      </w:r>
      <w:r w:rsidRPr="005C066D">
        <w:rPr>
          <w:rFonts w:ascii="仿宋_GB2312" w:eastAsia="仿宋_GB2312" w:hint="eastAsia"/>
          <w:sz w:val="30"/>
          <w:szCs w:val="30"/>
        </w:rPr>
        <w:t>股票被暂停上市或实施风险警示（包括*ST和ST）；</w:t>
      </w:r>
    </w:p>
    <w:p w:rsidR="006F1E25" w:rsidRPr="00F50979"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15.</w:t>
      </w:r>
      <w:r w:rsidRPr="005C066D">
        <w:rPr>
          <w:rFonts w:ascii="仿宋_GB2312" w:eastAsia="仿宋_GB2312" w:hint="eastAsia"/>
          <w:sz w:val="30"/>
          <w:szCs w:val="30"/>
        </w:rPr>
        <w:t>进入破产重整程序</w:t>
      </w:r>
      <w:r>
        <w:rPr>
          <w:rFonts w:ascii="仿宋_GB2312" w:eastAsia="仿宋_GB2312" w:hint="eastAsia"/>
          <w:sz w:val="30"/>
          <w:szCs w:val="30"/>
        </w:rPr>
        <w:t>；</w:t>
      </w:r>
    </w:p>
    <w:p w:rsidR="006F1E25"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16.</w:t>
      </w:r>
      <w:r w:rsidRPr="00F50979">
        <w:rPr>
          <w:rFonts w:ascii="仿宋_GB2312" w:eastAsia="仿宋_GB2312" w:hint="eastAsia"/>
          <w:sz w:val="30"/>
          <w:szCs w:val="30"/>
        </w:rPr>
        <w:t>本所认定的其他情形。</w:t>
      </w:r>
    </w:p>
    <w:p w:rsidR="006F1E25" w:rsidRPr="00B778B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（三）</w:t>
      </w:r>
      <w:r w:rsidRPr="00B778B5">
        <w:rPr>
          <w:rFonts w:ascii="仿宋_GB2312" w:eastAsia="仿宋_GB2312" w:hint="eastAsia"/>
          <w:sz w:val="30"/>
          <w:szCs w:val="30"/>
        </w:rPr>
        <w:t>公司股票交易在本次重大资产重组停牌前不存在明显异常；</w:t>
      </w:r>
    </w:p>
    <w:p w:rsidR="006F1E25" w:rsidRPr="00B778B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（四）</w:t>
      </w:r>
      <w:r w:rsidRPr="00B778B5">
        <w:rPr>
          <w:rFonts w:ascii="仿宋_GB2312" w:eastAsia="仿宋_GB2312" w:hint="eastAsia"/>
          <w:sz w:val="30"/>
          <w:szCs w:val="30"/>
        </w:rPr>
        <w:t>本次重大资产重组事项</w:t>
      </w:r>
      <w:r>
        <w:rPr>
          <w:rFonts w:ascii="仿宋_GB2312" w:eastAsia="仿宋_GB2312" w:hint="eastAsia"/>
          <w:sz w:val="30"/>
          <w:szCs w:val="30"/>
        </w:rPr>
        <w:t>披露后，</w:t>
      </w:r>
      <w:r w:rsidRPr="00B778B5">
        <w:rPr>
          <w:rFonts w:ascii="仿宋_GB2312" w:eastAsia="仿宋_GB2312" w:hint="eastAsia"/>
          <w:sz w:val="30"/>
          <w:szCs w:val="30"/>
        </w:rPr>
        <w:t>不存在重大市场质疑或者有明确线索的举报。</w:t>
      </w:r>
    </w:p>
    <w:p w:rsidR="006F1E25" w:rsidRPr="00B778B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第六条  </w:t>
      </w:r>
      <w:r w:rsidRPr="00B778B5">
        <w:rPr>
          <w:rFonts w:ascii="仿宋_GB2312" w:eastAsia="仿宋_GB2312" w:hint="eastAsia"/>
          <w:sz w:val="30"/>
          <w:szCs w:val="30"/>
        </w:rPr>
        <w:t>上市公司具有下列情形之一的，</w:t>
      </w:r>
      <w:r>
        <w:rPr>
          <w:rFonts w:ascii="仿宋_GB2312" w:eastAsia="仿宋_GB2312" w:hint="eastAsia"/>
          <w:sz w:val="30"/>
          <w:szCs w:val="30"/>
        </w:rPr>
        <w:t>评价</w:t>
      </w:r>
      <w:r w:rsidRPr="00B778B5">
        <w:rPr>
          <w:rFonts w:ascii="仿宋_GB2312" w:eastAsia="仿宋_GB2312" w:hint="eastAsia"/>
          <w:sz w:val="30"/>
          <w:szCs w:val="30"/>
        </w:rPr>
        <w:t>结果为</w:t>
      </w:r>
      <w:r>
        <w:rPr>
          <w:rFonts w:ascii="仿宋_GB2312" w:eastAsia="仿宋_GB2312" w:hint="eastAsia"/>
          <w:sz w:val="30"/>
          <w:szCs w:val="30"/>
        </w:rPr>
        <w:t>D</w:t>
      </w:r>
      <w:r w:rsidRPr="00B778B5">
        <w:rPr>
          <w:rFonts w:ascii="仿宋_GB2312" w:eastAsia="仿宋_GB2312" w:hint="eastAsia"/>
          <w:sz w:val="30"/>
          <w:szCs w:val="30"/>
        </w:rPr>
        <w:t>：</w:t>
      </w:r>
    </w:p>
    <w:p w:rsidR="006F1E2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（一）2012年度上市公司董秘考核结果为不及格；</w:t>
      </w:r>
      <w:r w:rsidDel="0009271F">
        <w:rPr>
          <w:rFonts w:ascii="仿宋_GB2312" w:eastAsia="仿宋_GB2312" w:hint="eastAsia"/>
          <w:sz w:val="30"/>
          <w:szCs w:val="30"/>
        </w:rPr>
        <w:t xml:space="preserve"> </w:t>
      </w:r>
    </w:p>
    <w:p w:rsidR="006F1E25" w:rsidRPr="00AD4993" w:rsidRDefault="006F1E25" w:rsidP="006F1E25">
      <w:pPr>
        <w:widowControl/>
        <w:spacing w:line="540" w:lineRule="exact"/>
        <w:ind w:firstLineChars="200" w:firstLine="600"/>
        <w:rPr>
          <w:rFonts w:ascii="仿宋_GB2312" w:eastAsia="仿宋_GB2312" w:hAnsi="Arial"/>
          <w:spacing w:val="8"/>
          <w:kern w:val="0"/>
          <w:sz w:val="30"/>
          <w:szCs w:val="30"/>
        </w:rPr>
      </w:pPr>
      <w:r>
        <w:rPr>
          <w:rFonts w:ascii="仿宋_GB2312" w:eastAsia="仿宋_GB2312" w:hint="eastAsia"/>
          <w:sz w:val="30"/>
          <w:szCs w:val="30"/>
        </w:rPr>
        <w:t>（二）</w:t>
      </w:r>
      <w:r w:rsidRPr="00AD4993">
        <w:rPr>
          <w:rFonts w:ascii="仿宋_GB2312" w:eastAsia="仿宋_GB2312" w:hint="eastAsia"/>
          <w:sz w:val="30"/>
          <w:szCs w:val="30"/>
        </w:rPr>
        <w:t>公司治理</w:t>
      </w:r>
      <w:r>
        <w:rPr>
          <w:rFonts w:ascii="仿宋_GB2312" w:eastAsia="仿宋_GB2312" w:hint="eastAsia"/>
          <w:sz w:val="30"/>
          <w:szCs w:val="30"/>
        </w:rPr>
        <w:t>严重不规范</w:t>
      </w:r>
      <w:r w:rsidRPr="00AD4993">
        <w:rPr>
          <w:rFonts w:ascii="仿宋_GB2312" w:eastAsia="仿宋_GB2312" w:hint="eastAsia"/>
          <w:sz w:val="30"/>
          <w:szCs w:val="30"/>
        </w:rPr>
        <w:t>，</w:t>
      </w:r>
      <w:r>
        <w:rPr>
          <w:rFonts w:ascii="仿宋_GB2312" w:eastAsia="仿宋_GB2312" w:hint="eastAsia"/>
          <w:sz w:val="30"/>
          <w:szCs w:val="30"/>
        </w:rPr>
        <w:t>包括但不限于</w:t>
      </w:r>
      <w:r w:rsidRPr="00AD4993">
        <w:rPr>
          <w:rFonts w:ascii="仿宋_GB2312" w:eastAsia="仿宋_GB2312" w:hint="eastAsia"/>
          <w:sz w:val="30"/>
          <w:szCs w:val="30"/>
        </w:rPr>
        <w:t>董事会、监事会、股东大会无法正常运作</w:t>
      </w:r>
      <w:r w:rsidRPr="00AD4993">
        <w:rPr>
          <w:rFonts w:ascii="仿宋_GB2312" w:eastAsia="仿宋_GB2312" w:hAnsi="Arial" w:hint="eastAsia"/>
          <w:spacing w:val="8"/>
          <w:kern w:val="0"/>
          <w:sz w:val="30"/>
          <w:szCs w:val="30"/>
        </w:rPr>
        <w:t>；</w:t>
      </w:r>
    </w:p>
    <w:p w:rsidR="006F1E25"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（三）</w:t>
      </w:r>
      <w:r w:rsidRPr="00AD4993">
        <w:rPr>
          <w:rFonts w:ascii="仿宋_GB2312" w:eastAsia="仿宋_GB2312" w:hint="eastAsia"/>
          <w:sz w:val="30"/>
          <w:szCs w:val="30"/>
        </w:rPr>
        <w:t>财务会计报告被会计师事务所出具无法表示意见（仅因公司持续经营能力存在重大不确定性而被出具无法表示意见的情况除外）或否定意见的审计报告；</w:t>
      </w:r>
    </w:p>
    <w:p w:rsidR="006F1E25"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（四）</w:t>
      </w:r>
      <w:r w:rsidRPr="00563742">
        <w:rPr>
          <w:rFonts w:ascii="仿宋_GB2312" w:eastAsia="仿宋_GB2312" w:hint="eastAsia"/>
          <w:sz w:val="30"/>
          <w:szCs w:val="30"/>
        </w:rPr>
        <w:t>财务会计报告存在重大会计差错或者虚假记载，被监管部门责令改正</w:t>
      </w:r>
      <w:r>
        <w:rPr>
          <w:rFonts w:ascii="仿宋_GB2312" w:eastAsia="仿宋_GB2312" w:hint="eastAsia"/>
          <w:sz w:val="30"/>
          <w:szCs w:val="30"/>
        </w:rPr>
        <w:t>，</w:t>
      </w:r>
      <w:r w:rsidRPr="00563742">
        <w:rPr>
          <w:rFonts w:ascii="仿宋_GB2312" w:eastAsia="仿宋_GB2312" w:hint="eastAsia"/>
          <w:sz w:val="30"/>
          <w:szCs w:val="30"/>
        </w:rPr>
        <w:t>但未在规定期限内改正；</w:t>
      </w:r>
    </w:p>
    <w:p w:rsidR="006F1E25" w:rsidRPr="00563742"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（五）</w:t>
      </w:r>
      <w:r w:rsidRPr="00563742">
        <w:rPr>
          <w:rFonts w:ascii="仿宋_GB2312" w:eastAsia="仿宋_GB2312" w:hint="eastAsia"/>
          <w:sz w:val="30"/>
          <w:szCs w:val="30"/>
        </w:rPr>
        <w:t>公司存在</w:t>
      </w:r>
      <w:r>
        <w:rPr>
          <w:rFonts w:ascii="仿宋_GB2312" w:eastAsia="仿宋_GB2312" w:hint="eastAsia"/>
          <w:sz w:val="30"/>
          <w:szCs w:val="30"/>
        </w:rPr>
        <w:t>股票</w:t>
      </w:r>
      <w:r w:rsidRPr="00563742">
        <w:rPr>
          <w:rFonts w:ascii="仿宋_GB2312" w:eastAsia="仿宋_GB2312" w:hint="eastAsia"/>
          <w:sz w:val="30"/>
          <w:szCs w:val="30"/>
        </w:rPr>
        <w:t>应当被实施风险警示或被暂停上市、终止上市的情形，但</w:t>
      </w:r>
      <w:r>
        <w:rPr>
          <w:rFonts w:ascii="仿宋_GB2312" w:eastAsia="仿宋_GB2312" w:hint="eastAsia"/>
          <w:sz w:val="30"/>
          <w:szCs w:val="30"/>
        </w:rPr>
        <w:t>未</w:t>
      </w:r>
      <w:r w:rsidRPr="00563742">
        <w:rPr>
          <w:rFonts w:ascii="仿宋_GB2312" w:eastAsia="仿宋_GB2312" w:hint="eastAsia"/>
          <w:sz w:val="30"/>
          <w:szCs w:val="30"/>
        </w:rPr>
        <w:t>及时向本所报告并对外披露的；</w:t>
      </w:r>
    </w:p>
    <w:p w:rsidR="006F1E25" w:rsidRPr="00811D8C"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（六）上市公司或者其现任董事、监事、高级管理人员</w:t>
      </w:r>
      <w:r w:rsidRPr="005C066D">
        <w:rPr>
          <w:rFonts w:ascii="仿宋_GB2312" w:eastAsia="仿宋_GB2312" w:hint="eastAsia"/>
          <w:sz w:val="30"/>
          <w:szCs w:val="30"/>
        </w:rPr>
        <w:t>最近三年</w:t>
      </w:r>
      <w:r>
        <w:rPr>
          <w:rFonts w:ascii="仿宋_GB2312" w:eastAsia="仿宋_GB2312" w:hint="eastAsia"/>
          <w:sz w:val="30"/>
          <w:szCs w:val="30"/>
        </w:rPr>
        <w:t>内</w:t>
      </w:r>
      <w:r w:rsidRPr="005C066D">
        <w:rPr>
          <w:rFonts w:ascii="仿宋_GB2312" w:eastAsia="仿宋_GB2312" w:hint="eastAsia"/>
          <w:sz w:val="30"/>
          <w:szCs w:val="30"/>
        </w:rPr>
        <w:t>受到中国证监会行政处罚</w:t>
      </w:r>
      <w:r>
        <w:rPr>
          <w:rFonts w:ascii="仿宋_GB2312" w:eastAsia="仿宋_GB2312" w:hint="eastAsia"/>
          <w:sz w:val="30"/>
          <w:szCs w:val="30"/>
        </w:rPr>
        <w:t>或者被</w:t>
      </w:r>
      <w:r w:rsidRPr="005C066D">
        <w:rPr>
          <w:rFonts w:ascii="仿宋_GB2312" w:eastAsia="仿宋_GB2312" w:hint="eastAsia"/>
          <w:sz w:val="30"/>
          <w:szCs w:val="30"/>
        </w:rPr>
        <w:t>证券交易所</w:t>
      </w:r>
      <w:r>
        <w:rPr>
          <w:rFonts w:ascii="仿宋_GB2312" w:eastAsia="仿宋_GB2312" w:hint="eastAsia"/>
          <w:sz w:val="30"/>
          <w:szCs w:val="30"/>
        </w:rPr>
        <w:t>公开谴责；</w:t>
      </w:r>
    </w:p>
    <w:p w:rsidR="006F1E25" w:rsidRPr="00B778B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（七）</w:t>
      </w:r>
      <w:r w:rsidRPr="00B778B5">
        <w:rPr>
          <w:rFonts w:ascii="仿宋_GB2312" w:eastAsia="仿宋_GB2312" w:hint="eastAsia"/>
          <w:sz w:val="30"/>
          <w:szCs w:val="30"/>
        </w:rPr>
        <w:t>上市公司重大资产重组事项涉嫌内幕交易被中国证监会立案</w:t>
      </w:r>
      <w:r>
        <w:rPr>
          <w:rFonts w:ascii="仿宋_GB2312" w:eastAsia="仿宋_GB2312" w:hint="eastAsia"/>
          <w:sz w:val="30"/>
          <w:szCs w:val="30"/>
        </w:rPr>
        <w:t>稽</w:t>
      </w:r>
      <w:r w:rsidRPr="00B778B5">
        <w:rPr>
          <w:rFonts w:ascii="仿宋_GB2312" w:eastAsia="仿宋_GB2312" w:hint="eastAsia"/>
          <w:sz w:val="30"/>
          <w:szCs w:val="30"/>
        </w:rPr>
        <w:t>查或者被司法机关立案侦查；</w:t>
      </w:r>
    </w:p>
    <w:p w:rsidR="006F1E2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（八）</w:t>
      </w:r>
      <w:r w:rsidRPr="00B778B5">
        <w:rPr>
          <w:rFonts w:ascii="仿宋_GB2312" w:eastAsia="仿宋_GB2312" w:hint="eastAsia"/>
          <w:sz w:val="30"/>
          <w:szCs w:val="30"/>
        </w:rPr>
        <w:t>本次重大资产重组事项存在重大市场质疑或有明确线索的举报，上市公司及涉及的相关机构和人员未能就市场质疑及时作出说明或澄清的</w:t>
      </w:r>
      <w:r>
        <w:rPr>
          <w:rFonts w:ascii="仿宋_GB2312" w:eastAsia="仿宋_GB2312" w:hint="eastAsia"/>
          <w:sz w:val="30"/>
          <w:szCs w:val="30"/>
        </w:rPr>
        <w:t>；</w:t>
      </w:r>
    </w:p>
    <w:p w:rsidR="006F1E25" w:rsidRPr="00563742" w:rsidRDefault="006F1E25" w:rsidP="006F1E25">
      <w:pPr>
        <w:autoSpaceDE w:val="0"/>
        <w:autoSpaceDN w:val="0"/>
        <w:adjustRightInd w:val="0"/>
        <w:spacing w:line="540" w:lineRule="exact"/>
        <w:ind w:firstLineChars="200" w:firstLine="600"/>
        <w:rPr>
          <w:rFonts w:ascii="仿宋_GB2312" w:eastAsia="仿宋_GB2312"/>
          <w:sz w:val="30"/>
          <w:szCs w:val="30"/>
        </w:rPr>
      </w:pPr>
      <w:r>
        <w:rPr>
          <w:rFonts w:ascii="仿宋_GB2312" w:eastAsia="仿宋_GB2312" w:hint="eastAsia"/>
          <w:sz w:val="30"/>
          <w:szCs w:val="30"/>
        </w:rPr>
        <w:t>（九）</w:t>
      </w:r>
      <w:r w:rsidRPr="00563742">
        <w:rPr>
          <w:rFonts w:ascii="仿宋_GB2312" w:eastAsia="仿宋_GB2312" w:hint="eastAsia"/>
          <w:sz w:val="30"/>
          <w:szCs w:val="30"/>
        </w:rPr>
        <w:t>本所认定的其他情形。</w:t>
      </w:r>
    </w:p>
    <w:p w:rsidR="006F1E25" w:rsidRPr="00B778B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第七条  除根据第五条、第六条评价结果为A或D的上市公司之外</w:t>
      </w:r>
      <w:r w:rsidRPr="00B778B5">
        <w:rPr>
          <w:rFonts w:ascii="仿宋_GB2312" w:eastAsia="仿宋_GB2312" w:hint="eastAsia"/>
          <w:sz w:val="30"/>
          <w:szCs w:val="30"/>
        </w:rPr>
        <w:t>，</w:t>
      </w:r>
      <w:r>
        <w:rPr>
          <w:rFonts w:ascii="仿宋_GB2312" w:eastAsia="仿宋_GB2312" w:hint="eastAsia"/>
          <w:sz w:val="30"/>
          <w:szCs w:val="30"/>
        </w:rPr>
        <w:t>其他上市公司评价结果为B或C。</w:t>
      </w:r>
    </w:p>
    <w:p w:rsidR="006F1E2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第八条  本所对相关主体诚信记录、财务顾问发表的产业政策及交易类型等意见进行查询复核。</w:t>
      </w:r>
    </w:p>
    <w:p w:rsidR="006F1E2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第九条  本所根据《并购重组审核分道制实施方案》汇总并提交分道制评价结果。本所汇总上市公司所在辖区证监局对</w:t>
      </w:r>
      <w:r w:rsidRPr="005C066D">
        <w:rPr>
          <w:rFonts w:ascii="仿宋_GB2312" w:eastAsia="仿宋_GB2312" w:hint="eastAsia"/>
          <w:sz w:val="30"/>
          <w:szCs w:val="30"/>
        </w:rPr>
        <w:t>“上市公司信息披露和规范运作状况”</w:t>
      </w:r>
      <w:r>
        <w:rPr>
          <w:rFonts w:ascii="仿宋_GB2312" w:eastAsia="仿宋_GB2312" w:hint="eastAsia"/>
          <w:sz w:val="30"/>
          <w:szCs w:val="30"/>
        </w:rPr>
        <w:t>的评价结果、证券业协会对“财务顾问执业能力”的评价结果，并结合本所评价结果、查询复核结果等，</w:t>
      </w:r>
      <w:r w:rsidRPr="005C066D">
        <w:rPr>
          <w:rFonts w:ascii="仿宋_GB2312" w:eastAsia="仿宋_GB2312" w:hint="eastAsia"/>
          <w:sz w:val="30"/>
          <w:szCs w:val="30"/>
        </w:rPr>
        <w:t>确定本次重组的审核通道类型，上报中</w:t>
      </w:r>
      <w:r>
        <w:rPr>
          <w:rFonts w:ascii="仿宋_GB2312" w:eastAsia="仿宋_GB2312" w:hint="eastAsia"/>
          <w:sz w:val="30"/>
          <w:szCs w:val="30"/>
        </w:rPr>
        <w:t>国证监会，并由中国证监会对外公示。</w:t>
      </w:r>
    </w:p>
    <w:p w:rsidR="006F1E25" w:rsidRDefault="006F1E25" w:rsidP="006F1E25">
      <w:pPr>
        <w:spacing w:line="540" w:lineRule="exact"/>
        <w:ind w:firstLineChars="200" w:firstLine="600"/>
        <w:rPr>
          <w:rFonts w:ascii="仿宋_GB2312" w:eastAsia="仿宋_GB2312"/>
          <w:sz w:val="30"/>
          <w:szCs w:val="30"/>
        </w:rPr>
      </w:pPr>
      <w:r>
        <w:rPr>
          <w:rFonts w:ascii="仿宋_GB2312" w:eastAsia="仿宋_GB2312" w:hint="eastAsia"/>
          <w:sz w:val="30"/>
          <w:szCs w:val="30"/>
        </w:rPr>
        <w:t>第十条  本指引自发布之日起施行。</w:t>
      </w:r>
    </w:p>
    <w:p w:rsidR="006F1E25" w:rsidRPr="00F55EE2" w:rsidRDefault="006F1E25" w:rsidP="006F1E25">
      <w:pPr>
        <w:spacing w:line="540" w:lineRule="exact"/>
        <w:ind w:firstLineChars="200" w:firstLine="600"/>
        <w:rPr>
          <w:rFonts w:ascii="仿宋_GB2312" w:eastAsia="仿宋_GB2312"/>
          <w:sz w:val="30"/>
          <w:szCs w:val="30"/>
        </w:rPr>
      </w:pPr>
    </w:p>
    <w:p w:rsidR="006F1E25" w:rsidRDefault="006F1E25" w:rsidP="006F1E25">
      <w:pPr>
        <w:spacing w:line="540" w:lineRule="exact"/>
        <w:ind w:firstLineChars="200" w:firstLine="600"/>
        <w:rPr>
          <w:rFonts w:ascii="仿宋_GB2312" w:eastAsia="仿宋_GB2312"/>
          <w:sz w:val="30"/>
          <w:szCs w:val="30"/>
        </w:rPr>
      </w:pPr>
      <w:r w:rsidRPr="005C066D">
        <w:rPr>
          <w:rFonts w:ascii="仿宋_GB2312" w:eastAsia="仿宋_GB2312" w:hint="eastAsia"/>
          <w:sz w:val="30"/>
          <w:szCs w:val="30"/>
        </w:rPr>
        <w:t>附件：重组公司</w:t>
      </w:r>
      <w:r>
        <w:rPr>
          <w:rFonts w:ascii="仿宋_GB2312" w:eastAsia="仿宋_GB2312" w:hint="eastAsia"/>
          <w:sz w:val="30"/>
          <w:szCs w:val="30"/>
        </w:rPr>
        <w:t>分道制信息汇总</w:t>
      </w:r>
      <w:r w:rsidRPr="005C066D">
        <w:rPr>
          <w:rFonts w:ascii="仿宋_GB2312" w:eastAsia="仿宋_GB2312" w:hint="eastAsia"/>
          <w:sz w:val="30"/>
          <w:szCs w:val="30"/>
        </w:rPr>
        <w:t>表</w:t>
      </w:r>
    </w:p>
    <w:p w:rsidR="006F1E25" w:rsidRDefault="006F1E25" w:rsidP="006F1E25">
      <w:pPr>
        <w:spacing w:line="540" w:lineRule="exact"/>
        <w:rPr>
          <w:rFonts w:ascii="仿宋_GB2312" w:eastAsia="仿宋_GB2312"/>
          <w:sz w:val="30"/>
          <w:szCs w:val="30"/>
        </w:rPr>
      </w:pPr>
    </w:p>
    <w:p w:rsidR="006F1E25" w:rsidRDefault="006F1E25" w:rsidP="006F1E25">
      <w:pPr>
        <w:spacing w:line="600" w:lineRule="exact"/>
        <w:rPr>
          <w:rFonts w:ascii="仿宋_GB2312" w:eastAsia="仿宋_GB2312" w:hAnsi="宋体"/>
          <w:b/>
          <w:sz w:val="30"/>
          <w:szCs w:val="30"/>
        </w:rPr>
      </w:pPr>
      <w:r>
        <w:rPr>
          <w:rFonts w:ascii="仿宋_GB2312" w:eastAsia="仿宋_GB2312"/>
          <w:sz w:val="30"/>
          <w:szCs w:val="30"/>
        </w:rPr>
        <w:br w:type="page"/>
      </w:r>
      <w:r w:rsidRPr="008E7E3A">
        <w:rPr>
          <w:rFonts w:ascii="仿宋_GB2312" w:eastAsia="仿宋_GB2312" w:hAnsi="宋体" w:hint="eastAsia"/>
          <w:b/>
          <w:sz w:val="30"/>
          <w:szCs w:val="30"/>
        </w:rPr>
        <w:lastRenderedPageBreak/>
        <w:t>附件</w:t>
      </w:r>
    </w:p>
    <w:p w:rsidR="006F1E25" w:rsidRPr="005F0D12" w:rsidRDefault="006F1E25" w:rsidP="006F1E25">
      <w:pPr>
        <w:spacing w:line="600" w:lineRule="exact"/>
        <w:rPr>
          <w:rFonts w:ascii="仿宋_GB2312" w:eastAsia="仿宋_GB2312" w:hAnsi="宋体"/>
          <w:sz w:val="30"/>
          <w:szCs w:val="30"/>
        </w:rPr>
      </w:pPr>
    </w:p>
    <w:p w:rsidR="006F1E25" w:rsidRPr="00370E83" w:rsidRDefault="006F1E25" w:rsidP="006F1E25">
      <w:pPr>
        <w:tabs>
          <w:tab w:val="left" w:pos="993"/>
          <w:tab w:val="left" w:pos="1276"/>
          <w:tab w:val="left" w:pos="1418"/>
        </w:tabs>
        <w:jc w:val="center"/>
        <w:rPr>
          <w:rFonts w:ascii="方正大标宋简体" w:eastAsia="方正大标宋简体" w:hAnsi="黑体"/>
          <w:color w:val="000000"/>
          <w:sz w:val="42"/>
          <w:szCs w:val="42"/>
        </w:rPr>
      </w:pPr>
      <w:bookmarkStart w:id="0" w:name="OLE_LINK1"/>
      <w:bookmarkStart w:id="1" w:name="OLE_LINK2"/>
      <w:r w:rsidRPr="00370E83">
        <w:rPr>
          <w:rFonts w:ascii="方正大标宋简体" w:eastAsia="方正大标宋简体" w:hAnsi="黑体" w:hint="eastAsia"/>
          <w:kern w:val="24"/>
          <w:sz w:val="42"/>
          <w:szCs w:val="42"/>
        </w:rPr>
        <w:t>重组公司分道制信息汇总表</w:t>
      </w:r>
    </w:p>
    <w:tbl>
      <w:tblPr>
        <w:tblW w:w="10073" w:type="dxa"/>
        <w:tblInd w:w="-605" w:type="dxa"/>
        <w:tblLook w:val="04A0"/>
      </w:tblPr>
      <w:tblGrid>
        <w:gridCol w:w="483"/>
        <w:gridCol w:w="4010"/>
        <w:gridCol w:w="900"/>
        <w:gridCol w:w="4680"/>
      </w:tblGrid>
      <w:tr w:rsidR="006F1E25" w:rsidRPr="00205E64" w:rsidTr="002D0AC7">
        <w:trPr>
          <w:trHeight w:val="519"/>
        </w:trPr>
        <w:tc>
          <w:tcPr>
            <w:tcW w:w="4493" w:type="dxa"/>
            <w:gridSpan w:val="2"/>
            <w:tcBorders>
              <w:top w:val="single" w:sz="8" w:space="0" w:color="auto"/>
              <w:left w:val="single" w:sz="8" w:space="0" w:color="auto"/>
              <w:bottom w:val="single" w:sz="8" w:space="0" w:color="auto"/>
              <w:right w:val="single" w:sz="4" w:space="0" w:color="auto"/>
            </w:tcBorders>
            <w:vAlign w:val="center"/>
          </w:tcPr>
          <w:p w:rsidR="006F1E25" w:rsidRDefault="006F1E25" w:rsidP="002D0AC7">
            <w:pPr>
              <w:spacing w:line="360" w:lineRule="exac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证券代码：</w:t>
            </w:r>
          </w:p>
        </w:tc>
        <w:tc>
          <w:tcPr>
            <w:tcW w:w="5580" w:type="dxa"/>
            <w:gridSpan w:val="2"/>
            <w:tcBorders>
              <w:top w:val="single" w:sz="8" w:space="0" w:color="auto"/>
              <w:left w:val="single" w:sz="4" w:space="0" w:color="auto"/>
              <w:bottom w:val="single" w:sz="8" w:space="0" w:color="auto"/>
              <w:right w:val="single" w:sz="8" w:space="0" w:color="auto"/>
            </w:tcBorders>
            <w:vAlign w:val="center"/>
          </w:tcPr>
          <w:p w:rsidR="006F1E25" w:rsidRDefault="006F1E25" w:rsidP="002D0AC7">
            <w:pPr>
              <w:widowControl/>
              <w:spacing w:line="360" w:lineRule="exac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证券简称：</w:t>
            </w:r>
          </w:p>
        </w:tc>
      </w:tr>
      <w:tr w:rsidR="006F1E25" w:rsidRPr="00205E64" w:rsidTr="002D0AC7">
        <w:trPr>
          <w:trHeight w:val="519"/>
        </w:trPr>
        <w:tc>
          <w:tcPr>
            <w:tcW w:w="4493" w:type="dxa"/>
            <w:gridSpan w:val="2"/>
            <w:tcBorders>
              <w:top w:val="single" w:sz="8" w:space="0" w:color="auto"/>
              <w:left w:val="single" w:sz="8" w:space="0" w:color="auto"/>
              <w:bottom w:val="single" w:sz="8" w:space="0" w:color="auto"/>
              <w:right w:val="single" w:sz="4" w:space="0" w:color="auto"/>
            </w:tcBorders>
            <w:vAlign w:val="center"/>
          </w:tcPr>
          <w:p w:rsidR="006F1E25" w:rsidRDefault="006F1E25" w:rsidP="002D0AC7">
            <w:pPr>
              <w:spacing w:line="360" w:lineRule="exac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财务顾问名称：</w:t>
            </w:r>
          </w:p>
        </w:tc>
        <w:tc>
          <w:tcPr>
            <w:tcW w:w="5580" w:type="dxa"/>
            <w:gridSpan w:val="2"/>
            <w:tcBorders>
              <w:top w:val="single" w:sz="8" w:space="0" w:color="auto"/>
              <w:left w:val="single" w:sz="4" w:space="0" w:color="auto"/>
              <w:bottom w:val="single" w:sz="8" w:space="0" w:color="auto"/>
              <w:right w:val="single" w:sz="8" w:space="0" w:color="auto"/>
            </w:tcBorders>
            <w:vAlign w:val="center"/>
          </w:tcPr>
          <w:p w:rsidR="006F1E25" w:rsidRDefault="006F1E25" w:rsidP="002D0AC7">
            <w:pPr>
              <w:widowControl/>
              <w:spacing w:line="360" w:lineRule="exac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经办人员姓名：</w:t>
            </w:r>
          </w:p>
        </w:tc>
      </w:tr>
      <w:tr w:rsidR="006F1E25" w:rsidRPr="00205E64" w:rsidTr="002D0AC7">
        <w:trPr>
          <w:trHeight w:val="519"/>
        </w:trPr>
        <w:tc>
          <w:tcPr>
            <w:tcW w:w="4493" w:type="dxa"/>
            <w:gridSpan w:val="2"/>
            <w:tcBorders>
              <w:top w:val="single" w:sz="8" w:space="0" w:color="auto"/>
              <w:left w:val="single" w:sz="8" w:space="0" w:color="auto"/>
              <w:bottom w:val="single" w:sz="8" w:space="0" w:color="auto"/>
              <w:right w:val="single" w:sz="4" w:space="0" w:color="auto"/>
            </w:tcBorders>
            <w:vAlign w:val="center"/>
          </w:tcPr>
          <w:p w:rsidR="006F1E25" w:rsidRDefault="006F1E25" w:rsidP="002D0AC7">
            <w:pPr>
              <w:spacing w:line="360" w:lineRule="exac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会计师事务所名称：</w:t>
            </w:r>
          </w:p>
        </w:tc>
        <w:tc>
          <w:tcPr>
            <w:tcW w:w="5580" w:type="dxa"/>
            <w:gridSpan w:val="2"/>
            <w:tcBorders>
              <w:top w:val="single" w:sz="8" w:space="0" w:color="auto"/>
              <w:left w:val="single" w:sz="4" w:space="0" w:color="auto"/>
              <w:bottom w:val="single" w:sz="8" w:space="0" w:color="auto"/>
              <w:right w:val="single" w:sz="8" w:space="0" w:color="auto"/>
            </w:tcBorders>
            <w:vAlign w:val="center"/>
          </w:tcPr>
          <w:p w:rsidR="006F1E25" w:rsidRDefault="006F1E25" w:rsidP="002D0AC7">
            <w:pPr>
              <w:widowControl/>
              <w:spacing w:line="360" w:lineRule="exac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经办人员姓名：</w:t>
            </w:r>
          </w:p>
        </w:tc>
      </w:tr>
      <w:tr w:rsidR="006F1E25" w:rsidRPr="00205E64" w:rsidTr="002D0AC7">
        <w:trPr>
          <w:trHeight w:val="519"/>
        </w:trPr>
        <w:tc>
          <w:tcPr>
            <w:tcW w:w="4493" w:type="dxa"/>
            <w:gridSpan w:val="2"/>
            <w:tcBorders>
              <w:top w:val="single" w:sz="8" w:space="0" w:color="auto"/>
              <w:left w:val="single" w:sz="8" w:space="0" w:color="auto"/>
              <w:bottom w:val="single" w:sz="8" w:space="0" w:color="auto"/>
              <w:right w:val="single" w:sz="4" w:space="0" w:color="auto"/>
            </w:tcBorders>
            <w:vAlign w:val="center"/>
          </w:tcPr>
          <w:p w:rsidR="006F1E25" w:rsidRDefault="006F1E25" w:rsidP="002D0AC7">
            <w:pPr>
              <w:spacing w:line="360" w:lineRule="exac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评估机构名称：</w:t>
            </w:r>
          </w:p>
        </w:tc>
        <w:tc>
          <w:tcPr>
            <w:tcW w:w="5580" w:type="dxa"/>
            <w:gridSpan w:val="2"/>
            <w:tcBorders>
              <w:top w:val="single" w:sz="8" w:space="0" w:color="auto"/>
              <w:left w:val="single" w:sz="4" w:space="0" w:color="auto"/>
              <w:bottom w:val="single" w:sz="8" w:space="0" w:color="auto"/>
              <w:right w:val="single" w:sz="8" w:space="0" w:color="auto"/>
            </w:tcBorders>
            <w:vAlign w:val="center"/>
          </w:tcPr>
          <w:p w:rsidR="006F1E25" w:rsidRDefault="006F1E25" w:rsidP="002D0AC7">
            <w:pPr>
              <w:spacing w:line="360" w:lineRule="exac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经办人员姓名：</w:t>
            </w:r>
          </w:p>
        </w:tc>
      </w:tr>
      <w:tr w:rsidR="006F1E25" w:rsidRPr="00205E64" w:rsidTr="002D0AC7">
        <w:trPr>
          <w:trHeight w:val="519"/>
        </w:trPr>
        <w:tc>
          <w:tcPr>
            <w:tcW w:w="4493" w:type="dxa"/>
            <w:gridSpan w:val="2"/>
            <w:tcBorders>
              <w:top w:val="single" w:sz="8" w:space="0" w:color="auto"/>
              <w:left w:val="single" w:sz="8" w:space="0" w:color="auto"/>
              <w:bottom w:val="single" w:sz="8" w:space="0" w:color="auto"/>
              <w:right w:val="single" w:sz="4" w:space="0" w:color="auto"/>
            </w:tcBorders>
            <w:vAlign w:val="center"/>
          </w:tcPr>
          <w:p w:rsidR="006F1E25" w:rsidRDefault="006F1E25" w:rsidP="002D0AC7">
            <w:pPr>
              <w:spacing w:line="360" w:lineRule="exac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律师事务所名称：</w:t>
            </w:r>
          </w:p>
        </w:tc>
        <w:tc>
          <w:tcPr>
            <w:tcW w:w="5580" w:type="dxa"/>
            <w:gridSpan w:val="2"/>
            <w:tcBorders>
              <w:top w:val="single" w:sz="8" w:space="0" w:color="auto"/>
              <w:left w:val="single" w:sz="4" w:space="0" w:color="auto"/>
              <w:bottom w:val="single" w:sz="8" w:space="0" w:color="auto"/>
              <w:right w:val="single" w:sz="8" w:space="0" w:color="auto"/>
            </w:tcBorders>
            <w:vAlign w:val="center"/>
          </w:tcPr>
          <w:p w:rsidR="006F1E25" w:rsidRDefault="006F1E25" w:rsidP="002D0AC7">
            <w:pPr>
              <w:spacing w:line="360" w:lineRule="exac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经办人员姓名：</w:t>
            </w:r>
          </w:p>
        </w:tc>
      </w:tr>
      <w:tr w:rsidR="006F1E25" w:rsidRPr="00205E64" w:rsidTr="002D0AC7">
        <w:trPr>
          <w:trHeight w:val="519"/>
        </w:trPr>
        <w:tc>
          <w:tcPr>
            <w:tcW w:w="483" w:type="dxa"/>
            <w:tcBorders>
              <w:top w:val="single" w:sz="8" w:space="0" w:color="auto"/>
              <w:left w:val="single" w:sz="8" w:space="0" w:color="auto"/>
              <w:bottom w:val="single" w:sz="8" w:space="0" w:color="auto"/>
              <w:right w:val="single" w:sz="4" w:space="0" w:color="auto"/>
            </w:tcBorders>
            <w:vAlign w:val="center"/>
          </w:tcPr>
          <w:p w:rsidR="006F1E25" w:rsidRPr="00205E64" w:rsidRDefault="006F1E25" w:rsidP="002D0AC7">
            <w:pPr>
              <w:widowControl/>
              <w:spacing w:line="36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项目</w:t>
            </w:r>
          </w:p>
        </w:tc>
        <w:tc>
          <w:tcPr>
            <w:tcW w:w="4010" w:type="dxa"/>
            <w:tcBorders>
              <w:top w:val="single" w:sz="8" w:space="0" w:color="auto"/>
              <w:left w:val="single" w:sz="4" w:space="0" w:color="auto"/>
              <w:bottom w:val="single" w:sz="8" w:space="0" w:color="auto"/>
              <w:right w:val="single" w:sz="4" w:space="0" w:color="auto"/>
            </w:tcBorders>
            <w:vAlign w:val="center"/>
          </w:tcPr>
          <w:p w:rsidR="006F1E25" w:rsidRPr="00205E64" w:rsidRDefault="006F1E25" w:rsidP="002D0AC7">
            <w:pPr>
              <w:spacing w:line="36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信息内容</w:t>
            </w:r>
          </w:p>
        </w:tc>
        <w:tc>
          <w:tcPr>
            <w:tcW w:w="900" w:type="dxa"/>
            <w:tcBorders>
              <w:top w:val="single" w:sz="8" w:space="0" w:color="auto"/>
              <w:left w:val="single" w:sz="4" w:space="0" w:color="auto"/>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是/否</w:t>
            </w:r>
          </w:p>
        </w:tc>
        <w:tc>
          <w:tcPr>
            <w:tcW w:w="468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如是，请说明具体内容</w:t>
            </w:r>
          </w:p>
        </w:tc>
      </w:tr>
      <w:tr w:rsidR="006F1E25" w:rsidRPr="00205E64" w:rsidTr="002D0AC7">
        <w:trPr>
          <w:trHeight w:val="557"/>
        </w:trPr>
        <w:tc>
          <w:tcPr>
            <w:tcW w:w="483" w:type="dxa"/>
            <w:tcBorders>
              <w:top w:val="single" w:sz="4" w:space="0" w:color="auto"/>
              <w:left w:val="single" w:sz="8" w:space="0" w:color="auto"/>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1</w:t>
            </w:r>
          </w:p>
        </w:tc>
        <w:tc>
          <w:tcPr>
            <w:tcW w:w="4010" w:type="dxa"/>
            <w:tcBorders>
              <w:top w:val="single" w:sz="4"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rPr>
                <w:rFonts w:ascii="仿宋_GB2312" w:eastAsia="仿宋_GB2312" w:hAnsi="宋体"/>
                <w:kern w:val="0"/>
                <w:sz w:val="24"/>
                <w:szCs w:val="24"/>
              </w:rPr>
            </w:pPr>
            <w:r w:rsidRPr="00205E64">
              <w:rPr>
                <w:rFonts w:ascii="仿宋_GB2312" w:eastAsia="仿宋_GB2312" w:hAnsi="宋体" w:hint="eastAsia"/>
                <w:kern w:val="0"/>
                <w:sz w:val="24"/>
                <w:szCs w:val="24"/>
              </w:rPr>
              <w:t>中介机构及经办人员是否受到中国证监会行政处罚、行政监管措施或证券交易所纪律处分且未满规定期限</w:t>
            </w:r>
          </w:p>
        </w:tc>
        <w:tc>
          <w:tcPr>
            <w:tcW w:w="900" w:type="dxa"/>
            <w:tcBorders>
              <w:top w:val="single" w:sz="4"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p>
        </w:tc>
        <w:tc>
          <w:tcPr>
            <w:tcW w:w="4680" w:type="dxa"/>
            <w:tcBorders>
              <w:top w:val="single" w:sz="4"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Calibri"/>
                <w:szCs w:val="22"/>
              </w:rPr>
            </w:pPr>
          </w:p>
        </w:tc>
      </w:tr>
      <w:tr w:rsidR="006F1E25" w:rsidRPr="00205E64" w:rsidTr="002D0AC7">
        <w:trPr>
          <w:trHeight w:val="552"/>
        </w:trPr>
        <w:tc>
          <w:tcPr>
            <w:tcW w:w="483" w:type="dxa"/>
            <w:tcBorders>
              <w:top w:val="nil"/>
              <w:left w:val="single" w:sz="8" w:space="0" w:color="auto"/>
              <w:bottom w:val="single" w:sz="4"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2</w:t>
            </w:r>
          </w:p>
        </w:tc>
        <w:tc>
          <w:tcPr>
            <w:tcW w:w="4010" w:type="dxa"/>
            <w:tcBorders>
              <w:top w:val="nil"/>
              <w:left w:val="nil"/>
              <w:bottom w:val="single" w:sz="4" w:space="0" w:color="auto"/>
              <w:right w:val="single" w:sz="8" w:space="0" w:color="auto"/>
            </w:tcBorders>
            <w:vAlign w:val="center"/>
          </w:tcPr>
          <w:p w:rsidR="006F1E25" w:rsidRPr="00205E64" w:rsidRDefault="006F1E25" w:rsidP="002D0AC7">
            <w:pPr>
              <w:widowControl/>
              <w:spacing w:line="360" w:lineRule="exact"/>
              <w:rPr>
                <w:rFonts w:ascii="仿宋_GB2312" w:eastAsia="仿宋_GB2312" w:hAnsi="宋体"/>
                <w:kern w:val="0"/>
                <w:sz w:val="24"/>
                <w:szCs w:val="24"/>
              </w:rPr>
            </w:pPr>
            <w:r w:rsidRPr="00205E64">
              <w:rPr>
                <w:rFonts w:ascii="仿宋_GB2312" w:eastAsia="仿宋_GB2312" w:hAnsi="宋体" w:hint="eastAsia"/>
                <w:kern w:val="0"/>
                <w:sz w:val="24"/>
                <w:szCs w:val="24"/>
              </w:rPr>
              <w:t>上市公司最近三年是否受到中国证监会行政处罚、行政监管措施或证券交易所纪律处分</w:t>
            </w:r>
          </w:p>
        </w:tc>
        <w:tc>
          <w:tcPr>
            <w:tcW w:w="900" w:type="dxa"/>
            <w:tcBorders>
              <w:top w:val="nil"/>
              <w:left w:val="nil"/>
              <w:bottom w:val="single" w:sz="4"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p>
        </w:tc>
        <w:tc>
          <w:tcPr>
            <w:tcW w:w="4680" w:type="dxa"/>
            <w:tcBorders>
              <w:top w:val="nil"/>
              <w:left w:val="nil"/>
              <w:bottom w:val="single" w:sz="4"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Calibri"/>
                <w:szCs w:val="22"/>
              </w:rPr>
            </w:pPr>
          </w:p>
        </w:tc>
      </w:tr>
      <w:tr w:rsidR="006F1E25" w:rsidRPr="00205E64" w:rsidTr="002D0AC7">
        <w:trPr>
          <w:trHeight w:val="532"/>
        </w:trPr>
        <w:tc>
          <w:tcPr>
            <w:tcW w:w="483" w:type="dxa"/>
            <w:tcBorders>
              <w:top w:val="single" w:sz="8" w:space="0" w:color="auto"/>
              <w:left w:val="single" w:sz="8" w:space="0" w:color="auto"/>
              <w:bottom w:val="single" w:sz="8" w:space="0" w:color="auto"/>
              <w:right w:val="single" w:sz="8" w:space="0" w:color="auto"/>
            </w:tcBorders>
            <w:vAlign w:val="center"/>
          </w:tcPr>
          <w:p w:rsidR="006F1E25" w:rsidRDefault="006F1E25" w:rsidP="002D0AC7">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3</w:t>
            </w:r>
          </w:p>
        </w:tc>
        <w:tc>
          <w:tcPr>
            <w:tcW w:w="401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上市公司股票是否被暂停上市或实施风险警示</w:t>
            </w:r>
          </w:p>
        </w:tc>
        <w:tc>
          <w:tcPr>
            <w:tcW w:w="900" w:type="dxa"/>
            <w:tcBorders>
              <w:top w:val="single" w:sz="8" w:space="0" w:color="auto"/>
              <w:left w:val="nil"/>
              <w:bottom w:val="single" w:sz="8" w:space="0" w:color="auto"/>
              <w:right w:val="single" w:sz="8" w:space="0" w:color="auto"/>
            </w:tcBorders>
            <w:vAlign w:val="center"/>
          </w:tcPr>
          <w:p w:rsidR="006F1E25" w:rsidRPr="000B5A44" w:rsidRDefault="006F1E25" w:rsidP="002D0AC7">
            <w:pPr>
              <w:widowControl/>
              <w:spacing w:line="360" w:lineRule="exact"/>
              <w:jc w:val="center"/>
              <w:rPr>
                <w:rFonts w:ascii="仿宋_GB2312" w:eastAsia="仿宋_GB2312" w:hAnsi="宋体"/>
                <w:kern w:val="0"/>
                <w:sz w:val="24"/>
                <w:szCs w:val="24"/>
              </w:rPr>
            </w:pPr>
          </w:p>
        </w:tc>
        <w:tc>
          <w:tcPr>
            <w:tcW w:w="468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p>
        </w:tc>
      </w:tr>
      <w:tr w:rsidR="006F1E25" w:rsidRPr="00205E64" w:rsidTr="002D0AC7">
        <w:trPr>
          <w:trHeight w:val="756"/>
        </w:trPr>
        <w:tc>
          <w:tcPr>
            <w:tcW w:w="483" w:type="dxa"/>
            <w:tcBorders>
              <w:top w:val="single" w:sz="8" w:space="0" w:color="auto"/>
              <w:left w:val="single" w:sz="8" w:space="0" w:color="auto"/>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4</w:t>
            </w:r>
          </w:p>
        </w:tc>
        <w:tc>
          <w:tcPr>
            <w:tcW w:w="401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rPr>
                <w:rFonts w:ascii="仿宋_GB2312" w:eastAsia="仿宋_GB2312" w:hAnsi="宋体"/>
                <w:kern w:val="0"/>
                <w:sz w:val="24"/>
                <w:szCs w:val="24"/>
              </w:rPr>
            </w:pPr>
            <w:r w:rsidRPr="00205E64">
              <w:rPr>
                <w:rFonts w:ascii="仿宋_GB2312" w:eastAsia="仿宋_GB2312" w:hAnsi="宋体" w:hint="eastAsia"/>
                <w:kern w:val="0"/>
                <w:sz w:val="24"/>
                <w:szCs w:val="24"/>
              </w:rPr>
              <w:t>上市公司是否被中国证监会立案稽查且尚未结案</w:t>
            </w:r>
          </w:p>
        </w:tc>
        <w:tc>
          <w:tcPr>
            <w:tcW w:w="90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p>
        </w:tc>
        <w:tc>
          <w:tcPr>
            <w:tcW w:w="468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p>
        </w:tc>
      </w:tr>
      <w:tr w:rsidR="006F1E25" w:rsidRPr="00205E64" w:rsidTr="002D0AC7">
        <w:trPr>
          <w:trHeight w:val="532"/>
        </w:trPr>
        <w:tc>
          <w:tcPr>
            <w:tcW w:w="483" w:type="dxa"/>
            <w:tcBorders>
              <w:top w:val="single" w:sz="8" w:space="0" w:color="auto"/>
              <w:left w:val="single" w:sz="8" w:space="0" w:color="auto"/>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5</w:t>
            </w:r>
          </w:p>
        </w:tc>
        <w:tc>
          <w:tcPr>
            <w:tcW w:w="401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rPr>
                <w:rFonts w:ascii="仿宋_GB2312" w:eastAsia="仿宋_GB2312" w:hAnsi="宋体"/>
                <w:kern w:val="0"/>
                <w:sz w:val="24"/>
                <w:szCs w:val="24"/>
              </w:rPr>
            </w:pPr>
            <w:r w:rsidRPr="00205E64">
              <w:rPr>
                <w:rFonts w:ascii="仿宋_GB2312" w:eastAsia="仿宋_GB2312" w:hAnsi="宋体" w:hint="eastAsia"/>
                <w:kern w:val="0"/>
                <w:sz w:val="24"/>
                <w:szCs w:val="24"/>
              </w:rPr>
              <w:t>上市公司是否进入破产重整程序</w:t>
            </w:r>
          </w:p>
        </w:tc>
        <w:tc>
          <w:tcPr>
            <w:tcW w:w="90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p>
        </w:tc>
        <w:tc>
          <w:tcPr>
            <w:tcW w:w="468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p>
        </w:tc>
      </w:tr>
      <w:tr w:rsidR="006F1E25" w:rsidRPr="00205E64" w:rsidTr="002D0AC7">
        <w:trPr>
          <w:trHeight w:val="534"/>
        </w:trPr>
        <w:tc>
          <w:tcPr>
            <w:tcW w:w="483" w:type="dxa"/>
            <w:tcBorders>
              <w:top w:val="nil"/>
              <w:left w:val="single" w:sz="8" w:space="0" w:color="auto"/>
              <w:bottom w:val="nil"/>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6</w:t>
            </w:r>
          </w:p>
        </w:tc>
        <w:tc>
          <w:tcPr>
            <w:tcW w:w="4010" w:type="dxa"/>
            <w:tcBorders>
              <w:top w:val="nil"/>
              <w:left w:val="nil"/>
              <w:bottom w:val="nil"/>
              <w:right w:val="single" w:sz="8" w:space="0" w:color="auto"/>
            </w:tcBorders>
            <w:vAlign w:val="center"/>
          </w:tcPr>
          <w:p w:rsidR="006F1E25" w:rsidRPr="00205E64" w:rsidRDefault="006F1E25" w:rsidP="002D0AC7">
            <w:pPr>
              <w:widowControl/>
              <w:spacing w:line="360" w:lineRule="exact"/>
              <w:rPr>
                <w:rFonts w:ascii="仿宋_GB2312" w:eastAsia="仿宋_GB2312" w:hAnsi="宋体"/>
                <w:kern w:val="0"/>
                <w:sz w:val="24"/>
                <w:szCs w:val="24"/>
              </w:rPr>
            </w:pPr>
            <w:r w:rsidRPr="00205E64">
              <w:rPr>
                <w:rFonts w:ascii="仿宋_GB2312" w:eastAsia="仿宋_GB2312" w:hAnsi="宋体" w:hint="eastAsia"/>
                <w:kern w:val="0"/>
                <w:sz w:val="24"/>
                <w:szCs w:val="24"/>
              </w:rPr>
              <w:t>本次重组涉及的行业或企业是否属于《国务院关于促进企业兼并重组的意见》和工信部等12部委《关于加快推进重点行业企业兼并重组的指导意见》支持的</w:t>
            </w:r>
            <w:r>
              <w:rPr>
                <w:rFonts w:ascii="仿宋_GB2312" w:eastAsia="仿宋_GB2312" w:hAnsi="宋体" w:hint="eastAsia"/>
                <w:kern w:val="0"/>
                <w:sz w:val="24"/>
                <w:szCs w:val="24"/>
              </w:rPr>
              <w:t>9</w:t>
            </w:r>
            <w:r w:rsidRPr="00205E64">
              <w:rPr>
                <w:rFonts w:ascii="仿宋_GB2312" w:eastAsia="仿宋_GB2312" w:hAnsi="宋体" w:hint="eastAsia"/>
                <w:kern w:val="0"/>
                <w:sz w:val="24"/>
                <w:szCs w:val="24"/>
              </w:rPr>
              <w:t>大行业</w:t>
            </w:r>
          </w:p>
        </w:tc>
        <w:tc>
          <w:tcPr>
            <w:tcW w:w="900" w:type="dxa"/>
            <w:tcBorders>
              <w:top w:val="nil"/>
              <w:left w:val="nil"/>
              <w:bottom w:val="nil"/>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p>
        </w:tc>
        <w:tc>
          <w:tcPr>
            <w:tcW w:w="4680" w:type="dxa"/>
            <w:tcBorders>
              <w:top w:val="nil"/>
              <w:left w:val="nil"/>
              <w:bottom w:val="nil"/>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p>
        </w:tc>
      </w:tr>
      <w:tr w:rsidR="006F1E25" w:rsidRPr="00205E64" w:rsidTr="002D0AC7">
        <w:trPr>
          <w:trHeight w:val="568"/>
        </w:trPr>
        <w:tc>
          <w:tcPr>
            <w:tcW w:w="483" w:type="dxa"/>
            <w:tcBorders>
              <w:top w:val="single" w:sz="8" w:space="0" w:color="auto"/>
              <w:left w:val="single" w:sz="8" w:space="0" w:color="auto"/>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7</w:t>
            </w:r>
          </w:p>
        </w:tc>
        <w:tc>
          <w:tcPr>
            <w:tcW w:w="401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rPr>
                <w:rFonts w:ascii="仿宋_GB2312" w:eastAsia="仿宋_GB2312" w:hAnsi="宋体"/>
                <w:kern w:val="0"/>
                <w:sz w:val="24"/>
                <w:szCs w:val="24"/>
              </w:rPr>
            </w:pPr>
            <w:r w:rsidRPr="00205E64">
              <w:rPr>
                <w:rFonts w:ascii="仿宋_GB2312" w:eastAsia="仿宋_GB2312" w:hAnsi="宋体" w:hint="eastAsia"/>
                <w:kern w:val="0"/>
                <w:sz w:val="24"/>
                <w:szCs w:val="24"/>
              </w:rPr>
              <w:t>本次重组是否属于同行业或上下游并购且不构成借壳上市</w:t>
            </w:r>
          </w:p>
        </w:tc>
        <w:tc>
          <w:tcPr>
            <w:tcW w:w="90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p>
        </w:tc>
        <w:tc>
          <w:tcPr>
            <w:tcW w:w="468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Calibri"/>
                <w:szCs w:val="22"/>
              </w:rPr>
            </w:pPr>
          </w:p>
        </w:tc>
      </w:tr>
      <w:tr w:rsidR="006F1E25" w:rsidRPr="00205E64" w:rsidTr="002D0AC7">
        <w:trPr>
          <w:trHeight w:val="536"/>
        </w:trPr>
        <w:tc>
          <w:tcPr>
            <w:tcW w:w="483" w:type="dxa"/>
            <w:tcBorders>
              <w:top w:val="single" w:sz="8" w:space="0" w:color="auto"/>
              <w:left w:val="single" w:sz="8" w:space="0" w:color="auto"/>
              <w:bottom w:val="single" w:sz="8" w:space="0" w:color="auto"/>
              <w:right w:val="single" w:sz="8" w:space="0" w:color="auto"/>
            </w:tcBorders>
            <w:vAlign w:val="center"/>
          </w:tcPr>
          <w:p w:rsidR="006F1E25" w:rsidRPr="00205E64" w:rsidDel="00E84279" w:rsidRDefault="006F1E25" w:rsidP="002D0AC7">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8</w:t>
            </w:r>
          </w:p>
        </w:tc>
        <w:tc>
          <w:tcPr>
            <w:tcW w:w="401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rPr>
                <w:rFonts w:ascii="仿宋_GB2312" w:eastAsia="仿宋_GB2312" w:hAnsi="宋体"/>
                <w:kern w:val="0"/>
                <w:sz w:val="24"/>
                <w:szCs w:val="24"/>
              </w:rPr>
            </w:pPr>
            <w:r w:rsidRPr="00205E64">
              <w:rPr>
                <w:rFonts w:ascii="仿宋_GB2312" w:eastAsia="仿宋_GB2312" w:hAnsi="宋体" w:hint="eastAsia"/>
                <w:kern w:val="0"/>
                <w:sz w:val="24"/>
                <w:szCs w:val="24"/>
              </w:rPr>
              <w:t>本次重组是否涉及发行股份</w:t>
            </w:r>
          </w:p>
        </w:tc>
        <w:tc>
          <w:tcPr>
            <w:tcW w:w="900" w:type="dxa"/>
            <w:tcBorders>
              <w:top w:val="single" w:sz="8" w:space="0" w:color="auto"/>
              <w:left w:val="nil"/>
              <w:bottom w:val="single" w:sz="8" w:space="0" w:color="auto"/>
              <w:right w:val="single" w:sz="8" w:space="0" w:color="auto"/>
            </w:tcBorders>
            <w:vAlign w:val="center"/>
          </w:tcPr>
          <w:p w:rsidR="006F1E25" w:rsidRPr="00205E64" w:rsidRDefault="006F1E25" w:rsidP="002D0AC7">
            <w:pPr>
              <w:widowControl/>
              <w:spacing w:line="360" w:lineRule="exact"/>
              <w:jc w:val="center"/>
              <w:rPr>
                <w:rFonts w:ascii="仿宋_GB2312" w:eastAsia="仿宋_GB2312" w:hAnsi="宋体"/>
                <w:kern w:val="0"/>
                <w:sz w:val="24"/>
                <w:szCs w:val="24"/>
              </w:rPr>
            </w:pPr>
          </w:p>
        </w:tc>
        <w:tc>
          <w:tcPr>
            <w:tcW w:w="4680" w:type="dxa"/>
            <w:tcBorders>
              <w:top w:val="single" w:sz="8" w:space="0" w:color="auto"/>
              <w:left w:val="nil"/>
              <w:bottom w:val="single" w:sz="8" w:space="0" w:color="auto"/>
              <w:right w:val="single" w:sz="8" w:space="0" w:color="auto"/>
            </w:tcBorders>
            <w:vAlign w:val="center"/>
          </w:tcPr>
          <w:p w:rsidR="006F1E25" w:rsidRPr="00205E64" w:rsidDel="00E84279" w:rsidRDefault="006F1E25" w:rsidP="002D0AC7">
            <w:pPr>
              <w:widowControl/>
              <w:spacing w:line="360" w:lineRule="exact"/>
              <w:jc w:val="center"/>
              <w:rPr>
                <w:rFonts w:ascii="仿宋_GB2312" w:eastAsia="仿宋_GB2312" w:hAnsi="宋体"/>
                <w:kern w:val="0"/>
                <w:sz w:val="24"/>
                <w:szCs w:val="24"/>
              </w:rPr>
            </w:pPr>
          </w:p>
        </w:tc>
      </w:tr>
    </w:tbl>
    <w:p w:rsidR="006F1E25" w:rsidRPr="002E2810" w:rsidRDefault="006F1E25" w:rsidP="006F1E25">
      <w:pPr>
        <w:autoSpaceDE w:val="0"/>
        <w:autoSpaceDN w:val="0"/>
        <w:adjustRightInd w:val="0"/>
        <w:spacing w:line="240" w:lineRule="atLeast"/>
      </w:pPr>
    </w:p>
    <w:bookmarkEnd w:id="0"/>
    <w:bookmarkEnd w:id="1"/>
    <w:p w:rsidR="00604836" w:rsidRPr="006F1E25" w:rsidRDefault="00604836"/>
    <w:sectPr w:rsidR="00604836" w:rsidRPr="006F1E25" w:rsidSect="00A273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B10" w:rsidRDefault="00F13B10" w:rsidP="006F1E25">
      <w:r>
        <w:separator/>
      </w:r>
    </w:p>
  </w:endnote>
  <w:endnote w:type="continuationSeparator" w:id="0">
    <w:p w:rsidR="00F13B10" w:rsidRDefault="00F13B10" w:rsidP="006F1E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B10" w:rsidRDefault="00F13B10" w:rsidP="006F1E25">
      <w:r>
        <w:separator/>
      </w:r>
    </w:p>
  </w:footnote>
  <w:footnote w:type="continuationSeparator" w:id="0">
    <w:p w:rsidR="00F13B10" w:rsidRDefault="00F13B10" w:rsidP="006F1E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1E25"/>
    <w:rsid w:val="00390E06"/>
    <w:rsid w:val="00604836"/>
    <w:rsid w:val="006F1E25"/>
    <w:rsid w:val="00A273D7"/>
    <w:rsid w:val="00F13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2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1E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F1E25"/>
    <w:rPr>
      <w:sz w:val="18"/>
      <w:szCs w:val="18"/>
    </w:rPr>
  </w:style>
  <w:style w:type="paragraph" w:styleId="a4">
    <w:name w:val="footer"/>
    <w:basedOn w:val="a"/>
    <w:link w:val="Char0"/>
    <w:uiPriority w:val="99"/>
    <w:semiHidden/>
    <w:unhideWhenUsed/>
    <w:rsid w:val="006F1E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F1E25"/>
    <w:rPr>
      <w:sz w:val="18"/>
      <w:szCs w:val="18"/>
    </w:rPr>
  </w:style>
  <w:style w:type="paragraph" w:styleId="a5">
    <w:name w:val="Body Text Indent"/>
    <w:basedOn w:val="a"/>
    <w:link w:val="Char1"/>
    <w:rsid w:val="006F1E25"/>
    <w:pPr>
      <w:tabs>
        <w:tab w:val="left" w:pos="7020"/>
      </w:tabs>
      <w:spacing w:line="600" w:lineRule="exact"/>
      <w:ind w:firstLineChars="200" w:firstLine="600"/>
    </w:pPr>
    <w:rPr>
      <w:rFonts w:ascii="仿宋_GB2312" w:eastAsia="仿宋_GB2312"/>
      <w:sz w:val="30"/>
      <w:szCs w:val="24"/>
    </w:rPr>
  </w:style>
  <w:style w:type="character" w:customStyle="1" w:styleId="Char1">
    <w:name w:val="正文文本缩进 Char"/>
    <w:basedOn w:val="a0"/>
    <w:link w:val="a5"/>
    <w:rsid w:val="006F1E25"/>
    <w:rPr>
      <w:rFonts w:ascii="仿宋_GB2312" w:eastAsia="仿宋_GB2312"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2229</Characters>
  <Application>Microsoft Office Word</Application>
  <DocSecurity>0</DocSecurity>
  <Lines>18</Lines>
  <Paragraphs>5</Paragraphs>
  <ScaleCrop>false</ScaleCrop>
  <Company>Hewlett-Packard Company</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Maggie</cp:lastModifiedBy>
  <cp:revision>4</cp:revision>
  <dcterms:created xsi:type="dcterms:W3CDTF">2013-09-30T02:40:00Z</dcterms:created>
  <dcterms:modified xsi:type="dcterms:W3CDTF">2013-10-13T03:59:00Z</dcterms:modified>
</cp:coreProperties>
</file>