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77" w:rsidRPr="006D515A" w:rsidRDefault="005B7E77" w:rsidP="005B7E77">
      <w:pPr>
        <w:snapToGrid w:val="0"/>
        <w:spacing w:line="480" w:lineRule="exact"/>
        <w:jc w:val="center"/>
        <w:textAlignment w:val="auto"/>
        <w:rPr>
          <w:rFonts w:ascii="长城小标宋体" w:eastAsia="长城小标宋体" w:hAnsi="Gungsuh" w:hint="eastAsia"/>
          <w:kern w:val="2"/>
          <w:sz w:val="44"/>
          <w:szCs w:val="36"/>
        </w:rPr>
      </w:pPr>
      <w:r w:rsidRPr="006D515A">
        <w:rPr>
          <w:rFonts w:ascii="长城小标宋体" w:eastAsia="长城小标宋体" w:hAnsi="Gungsuh" w:hint="eastAsia"/>
          <w:kern w:val="2"/>
          <w:sz w:val="44"/>
          <w:szCs w:val="36"/>
        </w:rPr>
        <w:t>期货期权交易所</w:t>
      </w:r>
    </w:p>
    <w:p w:rsidR="005B7E77" w:rsidRPr="006D515A" w:rsidRDefault="005B7E77" w:rsidP="005B7E77">
      <w:pPr>
        <w:snapToGrid w:val="0"/>
        <w:spacing w:line="480" w:lineRule="exact"/>
        <w:textAlignment w:val="auto"/>
        <w:rPr>
          <w:rFonts w:ascii="黑体" w:eastAsia="黑体" w:hAnsi="Gungsuh" w:hint="eastAsia"/>
          <w:kern w:val="2"/>
        </w:rPr>
      </w:pPr>
    </w:p>
    <w:tbl>
      <w:tblPr>
        <w:tblW w:w="9037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5968"/>
      </w:tblGrid>
      <w:tr w:rsidR="005B7E77" w:rsidRPr="006D515A" w:rsidTr="00252BBD">
        <w:trPr>
          <w:trHeight w:val="853"/>
          <w:jc w:val="center"/>
        </w:trPr>
        <w:tc>
          <w:tcPr>
            <w:tcW w:w="3069" w:type="dxa"/>
            <w:shd w:val="clear" w:color="auto" w:fill="auto"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b/>
                <w:bCs/>
                <w:sz w:val="24"/>
                <w:szCs w:val="24"/>
              </w:rPr>
            </w:pPr>
            <w:r w:rsidRPr="006D515A">
              <w:rPr>
                <w:rFonts w:hAnsi="宋体" w:cs="宋体" w:hint="eastAsia"/>
                <w:b/>
                <w:bCs/>
                <w:sz w:val="24"/>
                <w:szCs w:val="24"/>
              </w:rPr>
              <w:t>国家（地区）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b/>
                <w:bCs/>
                <w:sz w:val="24"/>
                <w:szCs w:val="24"/>
              </w:rPr>
            </w:pPr>
            <w:r w:rsidRPr="006D515A">
              <w:rPr>
                <w:rFonts w:hAnsi="宋体" w:cs="宋体" w:hint="eastAsia"/>
                <w:b/>
                <w:bCs/>
                <w:sz w:val="24"/>
                <w:szCs w:val="24"/>
              </w:rPr>
              <w:t>交易所名称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美国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芝加哥商业交易所集团  CME Group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澳大利亚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 xml:space="preserve">悉尼期货交易所  </w:t>
            </w:r>
            <w:proofErr w:type="spellStart"/>
            <w:r w:rsidRPr="006D515A">
              <w:rPr>
                <w:rFonts w:hAnsi="宋体" w:cs="宋体" w:hint="eastAsia"/>
                <w:sz w:val="24"/>
                <w:szCs w:val="24"/>
              </w:rPr>
              <w:t>Syndey</w:t>
            </w:r>
            <w:proofErr w:type="spellEnd"/>
            <w:r w:rsidRPr="006D515A">
              <w:rPr>
                <w:rFonts w:hAnsi="宋体" w:cs="宋体" w:hint="eastAsia"/>
                <w:sz w:val="24"/>
                <w:szCs w:val="24"/>
              </w:rPr>
              <w:t xml:space="preserve"> Futures </w:t>
            </w:r>
            <w:proofErr w:type="spellStart"/>
            <w:r w:rsidRPr="006D515A">
              <w:rPr>
                <w:rFonts w:hAnsi="宋体" w:cs="宋体" w:hint="eastAsia"/>
                <w:sz w:val="24"/>
                <w:szCs w:val="24"/>
              </w:rPr>
              <w:t>Exhange</w:t>
            </w:r>
            <w:proofErr w:type="spellEnd"/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比利时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纽约泛欧交易所 NYSE Euronext Brussels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加拿大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蒙特利尔交易所  The Montreal Exchange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英国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纽约泛欧交易所 NYSE Euronext LIFFE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法国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纽约泛欧交易所 NYSE Euronext Paris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德国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欧洲期货期权交易所   EUREX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荷兰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纽约泛欧交易所 NYSE Euronext Amsterdam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香港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 xml:space="preserve">香港期货交易所  </w:t>
            </w:r>
            <w:proofErr w:type="spellStart"/>
            <w:r w:rsidRPr="006D515A">
              <w:rPr>
                <w:rFonts w:hAnsi="宋体" w:cs="宋体" w:hint="eastAsia"/>
                <w:sz w:val="24"/>
                <w:szCs w:val="24"/>
              </w:rPr>
              <w:t>HongKong</w:t>
            </w:r>
            <w:proofErr w:type="spellEnd"/>
            <w:r w:rsidRPr="006D515A">
              <w:rPr>
                <w:rFonts w:hAnsi="宋体" w:cs="宋体" w:hint="eastAsia"/>
                <w:sz w:val="24"/>
                <w:szCs w:val="24"/>
              </w:rPr>
              <w:t xml:space="preserve"> Futures Exchange(HKFE)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vMerge w:val="restart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日本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东京证券交易所  Tokyo Stock Exchange(TSE)</w:t>
            </w:r>
          </w:p>
        </w:tc>
      </w:tr>
      <w:tr w:rsidR="005B7E77" w:rsidRPr="006D515A" w:rsidTr="00252BBD">
        <w:trPr>
          <w:trHeight w:val="225"/>
          <w:jc w:val="center"/>
        </w:trPr>
        <w:tc>
          <w:tcPr>
            <w:tcW w:w="3069" w:type="dxa"/>
            <w:vMerge/>
            <w:vAlign w:val="center"/>
          </w:tcPr>
          <w:p w:rsidR="005B7E77" w:rsidRPr="006D515A" w:rsidRDefault="005B7E77" w:rsidP="00252BBD">
            <w:pPr>
              <w:snapToGrid w:val="0"/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大阪交易所  Osaka Securities Exchange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韩国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韩国证券交易所  Korea Exchange(KRX)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新加坡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新加坡交易所  Singapore Exchange（SGX）</w:t>
            </w:r>
          </w:p>
        </w:tc>
      </w:tr>
      <w:tr w:rsidR="005B7E77" w:rsidRPr="006D515A" w:rsidTr="00252BBD">
        <w:trPr>
          <w:trHeight w:val="585"/>
          <w:jc w:val="center"/>
        </w:trPr>
        <w:tc>
          <w:tcPr>
            <w:tcW w:w="3069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瑞士</w:t>
            </w:r>
          </w:p>
        </w:tc>
        <w:tc>
          <w:tcPr>
            <w:tcW w:w="5968" w:type="dxa"/>
            <w:shd w:val="clear" w:color="auto" w:fill="auto"/>
            <w:noWrap/>
            <w:vAlign w:val="center"/>
          </w:tcPr>
          <w:p w:rsidR="005B7E77" w:rsidRPr="006D515A" w:rsidRDefault="005B7E77" w:rsidP="00252BBD">
            <w:pPr>
              <w:widowControl/>
              <w:snapToGrid w:val="0"/>
              <w:spacing w:line="480" w:lineRule="exact"/>
              <w:jc w:val="center"/>
              <w:textAlignment w:val="auto"/>
              <w:rPr>
                <w:rFonts w:hAnsi="宋体" w:cs="宋体"/>
                <w:sz w:val="24"/>
                <w:szCs w:val="24"/>
              </w:rPr>
            </w:pPr>
            <w:r w:rsidRPr="006D515A">
              <w:rPr>
                <w:rFonts w:hAnsi="宋体" w:cs="宋体" w:hint="eastAsia"/>
                <w:sz w:val="24"/>
                <w:szCs w:val="24"/>
              </w:rPr>
              <w:t>欧洲期货期权交易所  EUREX</w:t>
            </w:r>
          </w:p>
        </w:tc>
      </w:tr>
    </w:tbl>
    <w:p w:rsidR="005B7E77" w:rsidRPr="006D515A" w:rsidRDefault="005B7E77" w:rsidP="005B7E77">
      <w:pPr>
        <w:snapToGrid w:val="0"/>
        <w:spacing w:line="580" w:lineRule="exact"/>
        <w:textAlignment w:val="auto"/>
        <w:rPr>
          <w:rFonts w:hint="eastAsia"/>
          <w:kern w:val="2"/>
          <w:sz w:val="21"/>
        </w:rPr>
      </w:pPr>
      <w:r w:rsidRPr="006D515A">
        <w:rPr>
          <w:rFonts w:hint="eastAsia"/>
          <w:kern w:val="2"/>
          <w:sz w:val="21"/>
        </w:rPr>
        <w:t>备注：由上述两家交易所吸收合并，或者新设合并成立的交易所，将被视同为核准。</w:t>
      </w:r>
    </w:p>
    <w:p w:rsidR="00365CD0" w:rsidRPr="005B7E77" w:rsidRDefault="00365CD0">
      <w:bookmarkStart w:id="0" w:name="_GoBack"/>
      <w:bookmarkEnd w:id="0"/>
    </w:p>
    <w:sectPr w:rsidR="00365CD0" w:rsidRPr="005B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77"/>
    <w:rsid w:val="00365CD0"/>
    <w:rsid w:val="005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77"/>
    <w:pPr>
      <w:widowControl w:val="0"/>
      <w:adjustRightInd w:val="0"/>
      <w:spacing w:line="312" w:lineRule="atLeast"/>
      <w:jc w:val="both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77"/>
    <w:pPr>
      <w:widowControl w:val="0"/>
      <w:adjustRightInd w:val="0"/>
      <w:spacing w:line="312" w:lineRule="atLeast"/>
      <w:jc w:val="both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北京中科汇联信息技术有限公司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张青林</dc:creator>
  <cp:lastModifiedBy>张青林</cp:lastModifiedBy>
  <cp:revision>1</cp:revision>
  <dcterms:created xsi:type="dcterms:W3CDTF">2012-10-22T09:12:00Z</dcterms:created>
  <dcterms:modified xsi:type="dcterms:W3CDTF">2012-10-22T09:13:00Z</dcterms:modified>
</cp:coreProperties>
</file>